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17.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Declaración de uso de inteligencia artificial</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7.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Patient seudonimizado y Bundle, validados con la librería fhir.resources), además de una clave de API para los sensores y el inicio de sesión del cuidador, incorporando medidas técnicas del prototipo alineadas con principios de protección de datos contemplados en la Ley N° 21.719. En 30 caídas simuladas, el 100 % de las alertas llegó al panel por WebSocket, con una latencia promedio de 1.577 ms en Render y de 216 ms en AWS EC2 (entorno experimental de comparación);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pseudonymized Patient and Bundle resources, validated with the fhir.resources library), an API key for the sensors and caregiver login were implemented, incorporating technical measures in the prototype aligned with data protection principles contemplated by Chilean Law No. 21,719. Across 30 simulated falls, 100% of the alerts reached the dashboard via WebSocket, with an average latency of 1,577 ms on Render and 216 ms on AWS EC2 (an experimental comparison environment);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alto grado de implementación y validación dentro del alcance actual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alto grado de implementación y validación dentro del alcance actual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(NIST, 2015) con sal (PU-03) y se realizó una implementación inicial de HL7 FHIR R4 que representa los eventos como recursos Observation agrupados en Bundle, validados con la librería fhir.resources (PI-04). Además, el sistema se empaquetó en Docker (Docker Inc., 2024) y se desplegó una réplica en AWS EC2, utilizada exclusivamente como entorno experimental de comparación; la arquitectura de producción del prototipo es Vercel + Render + Supabase + ntfy. Entre el 03 y el 05/10 se completaron los pendientes: el recurso FHIR Patient seudonimizado, correctamente estructurado y validado mediante la librería fhir.resources,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(Meta Platforms, 2024) en Vercel muestra 4 pestañas, el mapa Leaflet y el registro de atención de cada alerta. En 30 caídas simuladas, el 100 % de las alertas llegó al panel por WebSocket (Fette y Melnikov, 2011; PR-01); en la prueba PR-02, los 30 avisos ntfy (Heckel, 2024)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con la librería fhir.resources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de la prueba realizada (30/30).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AWS EC2 se utilizó exclusivamente como entorno experimental de comparación y no corresponde a la arquitectura de producción del prototipo (Vercel + Render + Supabase + ntfy); Oracle Cloud Santiago queda como alternativa futura.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recursos Observation agrupados en Bundle FHIR R4, validados con la librería fhir.resources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correctamente estructurado y validado mediante la librería fhir.resources (8/8), sin datos identificatorios directos;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r>
        <w:tc>
          <w:tcPr>
            <w:tcW w:w="700" w:type="dxa"/>
          </w:tcPr>
          <w:p>
            <w:pPr>
              <w:spacing w:after="40" w:before="0" w:line="264" w:lineRule="auto"/>
              <w:jc w:val="left"/>
            </w:pPr>
            <w:r>
              <w:rPr>
                <w:rFonts w:ascii="Calibri" w:hAnsi="Calibri" w:cs="Arial"/>
                <w:color w:val="262626"/>
                <w:sz w:val="18"/>
                <w:szCs w:val="18"/>
              </w:rPr>
              <w:t xml:space="preserve">E16</w:t>
            </w:r>
          </w:p>
        </w:tc>
        <w:tc>
          <w:tcPr>
            <w:tcW w:w="3200" w:type="dxa"/>
          </w:tcPr>
          <w:p>
            <w:pPr>
              <w:spacing w:after="40" w:before="0" w:line="264" w:lineRule="auto"/>
              <w:jc w:val="left"/>
            </w:pPr>
            <w:r>
              <w:rPr>
                <w:rFonts w:ascii="Calibri" w:hAnsi="Calibri" w:cs="Arial"/>
                <w:color w:val="262626"/>
                <w:sz w:val="18"/>
                <w:szCs w:val="18"/>
              </w:rPr>
              <w:t xml:space="preserve">Migraciones de la base de datos, PI-06 y PI-07 (Figura 17)</w:t>
            </w:r>
          </w:p>
        </w:tc>
        <w:tc>
          <w:tcPr>
            <w:tcW w:w="4100" w:type="dxa"/>
          </w:tcPr>
          <w:p>
            <w:pPr>
              <w:spacing w:after="40" w:before="0" w:line="264" w:lineRule="auto"/>
              <w:jc w:val="left"/>
            </w:pPr>
            <w:r>
              <w:rPr>
                <w:rFonts w:ascii="Calibri" w:hAnsi="Calibri" w:cs="Arial"/>
                <w:color w:val="262626"/>
                <w:sz w:val="18"/>
                <w:szCs w:val="18"/>
              </w:rPr>
              <w:t xml:space="preserve">Fechas en UTC sin pérdida de datos y 1.463 inconsistencias de atención corregidas a 0, con respaldo y medición antes y después</w:t>
            </w:r>
          </w:p>
        </w:tc>
        <w:tc>
          <w:tcPr>
            <w:tcW w:w="1000" w:type="dxa"/>
          </w:tcPr>
          <w:p>
            <w:pPr>
              <w:spacing w:after="40" w:before="0" w:line="264" w:lineRule="auto"/>
              <w:jc w:val="left"/>
            </w:pPr>
            <w:r>
              <w:rPr>
                <w:rFonts w:ascii="Calibri" w:hAnsi="Calibri" w:cs="Arial"/>
                <w:color w:val="262626"/>
                <w:sz w:val="18"/>
                <w:szCs w:val="18"/>
              </w:rPr>
              <w:t xml:space="preserve">OE2</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Horas mezcladas en la base y 1.463 alertas atendidas solo en la tabla eventos.</w:t>
                  </w:r>
                </w:p>
              </w:tc>
              <w:tc>
                <w:tcPr>
                  <w:tcW w:w="4300" w:type="dxa"/>
                </w:tcPr>
                <w:p>
                  <w:pPr>
                    <w:spacing w:after="40" w:before="0" w:line="264" w:lineRule="auto"/>
                    <w:jc w:val="left"/>
                  </w:pPr>
                  <w:r>
                    <w:rPr>
                      <w:rFonts w:ascii="Calibri" w:hAnsi="Calibri" w:cs="Arial"/>
                      <w:color w:val="262626"/>
                      <w:sz w:val="18"/>
                      <w:szCs w:val="18"/>
                    </w:rPr>
                    <w:t xml:space="preserve">Respaldo y migraciones versionadas el 06/10, medidas antes y después (PI-06 y PI-07).</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tc>
      </w:tr>
    </w:tbl>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show a high degree of implementation and validation within the current prototype scope: the edge mode kept working without internet (10/10), the FHIR Patient resource was correctly structured and validated using the fhir.resources library (8/8), and both the sensors and the caregiver are now authenticated (3/3 in production). However, automatic synchronization of locally stored edge events when the connection is restored remains pending.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Declaración de uso de inteligencia artificial</w:t>
            </w:r>
          </w:p>
        </w:tc>
      </w:tr>
    </w:tbl>
    <w:p>
      <w:pPr>
        <w:spacing w:before="0" w:after="120"/>
      </w:pPr>
    </w:p>
    <w:p>
      <w:pPr>
        <w:spacing w:before="0" w:after="120"/>
      </w:pPr>
      <w:r>
        <w:rPr>
          <w:rFonts w:ascii="Calibri" w:hAnsi="Calibri" w:cs="Calibri"/>
          <w:color w:val="262626"/>
          <w:sz w:val="21"/>
          <w:szCs w:val="21"/>
        </w:rPr>
        <w:t xml:space="preserve">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7. Referencias</w:t>
            </w:r>
          </w:p>
        </w:tc>
      </w:tr>
    </w:tbl>
    <w:p>
      <w:pPr>
        <w:spacing w:before="0" w:after="120"/>
      </w:pPr>
    </w:p>
    <w:p>
      <w:pPr>
        <w:spacing w:before="0" w:after="120"/>
        <w:ind w:left="567" w:hanging="567"/>
      </w:pPr>
      <w:r>
        <w:rPr>
          <w:rFonts w:ascii="Calibri" w:hAnsi="Calibri" w:cs="Calibri"/>
          <w:color w:val="262626"/>
          <w:sz w:val="21"/>
          <w:szCs w:val="21"/>
        </w:rPr>
        <w:t xml:space="preserve">Anthropic. (2026). Claude [Modelo de lenguaje de gran tamaño]. https://claude.ai</w:t>
      </w:r>
    </w:p>
    <w:p>
      <w:pPr>
        <w:spacing w:before="0" w:after="120"/>
        <w:ind w:left="567" w:hanging="567"/>
      </w:pPr>
      <w:r>
        <w:rPr>
          <w:rFonts w:ascii="Calibri" w:hAnsi="Calibri" w:cs="Calibri"/>
          <w:color w:val="262626"/>
          <w:sz w:val="21"/>
          <w:szCs w:val="21"/>
        </w:rPr>
        <w:t xml:space="preserve">Docker Inc. (2024). Docker documentation. https://docs.docker.com</w:t>
      </w:r>
    </w:p>
    <w:p>
      <w:pPr>
        <w:spacing w:before="0" w:after="120"/>
        <w:ind w:left="567" w:hanging="567"/>
      </w:pPr>
      <w:r>
        <w:rPr>
          <w:rFonts w:ascii="Calibri" w:hAnsi="Calibri" w:cs="Calibri"/>
          <w:color w:val="262626"/>
          <w:sz w:val="21"/>
          <w:szCs w:val="21"/>
        </w:rPr>
        <w:t xml:space="preserve">Fette, I., y Melnikov, A. (2011). The WebSocket Protocol (RFC 6455). Internet Engineering Task Force. https://www.rfc-editor.org/rfc/rfc6455</w:t>
      </w:r>
    </w:p>
    <w:p>
      <w:pPr>
        <w:spacing w:before="0" w:after="120"/>
        <w:ind w:left="567" w:hanging="567"/>
      </w:pPr>
      <w:r>
        <w:rPr>
          <w:rFonts w:ascii="Calibri" w:hAnsi="Calibri" w:cs="Calibri"/>
          <w:color w:val="262626"/>
          <w:sz w:val="21"/>
          <w:szCs w:val="21"/>
        </w:rPr>
        <w:t xml:space="preserve">Heckel, P. C. (2024). ntfy documentation. https://docs.ntfy.sh</w:t>
      </w: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Meta Platforms. (2024). React documentation. https://react.dev</w:t>
      </w:r>
    </w:p>
    <w:p>
      <w:pPr>
        <w:spacing w:before="0" w:after="120"/>
        <w:ind w:left="567" w:hanging="567"/>
      </w:pPr>
      <w:r>
        <w:rPr>
          <w:rFonts w:ascii="Calibri" w:hAnsi="Calibri" w:cs="Calibri"/>
          <w:color w:val="262626"/>
          <w:sz w:val="21"/>
          <w:szCs w:val="21"/>
        </w:rPr>
        <w:t xml:space="preserve">National Institute of Standards and Technology. (2015). Secure Hash Standard (SHS) (FIPS PUB 180-4). https://doi.org/10.6028/NIST.FIPS.180-4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