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CONVOCATORIA DE EMERGENCIA PARA LA RECUPERACIÓN Y GENERACIÓN DE CAPACIDADES TRANSFORMADORAS, EN EL MARCO DEL DECRETO 1414 DE 17 DE SEPTIEMBRE DE 2026.</w:t>
      </w:r>
    </w:p>
    <w:p>
      <w:pPr>
        <w:pStyle w:val="Subtitle"/>
      </w:pPr>
      <w:r>
        <w:t xml:space="preserve">ANEXO 2. DOCUMENTO TÉCNICO. ANEXO A. ANÁLISIS DEL PROBLEMA PÚBLICO Y DE LA ESTRUCTURA CAUSAL</w:t>
      </w:r>
    </w:p>
    <w:p>
      <w:pPr>
        <w:spacing w:before="80" w:after="200" w:line="276" w:lineRule="auto"/>
        <w:ind w:firstLine="0"/>
        <w:jc w:val="center"/>
      </w:pPr>
      <w:r>
        <w:rPr>
          <w:b w:val="0"/>
          <w:i w:val="0"/>
          <w:sz w:val="22"/>
        </w:rPr>
        <w:t>Nombre del proyecto: Implementación de una red IoT híbrida Edge-Cloud y gemelo digital para la gestión anticipada del riesgo por material particulado posterremoto</w:t>
      </w:r>
    </w:p>
    <w:sdt>
      <w:sdtPr>
        <w:docPartObj>
          <w:docPartGallery w:val="Table of Contents"/>
          <w:docPartUnique/>
        </w:docPartObj>
      </w:sdtPr>
      <w:sdtContent>
        <w:p>
          <w:pPr>
            <w:pStyle w:val="TOCHeading"/>
          </w:pPr>
          <w:r>
            <w:t xml:space="preserve">CONTENIDO</w:t>
          </w:r>
        </w:p>
        <w:p>
          <w:pPr>
            <w:pStyle w:val="TOC1"/>
            <w:tabs>
              <w:tab w:val="right" w:leader="dot" w:pos="9974"/>
            </w:tabs>
          </w:pPr>
          <w:r>
            <w:fldChar w:fldCharType="begin"/>
          </w:r>
          <w:r>
            <w:instrText xml:space="preserve"> TOC \o "1-2" \h \z \u </w:instrText>
          </w:r>
          <w:r>
            <w:fldChar w:fldCharType="separate"/>
          </w:r>
          <w:hyperlink w:anchor="Xb8f5d328cc3560a4774dbf216897d0878bba65d" w:history="1">
            <w:r>
              <w:t xml:space="preserve">ANEXO A. ANÁLISIS DEL PROBLEMA PÚBLICO Y DE LA ESTRUCTURA CAUSAL</w:t>
            </w:r>
            <w:r>
              <w:tab/>
            </w:r>
            <w:r>
              <w:t>5</w:t>
            </w:r>
          </w:hyperlink>
        </w:p>
        <w:p>
          <w:pPr>
            <w:pStyle w:val="TOC2"/>
            <w:tabs>
              <w:tab w:val="right" w:leader="dot" w:pos="9974"/>
            </w:tabs>
          </w:pPr>
          <w:hyperlink w:anchor="X348813807c0cff4a36c466ee8480ef9158cd093" w:history="1">
            <w:r>
              <w:t xml:space="preserve">A.1. Propósito, alcance y lectura del anexo</w:t>
            </w:r>
            <w:r>
              <w:tab/>
            </w:r>
            <w:r>
              <w:t>5</w:t>
            </w:r>
          </w:hyperlink>
        </w:p>
        <w:p>
          <w:pPr>
            <w:pStyle w:val="TOC2"/>
            <w:tabs>
              <w:tab w:val="right" w:leader="dot" w:pos="9974"/>
            </w:tabs>
          </w:pPr>
          <w:hyperlink w:anchor="a.2.-construcción-del-problema-público" w:history="1">
            <w:r>
              <w:t xml:space="preserve">A.2. Construcción del problema público</w:t>
            </w:r>
            <w:r>
              <w:tab/>
            </w:r>
            <w:r>
              <w:t>6</w:t>
            </w:r>
          </w:hyperlink>
        </w:p>
        <w:p>
          <w:pPr>
            <w:pStyle w:val="TOC2"/>
            <w:tabs>
              <w:tab w:val="right" w:leader="dot" w:pos="9974"/>
            </w:tabs>
          </w:pPr>
          <w:hyperlink w:anchor="Xc3e4eb5b119456ef51c3fe9fae9b442c0069d32" w:history="1">
            <w:r>
              <w:t xml:space="preserve">A.3. Modelo estructural de quince variables</w:t>
            </w:r>
            <w:r>
              <w:tab/>
            </w:r>
            <w:r>
              <w:t>10</w:t>
            </w:r>
          </w:hyperlink>
        </w:p>
        <w:p>
          <w:pPr>
            <w:pStyle w:val="TOC2"/>
            <w:tabs>
              <w:tab w:val="right" w:leader="dot" w:pos="9974"/>
            </w:tabs>
          </w:pPr>
          <w:hyperlink w:anchor="a.4.-análisis-de-vester" w:history="1">
            <w:r>
              <w:t xml:space="preserve">A.4. Análisis de Vester</w:t>
            </w:r>
            <w:r>
              <w:tab/>
            </w:r>
            <w:r>
              <w:t>12</w:t>
            </w:r>
          </w:hyperlink>
        </w:p>
        <w:p>
          <w:pPr>
            <w:pStyle w:val="TOC2"/>
            <w:tabs>
              <w:tab w:val="right" w:leader="dot" w:pos="9974"/>
            </w:tabs>
          </w:pPr>
          <w:hyperlink w:anchor="a.5.-análisis-de-micmac" w:history="1">
            <w:r>
              <w:t xml:space="preserve">A.5. Análisis de MICMAC</w:t>
            </w:r>
            <w:r>
              <w:tab/>
            </w:r>
            <w:r>
              <w:t>24</w:t>
            </w:r>
          </w:hyperlink>
        </w:p>
        <w:p>
          <w:pPr>
            <w:pStyle w:val="TOC2"/>
            <w:tabs>
              <w:tab w:val="right" w:leader="dot" w:pos="9974"/>
            </w:tabs>
          </w:pPr>
          <w:hyperlink w:anchor="Xf96941892620a3453aafe9cc869a0289d7149c8" w:history="1">
            <w:r>
              <w:t xml:space="preserve">A.6. Sensibilidad del análisis estructural</w:t>
            </w:r>
            <w:r>
              <w:tab/>
            </w:r>
            <w:r>
              <w:t>28</w:t>
            </w:r>
          </w:hyperlink>
        </w:p>
        <w:p>
          <w:pPr>
            <w:pStyle w:val="TOC2"/>
            <w:tabs>
              <w:tab w:val="right" w:leader="dot" w:pos="9974"/>
            </w:tabs>
          </w:pPr>
          <w:hyperlink w:anchor="X1527a0b6e64ec5d5ce8300b3ce49c06f67a849f" w:history="1">
            <w:r>
              <w:t xml:space="preserve">A.7. Hallazgos estructurales y su uso en el diseño</w:t>
            </w:r>
            <w:r>
              <w:tab/>
            </w:r>
            <w:r>
              <w:t>30</w:t>
            </w:r>
          </w:hyperlink>
        </w:p>
        <w:p>
          <w:pPr>
            <w:pStyle w:val="TOC2"/>
            <w:tabs>
              <w:tab w:val="right" w:leader="dot" w:pos="9974"/>
            </w:tabs>
          </w:pPr>
          <w:hyperlink w:anchor="X8a5e826a80b14754acc520a6bb231efef38eec2" w:history="1">
            <w:r>
              <w:t xml:space="preserve">A.8. Clasificación de variables para la inferencia causal</w:t>
            </w:r>
            <w:r>
              <w:tab/>
            </w:r>
            <w:r>
              <w:t>31</w:t>
            </w:r>
          </w:hyperlink>
        </w:p>
        <w:p>
          <w:pPr>
            <w:pStyle w:val="TOC2"/>
            <w:tabs>
              <w:tab w:val="right" w:leader="dot" w:pos="9974"/>
            </w:tabs>
          </w:pPr>
          <w:hyperlink w:anchor="a.9.-árbol-de-problemas-completo" w:history="1">
            <w:r>
              <w:t xml:space="preserve">A.9. Árbol de problemas completo</w:t>
            </w:r>
            <w:r>
              <w:tab/>
            </w:r>
            <w:r>
              <w:t>37</w:t>
            </w:r>
          </w:hyperlink>
        </w:p>
        <w:p>
          <w:pPr>
            <w:pStyle w:val="TOC2"/>
            <w:tabs>
              <w:tab w:val="right" w:leader="dot" w:pos="9974"/>
            </w:tabs>
          </w:pPr>
          <w:hyperlink w:anchor="X8c0e5999b4f082f0f81a7e3a244c2d7f84dead7" w:history="1">
            <w:r>
              <w:t xml:space="preserve">A.10. Teoría del cambio, alternativas y condiciones de decisión</w:t>
            </w:r>
            <w:r>
              <w:tab/>
            </w:r>
            <w:r>
              <w:t>41</w:t>
            </w:r>
          </w:hyperlink>
        </w:p>
        <w:p>
          <w:pPr>
            <w:pStyle w:val="TOC2"/>
            <w:tabs>
              <w:tab w:val="right" w:leader="dot" w:pos="9974"/>
            </w:tabs>
          </w:pPr>
          <w:hyperlink w:anchor="X533320311b97172f41bdada450a24b1a68fdf3e" w:history="1">
            <w:r>
              <w:t xml:space="preserve">A.11. Límites, brechas y ruta de resolución</w:t>
            </w:r>
            <w:r>
              <w:tab/>
            </w:r>
            <w:r>
              <w:t>46</w:t>
            </w:r>
          </w:hyperlink>
        </w:p>
        <w:p>
          <w:pPr>
            <w:pStyle w:val="TOC1"/>
            <w:tabs>
              <w:tab w:val="right" w:leader="dot" w:pos="9974"/>
            </w:tabs>
          </w:pPr>
          <w:hyperlink w:anchor="referencias-del-anexo-a" w:history="1">
            <w:r>
              <w:t xml:space="preserve">REFERENCIAS DEL ANEXO A</w:t>
            </w:r>
            <w:r>
              <w:tab/>
            </w:r>
            <w:r>
              <w:t>48</w:t>
            </w:r>
          </w:hyperlink>
        </w:p>
        <w:p>
          <w:r>
            <w:fldChar w:fldCharType="end"/>
          </w:r>
        </w:p>
      </w:sdtContent>
    </w:sdt>
    <w:p>
      <w:pPr>
        <w:pStyle w:val="FrontTitulo"/>
      </w:pPr>
      <w:r>
        <w:t xml:space="preserve">Índice de tablas</w:t>
      </w:r>
    </w:p>
    <w:p>
      <w:pPr>
        <w:pStyle w:val="Indice"/>
        <w:tabs>
          <w:tab w:val="right" w:leader="dot" w:pos="9974"/>
        </w:tabs>
        <w:spacing w:before="40" w:after="40"/>
        <w:ind w:left="1134" w:hanging="1134"/>
      </w:pPr>
      <w:hyperlink w:anchor="rot_Tabla_A_1" w:history="1">
        <w:r>
          <w:t xml:space="preserve">Tabla A.1. Relación entre los apartados del anexo y las secciones del Anexo 2</w:t>
        </w:r>
        <w:r>
          <w:tab/>
        </w:r>
        <w:r>
          <w:fldChar w:fldCharType="begin"/>
        </w:r>
        <w:r>
          <w:instrText xml:space="preserve"> PAGEREF rot_Tabla_A_1 \h </w:instrText>
        </w:r>
        <w:r>
          <w:fldChar w:fldCharType="separate"/>
        </w:r>
        <w:r>
          <w:t>5</w:t>
        </w:r>
        <w:r>
          <w:fldChar w:fldCharType="end"/>
        </w:r>
      </w:hyperlink>
    </w:p>
    <w:p>
      <w:pPr>
        <w:pStyle w:val="Indice"/>
        <w:tabs>
          <w:tab w:val="right" w:leader="dot" w:pos="9974"/>
        </w:tabs>
        <w:spacing w:before="40" w:after="40"/>
        <w:ind w:left="1134" w:hanging="1134"/>
      </w:pPr>
      <w:hyperlink w:anchor="rot_Tabla_A_2" w:history="1">
        <w:r>
          <w:t xml:space="preserve">Tabla A.2. Delimitación del fenómeno que el proyecto atiende</w:t>
        </w:r>
        <w:r>
          <w:tab/>
        </w:r>
        <w:r>
          <w:fldChar w:fldCharType="begin"/>
        </w:r>
        <w:r>
          <w:instrText xml:space="preserve"> PAGEREF rot_Tabla_A_2 \h </w:instrText>
        </w:r>
        <w:r>
          <w:fldChar w:fldCharType="separate"/>
        </w:r>
        <w:r>
          <w:t>6</w:t>
        </w:r>
        <w:r>
          <w:fldChar w:fldCharType="end"/>
        </w:r>
      </w:hyperlink>
    </w:p>
    <w:p>
      <w:pPr>
        <w:pStyle w:val="Indice"/>
        <w:tabs>
          <w:tab w:val="right" w:leader="dot" w:pos="9974"/>
        </w:tabs>
        <w:spacing w:before="40" w:after="40"/>
        <w:ind w:left="1134" w:hanging="1134"/>
      </w:pPr>
      <w:hyperlink w:anchor="rot_Tabla_A_3" w:history="1">
        <w:r>
          <w:t xml:space="preserve">Tabla A.3. Marcos rivales del problema y su tratamiento en el proyecto</w:t>
        </w:r>
        <w:r>
          <w:tab/>
        </w:r>
        <w:r>
          <w:fldChar w:fldCharType="begin"/>
        </w:r>
        <w:r>
          <w:instrText xml:space="preserve"> PAGEREF rot_Tabla_A_3 \h </w:instrText>
        </w:r>
        <w:r>
          <w:fldChar w:fldCharType="separate"/>
        </w:r>
        <w:r>
          <w:t>7</w:t>
        </w:r>
        <w:r>
          <w:fldChar w:fldCharType="end"/>
        </w:r>
      </w:hyperlink>
    </w:p>
    <w:p>
      <w:pPr>
        <w:pStyle w:val="Indice"/>
        <w:tabs>
          <w:tab w:val="right" w:leader="dot" w:pos="9974"/>
        </w:tabs>
        <w:spacing w:before="40" w:after="40"/>
        <w:ind w:left="1134" w:hanging="1134"/>
      </w:pPr>
      <w:hyperlink w:anchor="rot_Tabla_A_4" w:history="1">
        <w:r>
          <w:t xml:space="preserve">Tabla A.4. Juicios de realidad, de valor e instrumentales que sostienen el problema</w:t>
        </w:r>
        <w:r>
          <w:tab/>
        </w:r>
        <w:r>
          <w:fldChar w:fldCharType="begin"/>
        </w:r>
        <w:r>
          <w:instrText xml:space="preserve"> PAGEREF rot_Tabla_A_4 \h </w:instrText>
        </w:r>
        <w:r>
          <w:fldChar w:fldCharType="separate"/>
        </w:r>
        <w:r>
          <w:t>8</w:t>
        </w:r>
        <w:r>
          <w:fldChar w:fldCharType="end"/>
        </w:r>
      </w:hyperlink>
    </w:p>
    <w:p>
      <w:pPr>
        <w:pStyle w:val="Indice"/>
        <w:tabs>
          <w:tab w:val="right" w:leader="dot" w:pos="9974"/>
        </w:tabs>
        <w:spacing w:before="40" w:after="40"/>
        <w:ind w:left="1134" w:hanging="1134"/>
      </w:pPr>
      <w:hyperlink w:anchor="rot_Tabla_A_5" w:history="1">
        <w:r>
          <w:t xml:space="preserve">Tabla A.5. Evaluación de las cuatro condiciones de estructura del problema</w:t>
        </w:r>
        <w:r>
          <w:tab/>
        </w:r>
        <w:r>
          <w:fldChar w:fldCharType="begin"/>
        </w:r>
        <w:r>
          <w:instrText xml:space="preserve"> PAGEREF rot_Tabla_A_5 \h </w:instrText>
        </w:r>
        <w:r>
          <w:fldChar w:fldCharType="separate"/>
        </w:r>
        <w:r>
          <w:t>9</w:t>
        </w:r>
        <w:r>
          <w:fldChar w:fldCharType="end"/>
        </w:r>
      </w:hyperlink>
    </w:p>
    <w:p>
      <w:pPr>
        <w:pStyle w:val="Indice"/>
        <w:tabs>
          <w:tab w:val="right" w:leader="dot" w:pos="9974"/>
        </w:tabs>
        <w:spacing w:before="40" w:after="40"/>
        <w:ind w:left="1134" w:hanging="1134"/>
      </w:pPr>
      <w:hyperlink w:anchor="rot_Tabla_A_6" w:history="1">
        <w:r>
          <w:t xml:space="preserve">Tabla A.6. Dominio causal de cada parte del problema</w:t>
        </w:r>
        <w:r>
          <w:tab/>
        </w:r>
        <w:r>
          <w:fldChar w:fldCharType="begin"/>
        </w:r>
        <w:r>
          <w:instrText xml:space="preserve"> PAGEREF rot_Tabla_A_6 \h </w:instrText>
        </w:r>
        <w:r>
          <w:fldChar w:fldCharType="separate"/>
        </w:r>
        <w:r>
          <w:t>10</w:t>
        </w:r>
        <w:r>
          <w:fldChar w:fldCharType="end"/>
        </w:r>
      </w:hyperlink>
    </w:p>
    <w:p>
      <w:pPr>
        <w:pStyle w:val="Indice"/>
        <w:tabs>
          <w:tab w:val="right" w:leader="dot" w:pos="9974"/>
        </w:tabs>
        <w:spacing w:before="40" w:after="40"/>
        <w:ind w:left="1134" w:hanging="1134"/>
      </w:pPr>
      <w:hyperlink w:anchor="rot_Tabla_A_7" w:history="1">
        <w:r>
          <w:t xml:space="preserve">Tabla A.7. Variables del modelo estructural: identificador, definición operacional y bloque</w:t>
        </w:r>
        <w:r>
          <w:tab/>
        </w:r>
        <w:r>
          <w:fldChar w:fldCharType="begin"/>
        </w:r>
        <w:r>
          <w:instrText xml:space="preserve"> PAGEREF rot_Tabla_A_7 \h </w:instrText>
        </w:r>
        <w:r>
          <w:fldChar w:fldCharType="separate"/>
        </w:r>
        <w:r>
          <w:t>10</w:t>
        </w:r>
        <w:r>
          <w:fldChar w:fldCharType="end"/>
        </w:r>
      </w:hyperlink>
    </w:p>
    <w:p>
      <w:pPr>
        <w:pStyle w:val="Indice"/>
        <w:tabs>
          <w:tab w:val="right" w:leader="dot" w:pos="9974"/>
        </w:tabs>
        <w:spacing w:before="40" w:after="40"/>
        <w:ind w:left="1134" w:hanging="1134"/>
      </w:pPr>
      <w:hyperlink w:anchor="rot_Tabla_A_8" w:history="1">
        <w:r>
          <w:t xml:space="preserve">Tabla A.8. Escala ordinal de influencia directa y anclas de comparación</w:t>
        </w:r>
        <w:r>
          <w:tab/>
        </w:r>
        <w:r>
          <w:fldChar w:fldCharType="begin"/>
        </w:r>
        <w:r>
          <w:instrText xml:space="preserve"> PAGEREF rot_Tabla_A_8 \h </w:instrText>
        </w:r>
        <w:r>
          <w:fldChar w:fldCharType="separate"/>
        </w:r>
        <w:r>
          <w:t>11</w:t>
        </w:r>
        <w:r>
          <w:fldChar w:fldCharType="end"/>
        </w:r>
      </w:hyperlink>
    </w:p>
    <w:p>
      <w:pPr>
        <w:pStyle w:val="Indice"/>
        <w:tabs>
          <w:tab w:val="right" w:leader="dot" w:pos="9974"/>
        </w:tabs>
        <w:spacing w:before="40" w:after="40"/>
        <w:ind w:left="1134" w:hanging="1134"/>
      </w:pPr>
      <w:hyperlink w:anchor="rot_Tabla_A_9" w:history="1">
        <w:r>
          <w:t xml:space="preserve">Tabla A.9. Escenarios de la matriz de influencia directa y sus propiedades estructurales</w:t>
        </w:r>
        <w:r>
          <w:tab/>
        </w:r>
        <w:r>
          <w:fldChar w:fldCharType="begin"/>
        </w:r>
        <w:r>
          <w:instrText xml:space="preserve"> PAGEREF rot_Tabla_A_9 \h </w:instrText>
        </w:r>
        <w:r>
          <w:fldChar w:fldCharType="separate"/>
        </w:r>
        <w:r>
          <w:t>12</w:t>
        </w:r>
        <w:r>
          <w:fldChar w:fldCharType="end"/>
        </w:r>
      </w:hyperlink>
    </w:p>
    <w:p>
      <w:pPr>
        <w:pStyle w:val="Indice"/>
        <w:tabs>
          <w:tab w:val="right" w:leader="dot" w:pos="9974"/>
        </w:tabs>
        <w:spacing w:before="40" w:after="40"/>
        <w:ind w:left="1134" w:hanging="1134"/>
      </w:pPr>
      <w:hyperlink w:anchor="rot_Tabla_A_10" w:history="1">
        <w:r>
          <w:t xml:space="preserve">Tabla A.10. Matriz de influencia directa del escenario de trabajo S2, con pesos de 0 a 3</w:t>
        </w:r>
        <w:r>
          <w:tab/>
        </w:r>
        <w:r>
          <w:fldChar w:fldCharType="begin"/>
        </w:r>
        <w:r>
          <w:instrText xml:space="preserve"> PAGEREF rot_Tabla_A_10 \h </w:instrText>
        </w:r>
        <w:r>
          <w:fldChar w:fldCharType="separate"/>
        </w:r>
        <w:r>
          <w:t>15</w:t>
        </w:r>
        <w:r>
          <w:fldChar w:fldCharType="end"/>
        </w:r>
      </w:hyperlink>
    </w:p>
    <w:p>
      <w:pPr>
        <w:pStyle w:val="Indice"/>
        <w:tabs>
          <w:tab w:val="right" w:leader="dot" w:pos="9974"/>
        </w:tabs>
        <w:spacing w:before="40" w:after="40"/>
        <w:ind w:left="1134" w:hanging="1134"/>
      </w:pPr>
      <w:hyperlink w:anchor="rot_Tabla_A_11" w:history="1">
        <w:r>
          <w:t xml:space="preserve">Tabla A.11. Influencia, dependencia y clase de cada variable en el escenario de trabajo S2</w:t>
        </w:r>
        <w:r>
          <w:tab/>
        </w:r>
        <w:r>
          <w:fldChar w:fldCharType="begin"/>
        </w:r>
        <w:r>
          <w:instrText xml:space="preserve"> PAGEREF rot_Tabla_A_11 \h </w:instrText>
        </w:r>
        <w:r>
          <w:fldChar w:fldCharType="separate"/>
        </w:r>
        <w:r>
          <w:t>17</w:t>
        </w:r>
        <w:r>
          <w:fldChar w:fldCharType="end"/>
        </w:r>
      </w:hyperlink>
    </w:p>
    <w:p>
      <w:pPr>
        <w:pStyle w:val="Indice"/>
        <w:tabs>
          <w:tab w:val="right" w:leader="dot" w:pos="9974"/>
        </w:tabs>
        <w:spacing w:before="40" w:after="40"/>
        <w:ind w:left="1134" w:hanging="1134"/>
      </w:pPr>
      <w:hyperlink w:anchor="rot_Tabla_A_12" w:history="1">
        <w:r>
          <w:t xml:space="preserve">Tabla A.12. Clase directa por mediana de cada variable en los cinco escenarios</w:t>
        </w:r>
        <w:r>
          <w:tab/>
        </w:r>
        <w:r>
          <w:fldChar w:fldCharType="begin"/>
        </w:r>
        <w:r>
          <w:instrText xml:space="preserve"> PAGEREF rot_Tabla_A_12 \h </w:instrText>
        </w:r>
        <w:r>
          <w:fldChar w:fldCharType="separate"/>
        </w:r>
        <w:r>
          <w:t>18</w:t>
        </w:r>
        <w:r>
          <w:fldChar w:fldCharType="end"/>
        </w:r>
      </w:hyperlink>
    </w:p>
    <w:p>
      <w:pPr>
        <w:pStyle w:val="Indice"/>
        <w:tabs>
          <w:tab w:val="right" w:leader="dot" w:pos="9974"/>
        </w:tabs>
        <w:spacing w:before="40" w:after="40"/>
        <w:ind w:left="1134" w:hanging="1134"/>
      </w:pPr>
      <w:hyperlink w:anchor="rot_Tabla_A_13" w:history="1">
        <w:r>
          <w:t xml:space="preserve">Tabla A.13. Los 48 vínculos no nulos de S2, con peso, dominio admisible, signo, confianza, mecanismo y respaldo</w:t>
        </w:r>
        <w:r>
          <w:tab/>
        </w:r>
        <w:r>
          <w:fldChar w:fldCharType="begin"/>
        </w:r>
        <w:r>
          <w:instrText xml:space="preserve"> PAGEREF rot_Tabla_A_13 \h </w:instrText>
        </w:r>
        <w:r>
          <w:fldChar w:fldCharType="separate"/>
        </w:r>
        <w:r>
          <w:t>20</w:t>
        </w:r>
        <w:r>
          <w:fldChar w:fldCharType="end"/>
        </w:r>
      </w:hyperlink>
    </w:p>
    <w:p>
      <w:pPr>
        <w:pStyle w:val="Indice"/>
        <w:tabs>
          <w:tab w:val="right" w:leader="dot" w:pos="9974"/>
        </w:tabs>
        <w:spacing w:before="40" w:after="40"/>
        <w:ind w:left="1134" w:hanging="1134"/>
      </w:pPr>
      <w:hyperlink w:anchor="rot_Tabla_A_14" w:history="1">
        <w:r>
          <w:t xml:space="preserve">Tabla A.14. Rangos directos e indirectos (A¹⁰) de influencia y dependencia en el escenario S2</w:t>
        </w:r>
        <w:r>
          <w:tab/>
        </w:r>
        <w:r>
          <w:fldChar w:fldCharType="begin"/>
        </w:r>
        <w:r>
          <w:instrText xml:space="preserve"> PAGEREF rot_Tabla_A_14 \h </w:instrText>
        </w:r>
        <w:r>
          <w:fldChar w:fldCharType="separate"/>
        </w:r>
        <w:r>
          <w:t>25</w:t>
        </w:r>
        <w:r>
          <w:fldChar w:fldCharType="end"/>
        </w:r>
      </w:hyperlink>
    </w:p>
    <w:p>
      <w:pPr>
        <w:pStyle w:val="Indice"/>
        <w:tabs>
          <w:tab w:val="right" w:leader="dot" w:pos="9974"/>
        </w:tabs>
        <w:spacing w:before="40" w:after="40"/>
        <w:ind w:left="1134" w:hanging="1134"/>
      </w:pPr>
      <w:hyperlink w:anchor="rot_Tabla_A_15" w:history="1">
        <w:r>
          <w:t xml:space="preserve">Tabla A.15. Rango de influencia indirecta de cada variable en los cinco escenarios</w:t>
        </w:r>
        <w:r>
          <w:tab/>
        </w:r>
        <w:r>
          <w:fldChar w:fldCharType="begin"/>
        </w:r>
        <w:r>
          <w:instrText xml:space="preserve"> PAGEREF rot_Tabla_A_15 \h </w:instrText>
        </w:r>
        <w:r>
          <w:fldChar w:fldCharType="separate"/>
        </w:r>
        <w:r>
          <w:t>26</w:t>
        </w:r>
        <w:r>
          <w:fldChar w:fldCharType="end"/>
        </w:r>
      </w:hyperlink>
    </w:p>
    <w:p>
      <w:pPr>
        <w:pStyle w:val="Indice"/>
        <w:tabs>
          <w:tab w:val="right" w:leader="dot" w:pos="9974"/>
        </w:tabs>
        <w:spacing w:before="40" w:after="40"/>
        <w:ind w:left="1134" w:hanging="1134"/>
      </w:pPr>
      <w:hyperlink w:anchor="rot_Tabla_A_16" w:history="1">
        <w:r>
          <w:t xml:space="preserve">Tabla A.16. Participación de las variables más frecuentes en los 144 ciclos simples de S2</w:t>
        </w:r>
        <w:r>
          <w:tab/>
        </w:r>
        <w:r>
          <w:fldChar w:fldCharType="begin"/>
        </w:r>
        <w:r>
          <w:instrText xml:space="preserve"> PAGEREF rot_Tabla_A_16 \h </w:instrText>
        </w:r>
        <w:r>
          <w:fldChar w:fldCharType="separate"/>
        </w:r>
        <w:r>
          <w:t>27</w:t>
        </w:r>
        <w:r>
          <w:fldChar w:fldCharType="end"/>
        </w:r>
      </w:hyperlink>
    </w:p>
    <w:p>
      <w:pPr>
        <w:pStyle w:val="Indice"/>
        <w:tabs>
          <w:tab w:val="right" w:leader="dot" w:pos="9974"/>
        </w:tabs>
        <w:spacing w:before="40" w:after="40"/>
        <w:ind w:left="1134" w:hanging="1134"/>
      </w:pPr>
      <w:hyperlink w:anchor="rot_Tabla_A_17" w:history="1">
        <w:r>
          <w:t xml:space="preserve">Tabla A.17. Ruta simple más intensa entre pares seleccionados de variables en S2</w:t>
        </w:r>
        <w:r>
          <w:tab/>
        </w:r>
        <w:r>
          <w:fldChar w:fldCharType="begin"/>
        </w:r>
        <w:r>
          <w:instrText xml:space="preserve"> PAGEREF rot_Tabla_A_17 \h </w:instrText>
        </w:r>
        <w:r>
          <w:fldChar w:fldCharType="separate"/>
        </w:r>
        <w:r>
          <w:t>28</w:t>
        </w:r>
        <w:r>
          <w:fldChar w:fldCharType="end"/>
        </w:r>
      </w:hyperlink>
    </w:p>
    <w:p>
      <w:pPr>
        <w:pStyle w:val="Indice"/>
        <w:tabs>
          <w:tab w:val="right" w:leader="dot" w:pos="9974"/>
        </w:tabs>
        <w:spacing w:before="40" w:after="40"/>
        <w:ind w:left="1134" w:hanging="1134"/>
      </w:pPr>
      <w:hyperlink w:anchor="rot_Tabla_A_18" w:history="1">
        <w:r>
          <w:t xml:space="preserve">Tabla A.18. Vínculos cuyo cambio de un valor altera las tres primeras posiciones o la clase indirecta</w:t>
        </w:r>
        <w:r>
          <w:tab/>
        </w:r>
        <w:r>
          <w:fldChar w:fldCharType="begin"/>
        </w:r>
        <w:r>
          <w:instrText xml:space="preserve"> PAGEREF rot_Tabla_A_18 \h </w:instrText>
        </w:r>
        <w:r>
          <w:fldChar w:fldCharType="separate"/>
        </w:r>
        <w:r>
          <w:t>28</w:t>
        </w:r>
        <w:r>
          <w:fldChar w:fldCharType="end"/>
        </w:r>
      </w:hyperlink>
    </w:p>
    <w:p>
      <w:pPr>
        <w:pStyle w:val="Indice"/>
        <w:tabs>
          <w:tab w:val="right" w:leader="dot" w:pos="9974"/>
        </w:tabs>
        <w:spacing w:before="40" w:after="40"/>
        <w:ind w:left="1134" w:hanging="1134"/>
      </w:pPr>
      <w:hyperlink w:anchor="rot_Tabla_A_19" w:history="1">
        <w:r>
          <w:t xml:space="preserve">Tabla A.19. Clase directa y rango de influencia indirecta de S2 bajo tres codificaciones de la escala ordinal</w:t>
        </w:r>
        <w:r>
          <w:tab/>
        </w:r>
        <w:r>
          <w:fldChar w:fldCharType="begin"/>
        </w:r>
        <w:r>
          <w:instrText xml:space="preserve"> PAGEREF rot_Tabla_A_19 \h </w:instrText>
        </w:r>
        <w:r>
          <w:fldChar w:fldCharType="separate"/>
        </w:r>
        <w:r>
          <w:t>30</w:t>
        </w:r>
        <w:r>
          <w:fldChar w:fldCharType="end"/>
        </w:r>
      </w:hyperlink>
    </w:p>
    <w:p>
      <w:pPr>
        <w:pStyle w:val="Indice"/>
        <w:tabs>
          <w:tab w:val="right" w:leader="dot" w:pos="9974"/>
        </w:tabs>
        <w:spacing w:before="40" w:after="40"/>
        <w:ind w:left="1134" w:hanging="1134"/>
      </w:pPr>
      <w:hyperlink w:anchor="rot_Tabla_A_20" w:history="1">
        <w:r>
          <w:t xml:space="preserve">Tabla A.20. Hallazgos estructurales y decisiones de diseño relacionadas</w:t>
        </w:r>
        <w:r>
          <w:tab/>
        </w:r>
        <w:r>
          <w:fldChar w:fldCharType="begin"/>
        </w:r>
        <w:r>
          <w:instrText xml:space="preserve"> PAGEREF rot_Tabla_A_20 \h </w:instrText>
        </w:r>
        <w:r>
          <w:fldChar w:fldCharType="separate"/>
        </w:r>
        <w:r>
          <w:t>30</w:t>
        </w:r>
        <w:r>
          <w:fldChar w:fldCharType="end"/>
        </w:r>
      </w:hyperlink>
    </w:p>
    <w:p>
      <w:pPr>
        <w:pStyle w:val="Indice"/>
        <w:tabs>
          <w:tab w:val="right" w:leader="dot" w:pos="9974"/>
        </w:tabs>
        <w:spacing w:before="40" w:after="40"/>
        <w:ind w:left="1134" w:hanging="1134"/>
      </w:pPr>
      <w:hyperlink w:anchor="rot_Tabla_A_21" w:history="1">
        <w:r>
          <w:t xml:space="preserve">Tabla A.21. Estimandos declarados y evaluación de su identificación</w:t>
        </w:r>
        <w:r>
          <w:tab/>
        </w:r>
        <w:r>
          <w:fldChar w:fldCharType="begin"/>
        </w:r>
        <w:r>
          <w:instrText xml:space="preserve"> PAGEREF rot_Tabla_A_21 \h </w:instrText>
        </w:r>
        <w:r>
          <w:fldChar w:fldCharType="separate"/>
        </w:r>
        <w:r>
          <w:t>31</w:t>
        </w:r>
        <w:r>
          <w:fldChar w:fldCharType="end"/>
        </w:r>
      </w:hyperlink>
    </w:p>
    <w:p>
      <w:pPr>
        <w:pStyle w:val="Indice"/>
        <w:tabs>
          <w:tab w:val="right" w:leader="dot" w:pos="9974"/>
        </w:tabs>
        <w:spacing w:before="40" w:after="40"/>
        <w:ind w:left="1134" w:hanging="1134"/>
      </w:pPr>
      <w:hyperlink w:anchor="rot_Tabla_A_22" w:history="1">
        <w:r>
          <w:t xml:space="preserve">Tabla A.22. Roles de las variables en el grafo del estimando E1 y regla de ajuste</w:t>
        </w:r>
        <w:r>
          <w:tab/>
        </w:r>
        <w:r>
          <w:fldChar w:fldCharType="begin"/>
        </w:r>
        <w:r>
          <w:instrText xml:space="preserve"> PAGEREF rot_Tabla_A_22 \h </w:instrText>
        </w:r>
        <w:r>
          <w:fldChar w:fldCharType="separate"/>
        </w:r>
        <w:r>
          <w:t>33</w:t>
        </w:r>
        <w:r>
          <w:fldChar w:fldCharType="end"/>
        </w:r>
      </w:hyperlink>
    </w:p>
    <w:p>
      <w:pPr>
        <w:pStyle w:val="Indice"/>
        <w:tabs>
          <w:tab w:val="right" w:leader="dot" w:pos="9974"/>
        </w:tabs>
        <w:spacing w:before="40" w:after="40"/>
        <w:ind w:left="1134" w:hanging="1134"/>
      </w:pPr>
      <w:hyperlink w:anchor="rot_Tabla_A_23" w:history="1">
        <w:r>
          <w:t xml:space="preserve">Tabla A.23. Grafos rivales, amenaza a la identificación y resultado</w:t>
        </w:r>
        <w:r>
          <w:tab/>
        </w:r>
        <w:r>
          <w:fldChar w:fldCharType="begin"/>
        </w:r>
        <w:r>
          <w:instrText xml:space="preserve"> PAGEREF rot_Tabla_A_23 \h </w:instrText>
        </w:r>
        <w:r>
          <w:fldChar w:fldCharType="separate"/>
        </w:r>
        <w:r>
          <w:t>36</w:t>
        </w:r>
        <w:r>
          <w:fldChar w:fldCharType="end"/>
        </w:r>
      </w:hyperlink>
    </w:p>
    <w:p>
      <w:pPr>
        <w:pStyle w:val="Indice"/>
        <w:tabs>
          <w:tab w:val="right" w:leader="dot" w:pos="9974"/>
        </w:tabs>
        <w:spacing w:before="40" w:after="40"/>
        <w:ind w:left="1134" w:hanging="1134"/>
      </w:pPr>
      <w:hyperlink w:anchor="rot_Tabla_A_24" w:history="1">
        <w:r>
          <w:t xml:space="preserve">Tabla A.24. Estatutos de afirmación causal y lenguaje permitido</w:t>
        </w:r>
        <w:r>
          <w:tab/>
        </w:r>
        <w:r>
          <w:fldChar w:fldCharType="begin"/>
        </w:r>
        <w:r>
          <w:instrText xml:space="preserve"> PAGEREF rot_Tabla_A_24 \h </w:instrText>
        </w:r>
        <w:r>
          <w:fldChar w:fldCharType="separate"/>
        </w:r>
        <w:r>
          <w:t>37</w:t>
        </w:r>
        <w:r>
          <w:fldChar w:fldCharType="end"/>
        </w:r>
      </w:hyperlink>
    </w:p>
    <w:p>
      <w:pPr>
        <w:pStyle w:val="Indice"/>
        <w:tabs>
          <w:tab w:val="right" w:leader="dot" w:pos="9974"/>
        </w:tabs>
        <w:spacing w:before="40" w:after="40"/>
        <w:ind w:left="1134" w:hanging="1134"/>
      </w:pPr>
      <w:hyperlink w:anchor="rot_Tabla_A_25" w:history="1">
        <w:r>
          <w:t xml:space="preserve">Tabla A.25. Pruebas de robustez que el diseño contempla</w:t>
        </w:r>
        <w:r>
          <w:tab/>
        </w:r>
        <w:r>
          <w:fldChar w:fldCharType="begin"/>
        </w:r>
        <w:r>
          <w:instrText xml:space="preserve"> PAGEREF rot_Tabla_A_25 \h </w:instrText>
        </w:r>
        <w:r>
          <w:fldChar w:fldCharType="separate"/>
        </w:r>
        <w:r>
          <w:t>37</w:t>
        </w:r>
        <w:r>
          <w:fldChar w:fldCharType="end"/>
        </w:r>
      </w:hyperlink>
    </w:p>
    <w:p>
      <w:pPr>
        <w:pStyle w:val="Indice"/>
        <w:tabs>
          <w:tab w:val="right" w:leader="dot" w:pos="9974"/>
        </w:tabs>
        <w:spacing w:before="40" w:after="40"/>
        <w:ind w:left="1134" w:hanging="1134"/>
      </w:pPr>
      <w:hyperlink w:anchor="rot_Tabla_A_26" w:history="1">
        <w:r>
          <w:t xml:space="preserve">Tabla A.26. Correspondencia entre el árbol de la sección 5.4 y los nodos del modelo</w:t>
        </w:r>
        <w:r>
          <w:tab/>
        </w:r>
        <w:r>
          <w:fldChar w:fldCharType="begin"/>
        </w:r>
        <w:r>
          <w:instrText xml:space="preserve"> PAGEREF rot_Tabla_A_26 \h </w:instrText>
        </w:r>
        <w:r>
          <w:fldChar w:fldCharType="separate"/>
        </w:r>
        <w:r>
          <w:t>38</w:t>
        </w:r>
        <w:r>
          <w:fldChar w:fldCharType="end"/>
        </w:r>
      </w:hyperlink>
    </w:p>
    <w:p>
      <w:pPr>
        <w:pStyle w:val="Indice"/>
        <w:tabs>
          <w:tab w:val="right" w:leader="dot" w:pos="9974"/>
        </w:tabs>
        <w:spacing w:before="40" w:after="40"/>
        <w:ind w:left="1134" w:hanging="1134"/>
      </w:pPr>
      <w:hyperlink w:anchor="rot_Tabla_A_27" w:history="1">
        <w:r>
          <w:t xml:space="preserve">Tabla A.27. Relaciones dibujadas en el árbol de problemas, con su explicación rival principal</w:t>
        </w:r>
        <w:r>
          <w:tab/>
        </w:r>
        <w:r>
          <w:fldChar w:fldCharType="begin"/>
        </w:r>
        <w:r>
          <w:instrText xml:space="preserve"> PAGEREF rot_Tabla_A_27 \h </w:instrText>
        </w:r>
        <w:r>
          <w:fldChar w:fldCharType="separate"/>
        </w:r>
        <w:r>
          <w:t>40</w:t>
        </w:r>
        <w:r>
          <w:fldChar w:fldCharType="end"/>
        </w:r>
      </w:hyperlink>
    </w:p>
    <w:p>
      <w:pPr>
        <w:pStyle w:val="Indice"/>
        <w:tabs>
          <w:tab w:val="right" w:leader="dot" w:pos="9974"/>
        </w:tabs>
        <w:spacing w:before="40" w:after="40"/>
        <w:ind w:left="1134" w:hanging="1134"/>
      </w:pPr>
      <w:hyperlink w:anchor="rot_Tabla_A_28" w:history="1">
        <w:r>
          <w:t xml:space="preserve">Tabla A.28. Alternativas del análisis y su correspondencia con la sección 13</w:t>
        </w:r>
        <w:r>
          <w:tab/>
        </w:r>
        <w:r>
          <w:fldChar w:fldCharType="begin"/>
        </w:r>
        <w:r>
          <w:instrText xml:space="preserve"> PAGEREF rot_Tabla_A_28 \h </w:instrText>
        </w:r>
        <w:r>
          <w:fldChar w:fldCharType="separate"/>
        </w:r>
        <w:r>
          <w:t>41</w:t>
        </w:r>
        <w:r>
          <w:fldChar w:fldCharType="end"/>
        </w:r>
      </w:hyperlink>
    </w:p>
    <w:p>
      <w:pPr>
        <w:pStyle w:val="Indice"/>
        <w:tabs>
          <w:tab w:val="right" w:leader="dot" w:pos="9974"/>
        </w:tabs>
        <w:spacing w:before="40" w:after="40"/>
        <w:ind w:left="1134" w:hanging="1134"/>
      </w:pPr>
      <w:hyperlink w:anchor="rot_Tabla_A_29" w:history="1">
        <w:r>
          <w:t xml:space="preserve">Tabla A.29. Matriz de compensaciones sin agregación</w:t>
        </w:r>
        <w:r>
          <w:tab/>
        </w:r>
        <w:r>
          <w:fldChar w:fldCharType="begin"/>
        </w:r>
        <w:r>
          <w:instrText xml:space="preserve"> PAGEREF rot_Tabla_A_29 \h </w:instrText>
        </w:r>
        <w:r>
          <w:fldChar w:fldCharType="separate"/>
        </w:r>
        <w:r>
          <w:t>42</w:t>
        </w:r>
        <w:r>
          <w:fldChar w:fldCharType="end"/>
        </w:r>
      </w:hyperlink>
    </w:p>
    <w:p>
      <w:pPr>
        <w:pStyle w:val="Indice"/>
        <w:tabs>
          <w:tab w:val="right" w:leader="dot" w:pos="9974"/>
        </w:tabs>
        <w:spacing w:before="40" w:after="40"/>
        <w:ind w:left="1134" w:hanging="1134"/>
      </w:pPr>
      <w:hyperlink w:anchor="rot_Tabla_A_30" w:history="1">
        <w:r>
          <w:t xml:space="preserve">Tabla A.30. Supuestos críticos de la teoría del cambio y su verificación en el proyecto</w:t>
        </w:r>
        <w:r>
          <w:tab/>
        </w:r>
        <w:r>
          <w:fldChar w:fldCharType="begin"/>
        </w:r>
        <w:r>
          <w:instrText xml:space="preserve"> PAGEREF rot_Tabla_A_30 \h </w:instrText>
        </w:r>
        <w:r>
          <w:fldChar w:fldCharType="separate"/>
        </w:r>
        <w:r>
          <w:t>45</w:t>
        </w:r>
        <w:r>
          <w:fldChar w:fldCharType="end"/>
        </w:r>
      </w:hyperlink>
    </w:p>
    <w:p>
      <w:pPr>
        <w:pStyle w:val="Indice"/>
        <w:tabs>
          <w:tab w:val="right" w:leader="dot" w:pos="9974"/>
        </w:tabs>
        <w:spacing w:before="40" w:after="40"/>
        <w:ind w:left="1134" w:hanging="1134"/>
      </w:pPr>
      <w:hyperlink w:anchor="rot_Tabla_A_31" w:history="1">
        <w:r>
          <w:t xml:space="preserve">Tabla A.31. Brechas del análisis, efecto y ruta de resolución</w:t>
        </w:r>
        <w:r>
          <w:tab/>
        </w:r>
        <w:r>
          <w:fldChar w:fldCharType="begin"/>
        </w:r>
        <w:r>
          <w:instrText xml:space="preserve"> PAGEREF rot_Tabla_A_31 \h </w:instrText>
        </w:r>
        <w:r>
          <w:fldChar w:fldCharType="separate"/>
        </w:r>
        <w:r>
          <w:t>47</w:t>
        </w:r>
        <w:r>
          <w:fldChar w:fldCharType="end"/>
        </w:r>
      </w:hyperlink>
    </w:p>
    <w:p>
      <w:pPr>
        <w:pStyle w:val="FrontTitulo"/>
      </w:pPr>
      <w:r>
        <w:t xml:space="preserve">Índice de figuras</w:t>
      </w:r>
    </w:p>
    <w:p>
      <w:pPr>
        <w:pStyle w:val="Indice"/>
        <w:tabs>
          <w:tab w:val="right" w:leader="dot" w:pos="9974"/>
        </w:tabs>
        <w:spacing w:before="40" w:after="40"/>
        <w:ind w:left="1134" w:hanging="1134"/>
      </w:pPr>
      <w:hyperlink w:anchor="rot_Figura_A_1" w:history="1">
        <w:r>
          <w:t xml:space="preserve">Figura A.1. Siete vínculos de peso 3 y 16 de peso 2 concentran la influencia directa del escenario de trabajo</w:t>
        </w:r>
        <w:r>
          <w:tab/>
        </w:r>
        <w:r>
          <w:fldChar w:fldCharType="begin"/>
        </w:r>
        <w:r>
          <w:instrText xml:space="preserve"> PAGEREF rot_Figura_A_1 \h </w:instrText>
        </w:r>
        <w:r>
          <w:fldChar w:fldCharType="separate"/>
        </w:r>
        <w:r>
          <w:t>13</w:t>
        </w:r>
        <w:r>
          <w:fldChar w:fldCharType="end"/>
        </w:r>
      </w:hyperlink>
    </w:p>
    <w:p>
      <w:pPr>
        <w:pStyle w:val="Indice"/>
        <w:tabs>
          <w:tab w:val="right" w:leader="dot" w:pos="9974"/>
        </w:tabs>
        <w:spacing w:before="40" w:after="40"/>
        <w:ind w:left="1134" w:hanging="1134"/>
      </w:pPr>
      <w:hyperlink w:anchor="rot_Figura_A_2" w:history="1">
        <w:r>
          <w:t xml:space="preserve">Figura A.2. V02, V06 y V15 quedan en el cuadrante crítico del escenario de trabajo</w:t>
        </w:r>
        <w:r>
          <w:tab/>
        </w:r>
        <w:r>
          <w:fldChar w:fldCharType="begin"/>
        </w:r>
        <w:r>
          <w:instrText xml:space="preserve"> PAGEREF rot_Figura_A_2 \h </w:instrText>
        </w:r>
        <w:r>
          <w:fldChar w:fldCharType="separate"/>
        </w:r>
        <w:r>
          <w:t>16</w:t>
        </w:r>
        <w:r>
          <w:fldChar w:fldCharType="end"/>
        </w:r>
      </w:hyperlink>
    </w:p>
    <w:p>
      <w:pPr>
        <w:pStyle w:val="Indice"/>
        <w:tabs>
          <w:tab w:val="right" w:leader="dot" w:pos="9974"/>
        </w:tabs>
        <w:spacing w:before="40" w:after="40"/>
        <w:ind w:left="1134" w:hanging="1134"/>
      </w:pPr>
      <w:hyperlink w:anchor="rot_Figura_A_3" w:history="1">
        <w:r>
          <w:t xml:space="preserve">Figura A.3. Solo V05, V06 y V14 conservan su clase directa en los cinco escenarios</w:t>
        </w:r>
        <w:r>
          <w:tab/>
        </w:r>
        <w:r>
          <w:fldChar w:fldCharType="begin"/>
        </w:r>
        <w:r>
          <w:instrText xml:space="preserve"> PAGEREF rot_Figura_A_3 \h </w:instrText>
        </w:r>
        <w:r>
          <w:fldChar w:fldCharType="separate"/>
        </w:r>
        <w:r>
          <w:t>18</w:t>
        </w:r>
        <w:r>
          <w:fldChar w:fldCharType="end"/>
        </w:r>
      </w:hyperlink>
    </w:p>
    <w:p>
      <w:pPr>
        <w:pStyle w:val="Indice"/>
        <w:tabs>
          <w:tab w:val="right" w:leader="dot" w:pos="9974"/>
        </w:tabs>
        <w:spacing w:before="40" w:after="40"/>
        <w:ind w:left="1134" w:hanging="1134"/>
      </w:pPr>
      <w:hyperlink w:anchor="rot_Figura_A_4" w:history="1">
        <w:r>
          <w:t xml:space="preserve">Figura A.4. Al considerar recorridos largos, V05 y V03 ganan posiciones de influencia y V06 y V15 las pierden</w:t>
        </w:r>
        <w:r>
          <w:tab/>
        </w:r>
        <w:r>
          <w:fldChar w:fldCharType="begin"/>
        </w:r>
        <w:r>
          <w:instrText xml:space="preserve"> PAGEREF rot_Figura_A_4 \h </w:instrText>
        </w:r>
        <w:r>
          <w:fldChar w:fldCharType="separate"/>
        </w:r>
        <w:r>
          <w:t>25</w:t>
        </w:r>
        <w:r>
          <w:fldChar w:fldCharType="end"/>
        </w:r>
      </w:hyperlink>
    </w:p>
    <w:p>
      <w:pPr>
        <w:pStyle w:val="Indice"/>
        <w:tabs>
          <w:tab w:val="right" w:leader="dot" w:pos="9974"/>
        </w:tabs>
        <w:spacing w:before="40" w:after="40"/>
        <w:ind w:left="1134" w:hanging="1134"/>
      </w:pPr>
      <w:hyperlink w:anchor="rot_Figura_A_5" w:history="1">
        <w:r>
          <w:t xml:space="preserve">Figura A.5. Sin asignación aleatoria, tres variables no medidas abren caminos alternativos entre la calibración y el error</w:t>
        </w:r>
        <w:r>
          <w:tab/>
        </w:r>
        <w:r>
          <w:fldChar w:fldCharType="begin"/>
        </w:r>
        <w:r>
          <w:instrText xml:space="preserve"> PAGEREF rot_Figura_A_5 \h </w:instrText>
        </w:r>
        <w:r>
          <w:fldChar w:fldCharType="separate"/>
        </w:r>
        <w:r>
          <w:t>35</w:t>
        </w:r>
        <w:r>
          <w:fldChar w:fldCharType="end"/>
        </w:r>
      </w:hyperlink>
    </w:p>
    <w:p>
      <w:pPr>
        <w:pStyle w:val="Indice"/>
        <w:tabs>
          <w:tab w:val="right" w:leader="dot" w:pos="9974"/>
        </w:tabs>
        <w:spacing w:before="40" w:after="40"/>
        <w:ind w:left="1134" w:hanging="1134"/>
      </w:pPr>
      <w:hyperlink w:anchor="rot_Figura_A_6" w:history="1">
        <w:r>
          <w:t xml:space="preserve">Figura A.6. El error de medición sin verificar (V06) conecta cuatro causas directas con dos efectos directos</w:t>
        </w:r>
        <w:r>
          <w:tab/>
        </w:r>
        <w:r>
          <w:fldChar w:fldCharType="begin"/>
        </w:r>
        <w:r>
          <w:instrText xml:space="preserve"> PAGEREF rot_Figura_A_6 \h </w:instrText>
        </w:r>
        <w:r>
          <w:fldChar w:fldCharType="separate"/>
        </w:r>
        <w:r>
          <w:t>39</w:t>
        </w:r>
        <w:r>
          <w:fldChar w:fldCharType="end"/>
        </w:r>
      </w:hyperlink>
    </w:p>
    <w:p>
      <w:pPr>
        <w:pStyle w:val="Indice"/>
        <w:tabs>
          <w:tab w:val="right" w:leader="dot" w:pos="9974"/>
        </w:tabs>
        <w:spacing w:before="40" w:after="40"/>
        <w:ind w:left="1134" w:hanging="1134"/>
      </w:pPr>
      <w:hyperlink w:anchor="rot_Figura_A_7" w:history="1">
        <w:r>
          <w:t xml:space="preserve">Figura A.7. Cuatro cadenas llevan de los productos al uso y a la continuidad, y el proyecto se compromete hasta los resultados</w:t>
        </w:r>
        <w:r>
          <w:tab/>
        </w:r>
        <w:r>
          <w:fldChar w:fldCharType="begin"/>
        </w:r>
        <w:r>
          <w:instrText xml:space="preserve"> PAGEREF rot_Figura_A_7 \h </w:instrText>
        </w:r>
        <w:r>
          <w:fldChar w:fldCharType="separate"/>
        </w:r>
        <w:r>
          <w:t>44</w:t>
        </w:r>
        <w:r>
          <w:fldChar w:fldCharType="end"/>
        </w:r>
      </w:hyperlink>
    </w:p>
    <w:p>
      <w:pPr>
        <w:pStyle w:val="FrontTitulo"/>
      </w:pPr>
      <w:r>
        <w:t xml:space="preserve">Lista de siglas</w:t>
      </w:r>
    </w:p>
    <w:p>
      <w:pPr>
        <w:pStyle w:val="Referencia"/>
      </w:pPr>
      <w:r>
        <w:rPr>
          <w:b/>
          <w:bCs/>
        </w:rPr>
        <w:t xml:space="preserve">ARL.</w:t>
      </w:r>
      <w:r>
        <w:t xml:space="preserve"> </w:t>
      </w:r>
      <w:r>
        <w:t xml:space="preserve">Administradora de riesgos laborales.</w:t>
      </w:r>
    </w:p>
    <w:p>
      <w:pPr>
        <w:pStyle w:val="Referencia"/>
      </w:pPr>
      <w:r>
        <w:rPr>
          <w:b/>
          <w:bCs/>
        </w:rPr>
        <w:t xml:space="preserve">HIE.</w:t>
      </w:r>
      <w:r>
        <w:t xml:space="preserve"> </w:t>
      </w:r>
      <w:r>
        <w:t xml:space="preserve">Hipótesis de influencia estructural.</w:t>
      </w:r>
    </w:p>
    <w:p>
      <w:pPr>
        <w:pStyle w:val="Referencia"/>
      </w:pPr>
      <w:r>
        <w:rPr>
          <w:b/>
          <w:bCs/>
        </w:rPr>
        <w:t xml:space="preserve">IDEAM.</w:t>
      </w:r>
      <w:r>
        <w:t xml:space="preserve"> </w:t>
      </w:r>
      <w:r>
        <w:t xml:space="preserve">Instituto de Hidrología, Meteorología y Estudios Ambientales.</w:t>
      </w:r>
    </w:p>
    <w:p>
      <w:pPr>
        <w:pStyle w:val="Referencia"/>
      </w:pPr>
      <w:r>
        <w:rPr>
          <w:b/>
          <w:bCs/>
        </w:rPr>
        <w:t xml:space="preserve">IoT.</w:t>
      </w:r>
      <w:r>
        <w:t xml:space="preserve"> </w:t>
      </w:r>
      <w:r>
        <w:t xml:space="preserve">Internet de las cosas.</w:t>
      </w:r>
    </w:p>
    <w:p>
      <w:pPr>
        <w:pStyle w:val="Referencia"/>
      </w:pPr>
      <w:r>
        <w:rPr>
          <w:b/>
          <w:bCs/>
        </w:rPr>
        <w:t xml:space="preserve">MinCiencias.</w:t>
      </w:r>
      <w:r>
        <w:t xml:space="preserve"> </w:t>
      </w:r>
      <w:r>
        <w:t xml:space="preserve">Ministerio de Ciencia, Tecnología e Innovación.</w:t>
      </w:r>
    </w:p>
    <w:p>
      <w:pPr>
        <w:pStyle w:val="Referencia"/>
      </w:pPr>
      <w:r>
        <w:rPr>
          <w:b/>
          <w:bCs/>
        </w:rPr>
        <w:t xml:space="preserve">NMAE.</w:t>
      </w:r>
      <w:r>
        <w:t xml:space="preserve"> </w:t>
      </w:r>
      <w:r>
        <w:t xml:space="preserve">Error absoluto medio normalizado.</w:t>
      </w:r>
    </w:p>
    <w:p>
      <w:pPr>
        <w:pStyle w:val="Referencia"/>
      </w:pPr>
      <w:r>
        <w:rPr>
          <w:b/>
          <w:bCs/>
        </w:rPr>
        <w:t xml:space="preserve">NRMSE.</w:t>
      </w:r>
      <w:r>
        <w:t xml:space="preserve"> </w:t>
      </w:r>
      <w:r>
        <w:t xml:space="preserve">Error cuadrático medio normalizado.</w:t>
      </w:r>
    </w:p>
    <w:p>
      <w:pPr>
        <w:pStyle w:val="Referencia"/>
      </w:pPr>
      <w:r>
        <w:rPr>
          <w:b/>
          <w:bCs/>
        </w:rPr>
        <w:t xml:space="preserve">PM2,5 y PM10.</w:t>
      </w:r>
      <w:r>
        <w:t xml:space="preserve"> </w:t>
      </w:r>
      <w:r>
        <w:t xml:space="preserve">Material particulado de hasta 2,5 y 10 micrómetros.</w:t>
      </w:r>
    </w:p>
    <w:p>
      <w:pPr>
        <w:pStyle w:val="Referencia"/>
      </w:pPr>
      <w:r>
        <w:rPr>
          <w:b/>
          <w:bCs/>
        </w:rPr>
        <w:t xml:space="preserve">R².</w:t>
      </w:r>
      <w:r>
        <w:t xml:space="preserve"> </w:t>
      </w:r>
      <w:r>
        <w:t xml:space="preserve">Coeficiente de determinación.</w:t>
      </w:r>
    </w:p>
    <w:p>
      <w:pPr>
        <w:pStyle w:val="Referencia"/>
      </w:pPr>
      <w:r>
        <w:rPr>
          <w:b/>
          <w:bCs/>
        </w:rPr>
        <w:t xml:space="preserve">SGR.</w:t>
      </w:r>
      <w:r>
        <w:t xml:space="preserve"> </w:t>
      </w:r>
      <w:r>
        <w:t xml:space="preserve">Sistema General de Regalías.</w:t>
      </w:r>
    </w:p>
    <w:p>
      <w:pPr>
        <w:pStyle w:val="Referencia"/>
      </w:pPr>
      <w:r>
        <w:rPr>
          <w:b/>
          <w:bCs/>
        </w:rPr>
        <w:t xml:space="preserve">TdR.</w:t>
      </w:r>
      <w:r>
        <w:t xml:space="preserve"> </w:t>
      </w:r>
      <w:r>
        <w:t xml:space="preserve">Términos de referencia.</w:t>
      </w:r>
    </w:p>
    <w:p>
      <w:pPr>
        <w:pStyle w:val="Referencia"/>
      </w:pPr>
      <w:r>
        <w:rPr>
          <w:b/>
          <w:bCs/>
        </w:rPr>
        <w:t xml:space="preserve">UNGRD.</w:t>
      </w:r>
      <w:r>
        <w:t xml:space="preserve"> </w:t>
      </w:r>
      <w:r>
        <w:t xml:space="preserve">Unidad Nacional para la Gestión del Riesgo de Desastres.</w:t>
      </w:r>
    </w:p>
    <w:bookmarkStart w:id="75" w:name="Xb8f5d328cc3560a4774dbf216897d0878bba65d"/>
    <w:p>
      <w:pPr>
        <w:pStyle w:val="Heading1"/>
        <w:pageBreakBefore/>
      </w:pPr>
      <w:r>
        <w:t xml:space="preserve">ANEXO A. ANÁLISIS DEL PROBLEMA PÚBLICO Y DE LA ESTRUCTURA CAUSAL</w:t>
      </w:r>
    </w:p>
    <w:p>
      <w:pPr>
        <w:pStyle w:val="FirstParagraph"/>
      </w:pPr>
      <w:r>
        <w:t xml:space="preserve">Este anexo documenta el análisis que sustenta las secciones 5, 12, 13, 14 y 17 del Anexo 2. Reúne cinco componentes. Son la construcción del problema público, el modelo estructural de quince variables y la clasificación de variables para la inferencia causal. Son también el árbol de problemas completo y la teoría del cambio. El anexo no sustituye ninguna sección del Anexo 2 y no agrega compromisos al proyecto. Cada resultado indica la sección que lo usa. Se separa del cuerpo del documento para conservar la claridad del Anexo 2. Los títulos de este se mantienen textuales según el numeral 10.6 de los TdR.</w:t>
      </w:r>
    </w:p>
    <w:bookmarkStart w:id="20" w:name="X348813807c0cff4a36c466ee8480ef9158cd093"/>
    <w:p>
      <w:pPr>
        <w:pStyle w:val="Heading2"/>
      </w:pPr>
      <w:r>
        <w:t xml:space="preserve">A.1. Propósito, alcance y lectura del anexo</w:t>
      </w:r>
    </w:p>
    <w:p>
      <w:pPr>
        <w:pStyle w:val="FirstParagraph"/>
      </w:pPr>
      <w:r>
        <w:t xml:space="preserve">Los términos de referencia exigen un problema central con causas y efectos (Ministerio de Ciencia, Tecnología e Innovación [MinCiencias], 2026). El Anexo 2 presenta el árbol resultante y sus indicadores. Este anexo muestra cómo se obtuvo y qué límites tiene. Así permite al evaluador verificar que el diseño del proyecto responde a una estructura de causas y no a una preferencia por una solución.</w:t>
      </w:r>
    </w:p>
    <w:p>
      <w:pPr>
        <w:pStyle w:val="BodyText"/>
      </w:pPr>
      <w:r>
        <w:t xml:space="preserve">Dos reglas orientan la lectura. La primera se refiere al tipo de afirmación. Una hipótesis de influencia estructural (HIE) es un juicio ordinal sobre cuánto una variable condiciona a otra dentro del modelo. No es un efecto estimado con datos (Pearl y Mackenzie, 2018). Todas las relaciones de este anexo son HIE, salvo que el texto indique otra cosa.</w:t>
      </w:r>
    </w:p>
    <w:p>
      <w:pPr>
        <w:pStyle w:val="BodyText"/>
      </w:pPr>
      <w:r>
        <w:t xml:space="preserve">La segunda regla se refiere al origen de los valores. Los valores de influencia son juicios de formulación, cada uno con su mecanismo, su explicación rival y su nivel de confianza. Ningún panel externo los ha adjudicado. La sección A.11 propone la ruta para hacerlo.</w:t>
      </w:r>
    </w:p>
    <w:p>
      <w:pPr>
        <w:pStyle w:val="BodyText"/>
      </w:pPr>
      <w:r>
        <w:t xml:space="preserve">El análisis estructural cubre el problema de medición, con quince variables. El laboratorio de modelación atiende una brecha complementaria de predicción, que la sección 5.2.2 del Anexo 2 describe y que no integra la matriz. La subsección A.10.3 trata su teoría del cambio y sus supuestos críticos. No se le asignan fichas ni valores de influencia.</w:t>
      </w:r>
    </w:p>
    <w:p>
      <w:pPr>
        <w:pStyle w:val="BodyText"/>
      </w:pPr>
      <w:r>
        <w:t xml:space="preserve">La Tabla A.1 relaciona cada apartado con la sección del Anexo 2 que lo usa.</w:t>
      </w:r>
    </w:p>
    <w:p>
      <w:pPr>
        <w:pStyle w:val="TablaRotulo"/>
      </w:pPr>
      <w:bookmarkStart w:id="9001" w:name="rot_Tabla_A_1"/>
      <w:r>
        <w:rPr>
          <w:b/>
          <w:bCs/>
        </w:rPr>
        <w:t xml:space="preserve">Tabla A.1</w:t>
      </w:r>
      <w:bookmarkEnd w:id="9001"/>
    </w:p>
    <w:p>
      <w:pPr>
        <w:pStyle w:val="TablaTitulo"/>
      </w:pPr>
      <w:r>
        <w:rPr>
          <w:i/>
          <w:iCs/>
        </w:rPr>
        <w:t xml:space="preserve">Relación entre los apartados del anexo y las secciones del Anexo 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01"/>
        <w:gridCol w:w="4894"/>
        <w:gridCol w:w="1659"/>
      </w:tblGrid>
      <w:tr>
        <w:trPr>
          <w:cantSplit/>
          <w:tblHeader w:val="true"/>
          <w:tblHeader/>
        </w:trPr>
        <w:tc>
          <w:tcPr>
            <w:tcW w:w="3401" w:type="dxa"/>
            <w:tcBorders>
              <w:bottom w:val="single" w:sz="12" w:space="0" w:color="6699CC"/>
            </w:tcBorders>
            <w:shd w:val="clear" w:color="auto" w:fill="B9D9EB"/>
          </w:tcPr>
          <w:p>
            <w:pPr>
              <w:pStyle w:val="Tabla9"/>
              <w:keepNext/>
              <w:jc w:val="left"/>
            </w:pPr>
            <w:r>
              <w:rPr>
                <w:b/>
              </w:rPr>
              <w:t xml:space="preserve">Sección del Anexo 2</w:t>
            </w:r>
          </w:p>
        </w:tc>
        <w:tc>
          <w:tcPr>
            <w:tcW w:w="4894" w:type="dxa"/>
            <w:tcBorders>
              <w:bottom w:val="single" w:sz="12" w:space="0" w:color="6699CC"/>
            </w:tcBorders>
            <w:shd w:val="clear" w:color="auto" w:fill="B9D9EB"/>
          </w:tcPr>
          <w:p>
            <w:pPr>
              <w:pStyle w:val="Tabla9"/>
              <w:keepNext/>
              <w:jc w:val="left"/>
            </w:pPr>
            <w:r>
              <w:rPr>
                <w:b/>
              </w:rPr>
              <w:t xml:space="preserve">Qué toma del anexo</w:t>
            </w:r>
          </w:p>
        </w:tc>
        <w:tc>
          <w:tcPr>
            <w:tcW w:w="1659" w:type="dxa"/>
            <w:tcBorders>
              <w:bottom w:val="single" w:sz="12" w:space="0" w:color="6699CC"/>
            </w:tcBorders>
            <w:shd w:val="clear" w:color="auto" w:fill="B9D9EB"/>
          </w:tcPr>
          <w:p>
            <w:pPr>
              <w:pStyle w:val="Tabla9"/>
              <w:keepNext/>
              <w:jc w:val="left"/>
            </w:pPr>
            <w:r>
              <w:rPr>
                <w:b/>
              </w:rPr>
              <w:t xml:space="preserve">Apartado</w:t>
            </w:r>
          </w:p>
        </w:tc>
      </w:tr>
      <w:tr>
        <w:trPr>
          <w:cantSplit/>
        </w:trPr>
        <w:tc>
          <w:tcPr>
            <w:tcW w:w="3401" w:type="dxa"/>
          </w:tcPr>
          <w:p>
            <w:pPr>
              <w:pStyle w:val="Tabla9"/>
              <w:jc w:val="left"/>
            </w:pPr>
            <w:r>
              <w:t xml:space="preserve">5.1 y 5.4. Problema central y árbol de problemas</w:t>
            </w:r>
          </w:p>
        </w:tc>
        <w:tc>
          <w:tcPr>
            <w:tcW w:w="4894" w:type="dxa"/>
          </w:tcPr>
          <w:p>
            <w:pPr>
              <w:pStyle w:val="Tabla9"/>
              <w:jc w:val="left"/>
            </w:pPr>
            <w:r>
              <w:t xml:space="preserve">Construcción del problema, árbol completo con identificadores, pesos y límites</w:t>
            </w:r>
          </w:p>
        </w:tc>
        <w:tc>
          <w:tcPr>
            <w:tcW w:w="1659" w:type="dxa"/>
          </w:tcPr>
          <w:p>
            <w:pPr>
              <w:pStyle w:val="Tabla9"/>
              <w:jc w:val="left"/>
            </w:pPr>
            <w:r>
              <w:t xml:space="preserve">A.2 y A.9</w:t>
            </w:r>
          </w:p>
        </w:tc>
      </w:tr>
      <w:tr>
        <w:trPr>
          <w:cantSplit/>
        </w:trPr>
        <w:tc>
          <w:tcPr>
            <w:tcW w:w="3401" w:type="dxa"/>
            <w:shd w:val="clear" w:color="auto" w:fill="F7F7F7"/>
          </w:tcPr>
          <w:p>
            <w:pPr>
              <w:pStyle w:val="Tabla9"/>
              <w:jc w:val="left"/>
            </w:pPr>
            <w:r>
              <w:t xml:space="preserve">12. Objetivos</w:t>
            </w:r>
          </w:p>
        </w:tc>
        <w:tc>
          <w:tcPr>
            <w:tcW w:w="4894" w:type="dxa"/>
            <w:shd w:val="clear" w:color="auto" w:fill="F7F7F7"/>
          </w:tcPr>
          <w:p>
            <w:pPr>
              <w:pStyle w:val="Tabla9"/>
              <w:jc w:val="left"/>
            </w:pPr>
            <w:r>
              <w:t xml:space="preserve">Separación entre lo que el proyecto controla y lo que solo contribuye</w:t>
            </w:r>
          </w:p>
        </w:tc>
        <w:tc>
          <w:tcPr>
            <w:tcW w:w="1659" w:type="dxa"/>
            <w:shd w:val="clear" w:color="auto" w:fill="F7F7F7"/>
          </w:tcPr>
          <w:p>
            <w:pPr>
              <w:pStyle w:val="Tabla9"/>
              <w:jc w:val="left"/>
            </w:pPr>
            <w:r>
              <w:t xml:space="preserve">A.7 y A.10</w:t>
            </w:r>
          </w:p>
        </w:tc>
      </w:tr>
      <w:tr>
        <w:trPr>
          <w:cantSplit/>
        </w:trPr>
        <w:tc>
          <w:tcPr>
            <w:tcW w:w="3401" w:type="dxa"/>
          </w:tcPr>
          <w:p>
            <w:pPr>
              <w:pStyle w:val="Tabla9"/>
              <w:jc w:val="left"/>
            </w:pPr>
            <w:r>
              <w:t xml:space="preserve">13. Análisis de las alternativas</w:t>
            </w:r>
          </w:p>
        </w:tc>
        <w:tc>
          <w:tcPr>
            <w:tcW w:w="4894" w:type="dxa"/>
          </w:tcPr>
          <w:p>
            <w:pPr>
              <w:pStyle w:val="Tabla9"/>
              <w:jc w:val="left"/>
            </w:pPr>
            <w:r>
              <w:t xml:space="preserve">Condiciones bajo las cuales cambia la elección entre alternativas</w:t>
            </w:r>
          </w:p>
        </w:tc>
        <w:tc>
          <w:tcPr>
            <w:tcW w:w="1659" w:type="dxa"/>
          </w:tcPr>
          <w:p>
            <w:pPr>
              <w:pStyle w:val="Tabla9"/>
              <w:jc w:val="left"/>
            </w:pPr>
            <w:r>
              <w:t xml:space="preserve">A.10</w:t>
            </w:r>
          </w:p>
        </w:tc>
      </w:tr>
      <w:tr>
        <w:trPr>
          <w:cantSplit/>
        </w:trPr>
        <w:tc>
          <w:tcPr>
            <w:tcW w:w="3401" w:type="dxa"/>
            <w:shd w:val="clear" w:color="auto" w:fill="F7F7F7"/>
          </w:tcPr>
          <w:p>
            <w:pPr>
              <w:pStyle w:val="Tabla9"/>
              <w:jc w:val="left"/>
            </w:pPr>
            <w:r>
              <w:t xml:space="preserve">14.2. Técnicas, datos y validación</w:t>
            </w:r>
          </w:p>
        </w:tc>
        <w:tc>
          <w:tcPr>
            <w:tcW w:w="4894" w:type="dxa"/>
            <w:shd w:val="clear" w:color="auto" w:fill="F7F7F7"/>
          </w:tcPr>
          <w:p>
            <w:pPr>
              <w:pStyle w:val="Tabla9"/>
              <w:jc w:val="left"/>
            </w:pPr>
            <w:r>
              <w:t xml:space="preserve">Postura frente a la inferencia causal y pruebas de robustez del diseño</w:t>
            </w:r>
          </w:p>
        </w:tc>
        <w:tc>
          <w:tcPr>
            <w:tcW w:w="1659" w:type="dxa"/>
            <w:shd w:val="clear" w:color="auto" w:fill="F7F7F7"/>
          </w:tcPr>
          <w:p>
            <w:pPr>
              <w:pStyle w:val="Tabla9"/>
              <w:jc w:val="left"/>
            </w:pPr>
            <w:r>
              <w:t xml:space="preserve">A.8</w:t>
            </w:r>
          </w:p>
        </w:tc>
      </w:tr>
      <w:tr>
        <w:trPr>
          <w:cantSplit/>
        </w:trPr>
        <w:tc>
          <w:tcPr>
            <w:tcW w:w="3401" w:type="dxa"/>
          </w:tcPr>
          <w:p>
            <w:pPr>
              <w:pStyle w:val="Tabla9"/>
              <w:jc w:val="left"/>
            </w:pPr>
            <w:r>
              <w:t xml:space="preserve">17. Resultados e impactos</w:t>
            </w:r>
          </w:p>
        </w:tc>
        <w:tc>
          <w:tcPr>
            <w:tcW w:w="4894" w:type="dxa"/>
          </w:tcPr>
          <w:p>
            <w:pPr>
              <w:pStyle w:val="Tabla9"/>
              <w:jc w:val="left"/>
            </w:pPr>
            <w:r>
              <w:t xml:space="preserve">Techo de rendición de cuentas y cadena de resultados</w:t>
            </w:r>
          </w:p>
        </w:tc>
        <w:tc>
          <w:tcPr>
            <w:tcW w:w="1659" w:type="dxa"/>
          </w:tcPr>
          <w:p>
            <w:pPr>
              <w:pStyle w:val="Tabla9"/>
              <w:jc w:val="left"/>
            </w:pPr>
            <w:r>
              <w:t xml:space="preserve">A.10</w:t>
            </w:r>
          </w:p>
        </w:tc>
      </w:tr>
      <w:tr>
        <w:trPr>
          <w:cantSplit/>
        </w:trPr>
        <w:tc>
          <w:tcPr>
            <w:tcW w:w="3401" w:type="dxa"/>
            <w:shd w:val="clear" w:color="auto" w:fill="F7F7F7"/>
          </w:tcPr>
          <w:p>
            <w:pPr>
              <w:pStyle w:val="Tabla9"/>
              <w:keepNext/>
              <w:jc w:val="left"/>
            </w:pPr>
            <w:r>
              <w:t xml:space="preserve">22. Análisis de riesgos</w:t>
            </w:r>
          </w:p>
        </w:tc>
        <w:tc>
          <w:tcPr>
            <w:tcW w:w="4894" w:type="dxa"/>
            <w:shd w:val="clear" w:color="auto" w:fill="F7F7F7"/>
          </w:tcPr>
          <w:p>
            <w:pPr>
              <w:pStyle w:val="Tabla9"/>
              <w:keepNext/>
              <w:jc w:val="left"/>
            </w:pPr>
            <w:r>
              <w:t xml:space="preserve">Supuestos críticos, señales de activación y brechas del análisis</w:t>
            </w:r>
          </w:p>
        </w:tc>
        <w:tc>
          <w:tcPr>
            <w:tcW w:w="1659" w:type="dxa"/>
            <w:shd w:val="clear" w:color="auto" w:fill="F7F7F7"/>
          </w:tcPr>
          <w:p>
            <w:pPr>
              <w:pStyle w:val="Tabla9"/>
              <w:keepNext/>
              <w:jc w:val="left"/>
            </w:pPr>
            <w:r>
              <w:t xml:space="preserve">A.10 y A.11</w:t>
            </w:r>
          </w:p>
        </w:tc>
      </w:tr>
    </w:tbl>
    <w:p>
      <w:pPr>
        <w:pStyle w:val="TablaNota"/>
      </w:pPr>
      <w:r>
        <w:rPr>
          <w:i/>
          <w:iCs/>
        </w:rPr>
        <w:t xml:space="preserve">Nota.</w:t>
      </w:r>
      <w:r>
        <w:t xml:space="preserve"> </w:t>
      </w:r>
      <w:r>
        <w:t xml:space="preserve">Elaboración propia con la estructura del Anexo 2.</w:t>
      </w:r>
    </w:p>
    <w:bookmarkEnd w:id="20"/>
    <w:bookmarkStart w:id="25" w:name="a.2.-construcción-del-problema-público"/>
    <w:p>
      <w:pPr>
        <w:pStyle w:val="Heading2"/>
      </w:pPr>
      <w:r>
        <w:t xml:space="preserve">A.2. Construcción del problema público</w:t>
      </w:r>
    </w:p>
    <w:p>
      <w:pPr>
        <w:pStyle w:val="FirstParagraph"/>
      </w:pPr>
      <w:r>
        <w:t xml:space="preserve">El problema público se construye antes de modelar sus causas. Esta sección responde cinco preguntas. Qué fenómeno se observa, quién lo representa y de qué manera, qué juicios lo sostienen, qué estructura tiene y en qué dominio causal se ubica.</w:t>
      </w:r>
    </w:p>
    <w:bookmarkStart w:id="21" w:name="a.2.1-delimitación-del-fenómeno"/>
    <w:p>
      <w:pPr>
        <w:pStyle w:val="Heading3"/>
      </w:pPr>
      <w:r>
        <w:t xml:space="preserve">A.2.1 Delimitación del fenómeno</w:t>
      </w:r>
    </w:p>
    <w:p>
      <w:pPr>
        <w:pStyle w:val="FirstParagraph"/>
      </w:pPr>
      <w:r>
        <w:t xml:space="preserve">La Tabla A.2 delimita el fenómeno con un campo por característica. El enunciado describe un estado observable y no una solución. La solución preferida figura aparte, como hipótesis de intervención que A.10 examina.</w:t>
      </w:r>
    </w:p>
    <w:p>
      <w:pPr>
        <w:pStyle w:val="TablaRotulo"/>
      </w:pPr>
      <w:bookmarkStart w:id="9002" w:name="rot_Tabla_A_2"/>
      <w:r>
        <w:rPr>
          <w:b/>
          <w:bCs/>
        </w:rPr>
        <w:t xml:space="preserve">Tabla A.2</w:t>
      </w:r>
      <w:bookmarkEnd w:id="9002"/>
    </w:p>
    <w:p>
      <w:pPr>
        <w:pStyle w:val="TablaTitulo"/>
      </w:pPr>
      <w:r>
        <w:rPr>
          <w:i/>
          <w:iCs/>
        </w:rPr>
        <w:t xml:space="preserve">Delimitación del fenómeno que el proyecto atiende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6636"/>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Campo</w:t>
            </w:r>
          </w:p>
        </w:tc>
        <w:tc>
          <w:tcPr>
            <w:tcW w:w="6636" w:type="dxa"/>
            <w:tcBorders>
              <w:bottom w:val="single" w:sz="12" w:space="0" w:color="6699CC"/>
            </w:tcBorders>
            <w:shd w:val="clear" w:color="auto" w:fill="B9D9EB"/>
          </w:tcPr>
          <w:p>
            <w:pPr>
              <w:pStyle w:val="Tabla9"/>
              <w:keepNext/>
              <w:jc w:val="left"/>
            </w:pPr>
            <w:r>
              <w:rPr>
                <w:b/>
              </w:rPr>
              <w:t xml:space="preserve">Contenido</w:t>
            </w:r>
          </w:p>
        </w:tc>
      </w:tr>
      <w:tr>
        <w:trPr>
          <w:cantSplit/>
        </w:trPr>
        <w:tc>
          <w:tcPr>
            <w:tcW w:w="3318" w:type="dxa"/>
          </w:tcPr>
          <w:p>
            <w:pPr>
              <w:pStyle w:val="Tabla9"/>
              <w:jc w:val="left"/>
            </w:pPr>
            <w:r>
              <w:t xml:space="preserve">Fenómeno observado</w:t>
            </w:r>
          </w:p>
        </w:tc>
        <w:tc>
          <w:tcPr>
            <w:tcW w:w="6636" w:type="dxa"/>
          </w:tcPr>
          <w:p>
            <w:pPr>
              <w:pStyle w:val="Tabla9"/>
              <w:jc w:val="left"/>
            </w:pPr>
            <w:r>
              <w:t xml:space="preserve">En los sitios de remoción de escombros posteriores al sismo, la medición de PM2,5 y PM10 con sensores de bajo costo no se verifica frente a una referencia</w:t>
            </w:r>
          </w:p>
        </w:tc>
      </w:tr>
      <w:tr>
        <w:trPr>
          <w:cantSplit/>
        </w:trPr>
        <w:tc>
          <w:tcPr>
            <w:tcW w:w="3318" w:type="dxa"/>
            <w:shd w:val="clear" w:color="auto" w:fill="F7F7F7"/>
          </w:tcPr>
          <w:p>
            <w:pPr>
              <w:pStyle w:val="Tabla9"/>
              <w:jc w:val="left"/>
            </w:pPr>
            <w:r>
              <w:t xml:space="preserve">Unidad decisora</w:t>
            </w:r>
          </w:p>
        </w:tc>
        <w:tc>
          <w:tcPr>
            <w:tcW w:w="6636" w:type="dxa"/>
            <w:shd w:val="clear" w:color="auto" w:fill="F7F7F7"/>
          </w:tcPr>
          <w:p>
            <w:pPr>
              <w:pStyle w:val="Tabla9"/>
              <w:jc w:val="left"/>
            </w:pPr>
            <w:r>
              <w:t xml:space="preserve">El equipo formulador diseña la propuesta y el financiador decide la asignación. Los consejos de gestión del riesgo deciden las alertas</w:t>
            </w:r>
          </w:p>
        </w:tc>
      </w:tr>
      <w:tr>
        <w:trPr>
          <w:cantSplit/>
        </w:trPr>
        <w:tc>
          <w:tcPr>
            <w:tcW w:w="3318" w:type="dxa"/>
          </w:tcPr>
          <w:p>
            <w:pPr>
              <w:pStyle w:val="Tabla9"/>
              <w:jc w:val="left"/>
            </w:pPr>
            <w:r>
              <w:t xml:space="preserve">Población afectada</w:t>
            </w:r>
          </w:p>
        </w:tc>
        <w:tc>
          <w:tcPr>
            <w:tcW w:w="6636" w:type="dxa"/>
          </w:tcPr>
          <w:p>
            <w:pPr>
              <w:pStyle w:val="Tabla9"/>
              <w:jc w:val="left"/>
            </w:pPr>
            <w:r>
              <w:t xml:space="preserve">Operarios de remoción y comunidades colindantes. La cifra se documenta en la sección 11</w:t>
            </w:r>
          </w:p>
        </w:tc>
      </w:tr>
      <w:tr>
        <w:trPr>
          <w:cantSplit/>
        </w:trPr>
        <w:tc>
          <w:tcPr>
            <w:tcW w:w="3318" w:type="dxa"/>
            <w:shd w:val="clear" w:color="auto" w:fill="F7F7F7"/>
          </w:tcPr>
          <w:p>
            <w:pPr>
              <w:pStyle w:val="Tabla9"/>
              <w:jc w:val="left"/>
            </w:pPr>
            <w:r>
              <w:t xml:space="preserve">Territorio</w:t>
            </w:r>
          </w:p>
        </w:tc>
        <w:tc>
          <w:tcPr>
            <w:tcW w:w="6636" w:type="dxa"/>
            <w:shd w:val="clear" w:color="auto" w:fill="F7F7F7"/>
          </w:tcPr>
          <w:p>
            <w:pPr>
              <w:pStyle w:val="Tabla9"/>
              <w:jc w:val="left"/>
            </w:pPr>
            <w:r>
              <w:t xml:space="preserve">Manizales (Caldas) y Calarcá (Quindío), con cuatro consejos de gestión del riesgo</w:t>
            </w:r>
          </w:p>
        </w:tc>
      </w:tr>
      <w:tr>
        <w:trPr>
          <w:cantSplit/>
        </w:trPr>
        <w:tc>
          <w:tcPr>
            <w:tcW w:w="3318" w:type="dxa"/>
          </w:tcPr>
          <w:p>
            <w:pPr>
              <w:pStyle w:val="Tabla9"/>
              <w:jc w:val="left"/>
            </w:pPr>
            <w:r>
              <w:t xml:space="preserve">Horizonte</w:t>
            </w:r>
          </w:p>
        </w:tc>
        <w:tc>
          <w:tcPr>
            <w:tcW w:w="6636" w:type="dxa"/>
          </w:tcPr>
          <w:p>
            <w:pPr>
              <w:pStyle w:val="Tabla9"/>
              <w:jc w:val="left"/>
            </w:pPr>
            <w:r>
              <w:t xml:space="preserve">24 meses de ejecución y 12 meses posteriores al cierre, en total 36 meses</w:t>
            </w:r>
          </w:p>
        </w:tc>
      </w:tr>
      <w:tr>
        <w:trPr>
          <w:cantSplit/>
        </w:trPr>
        <w:tc>
          <w:tcPr>
            <w:tcW w:w="3318" w:type="dxa"/>
            <w:shd w:val="clear" w:color="auto" w:fill="F7F7F7"/>
          </w:tcPr>
          <w:p>
            <w:pPr>
              <w:pStyle w:val="Tabla9"/>
              <w:jc w:val="left"/>
            </w:pPr>
            <w:r>
              <w:t xml:space="preserve">Nivel de agregación</w:t>
            </w:r>
          </w:p>
        </w:tc>
        <w:tc>
          <w:tcPr>
            <w:tcW w:w="6636" w:type="dxa"/>
            <w:shd w:val="clear" w:color="auto" w:fill="F7F7F7"/>
          </w:tcPr>
          <w:p>
            <w:pPr>
              <w:pStyle w:val="Tabla9"/>
              <w:jc w:val="left"/>
            </w:pPr>
            <w:r>
              <w:t xml:space="preserve">Nodo y semana en la medición; municipio y mes en la adopción institucional</w:t>
            </w:r>
          </w:p>
        </w:tc>
      </w:tr>
      <w:tr>
        <w:trPr>
          <w:cantSplit/>
        </w:trPr>
        <w:tc>
          <w:tcPr>
            <w:tcW w:w="3318" w:type="dxa"/>
          </w:tcPr>
          <w:p>
            <w:pPr>
              <w:pStyle w:val="Tabla9"/>
              <w:jc w:val="left"/>
            </w:pPr>
            <w:r>
              <w:t xml:space="preserve">Síntoma</w:t>
            </w:r>
          </w:p>
        </w:tc>
        <w:tc>
          <w:tcPr>
            <w:tcW w:w="6636" w:type="dxa"/>
          </w:tcPr>
          <w:p>
            <w:pPr>
              <w:pStyle w:val="Tabla9"/>
              <w:jc w:val="left"/>
            </w:pPr>
            <w:r>
              <w:t xml:space="preserve">Lecturas con error no cuantificado en el territorio. La línea base propia se mide con la colocalización del tramo 1</w:t>
            </w:r>
          </w:p>
        </w:tc>
      </w:tr>
      <w:tr>
        <w:trPr>
          <w:cantSplit/>
        </w:trPr>
        <w:tc>
          <w:tcPr>
            <w:tcW w:w="3318" w:type="dxa"/>
            <w:shd w:val="clear" w:color="auto" w:fill="F7F7F7"/>
          </w:tcPr>
          <w:p>
            <w:pPr>
              <w:pStyle w:val="Tabla9"/>
              <w:jc w:val="left"/>
            </w:pPr>
            <w:r>
              <w:t xml:space="preserve">Problema como estado observable</w:t>
            </w:r>
          </w:p>
        </w:tc>
        <w:tc>
          <w:tcPr>
            <w:tcW w:w="6636" w:type="dxa"/>
            <w:shd w:val="clear" w:color="auto" w:fill="F7F7F7"/>
          </w:tcPr>
          <w:p>
            <w:pPr>
              <w:pStyle w:val="Tabla9"/>
              <w:jc w:val="left"/>
            </w:pPr>
            <w:r>
              <w:t xml:space="preserve">En los sitios de remoción no se dispone de mediciones de PM2,5 y PM10 verificadas frente a una referencia ni de alertas incorporadas en protocolos de decisión</w:t>
            </w:r>
          </w:p>
        </w:tc>
      </w:tr>
      <w:tr>
        <w:trPr>
          <w:cantSplit/>
        </w:trPr>
        <w:tc>
          <w:tcPr>
            <w:tcW w:w="3318" w:type="dxa"/>
          </w:tcPr>
          <w:p>
            <w:pPr>
              <w:pStyle w:val="Tabla9"/>
              <w:jc w:val="left"/>
            </w:pPr>
            <w:r>
              <w:t xml:space="preserve">Explicación propuesta</w:t>
            </w:r>
          </w:p>
        </w:tc>
        <w:tc>
          <w:tcPr>
            <w:tcW w:w="6636" w:type="dxa"/>
          </w:tcPr>
          <w:p>
            <w:pPr>
              <w:pStyle w:val="Tabla9"/>
              <w:jc w:val="left"/>
            </w:pPr>
            <w:r>
              <w:t xml:space="preserve">El error de medición actúa como cuello de botella estructural entre el entorno físico y las variables de decisión. Es una HIE</w:t>
            </w:r>
          </w:p>
        </w:tc>
      </w:tr>
      <w:tr>
        <w:trPr>
          <w:cantSplit/>
        </w:trPr>
        <w:tc>
          <w:tcPr>
            <w:tcW w:w="3318" w:type="dxa"/>
            <w:shd w:val="clear" w:color="auto" w:fill="F7F7F7"/>
          </w:tcPr>
          <w:p>
            <w:pPr>
              <w:pStyle w:val="Tabla9"/>
              <w:keepNext/>
              <w:jc w:val="left"/>
            </w:pPr>
            <w:r>
              <w:t xml:space="preserve">Solución preferida</w:t>
            </w:r>
          </w:p>
        </w:tc>
        <w:tc>
          <w:tcPr>
            <w:tcW w:w="6636" w:type="dxa"/>
            <w:shd w:val="clear" w:color="auto" w:fill="F7F7F7"/>
          </w:tcPr>
          <w:p>
            <w:pPr>
              <w:pStyle w:val="Tabla9"/>
              <w:keepNext/>
              <w:jc w:val="left"/>
            </w:pPr>
            <w:r>
              <w:t xml:space="preserve">Red híbrida con corrección en el gateway y gemelo digital, desplegada por tramos. Es una hipótesis de intervención</w:t>
            </w:r>
          </w:p>
        </w:tc>
      </w:tr>
    </w:tbl>
    <w:p>
      <w:pPr>
        <w:pStyle w:val="TablaNota"/>
      </w:pPr>
      <w:r>
        <w:rPr>
          <w:i/>
          <w:iCs/>
        </w:rPr>
        <w:t xml:space="preserve">Nota.</w:t>
      </w:r>
      <w:r>
        <w:t xml:space="preserve"> </w:t>
      </w:r>
      <w:r>
        <w:t xml:space="preserve">Elaboración propia con las secciones 5 y 11 del Anexo 2. El territorio y los consejos corresponden a la formulación vigente.</w:t>
      </w:r>
    </w:p>
    <w:bookmarkEnd w:id="21"/>
    <w:bookmarkStart w:id="22" w:name="X16f5aa9969fa20d60bde51569e519739c579363"/>
    <w:p>
      <w:pPr>
        <w:pStyle w:val="Heading3"/>
      </w:pPr>
      <w:r>
        <w:t xml:space="preserve">A.2.2 Representación del problema y marcos rivales</w:t>
      </w:r>
    </w:p>
    <w:p>
      <w:pPr>
        <w:pStyle w:val="FirstParagraph"/>
      </w:pPr>
      <w:r>
        <w:t xml:space="preserve">Bacchi (2009) propone preguntar cómo se representa un problema, qué supuestos sostienen esa representación, qué queda sin problematizar y qué efectos produce. Schön y Rein (1994) señalan que cada parte interesada encuadra de manera distinta una misma situación. Las dos lecturas orientan el análisis siguiente.</w:t>
      </w:r>
    </w:p>
    <w:p>
      <w:pPr>
        <w:pStyle w:val="BodyText"/>
      </w:pPr>
      <w:r>
        <w:t xml:space="preserve">El problema se representa como una limitación técnica de medición y de comunicaciones. Tres supuestos sostienen esa representación. La causa principal es metrológica y energética. La respuesta es tecnológica. Y los consejos adoptan el tablero mientras una entidad custodia la red. Quedan sin problematizar cuatro asuntos. Son la emisión en la fuente, las acciones que activa la alerta y el umbral normativo aplicable. Es también la responsabilidad de contratistas y administradoras de riesgos laborales (ARL). La emisión en la fuente deja de estar del todo sin problematizar, porque el gemelo predictivo la estima antes de una demolición. El proyecto no la controla.</w:t>
      </w:r>
    </w:p>
    <w:p>
      <w:pPr>
        <w:pStyle w:val="BodyText"/>
      </w:pPr>
      <w:r>
        <w:t xml:space="preserve">La representación también produce un efecto sobre los afectados. Operarios y comunidades figuran como receptores de alertas. Para reducir ese efecto, el proyecto los vincula al co-diseño de los umbrales y del protocolo en los talleres de la sección 19. La Tabla A.3 registra los tres marcos rivales y el tratamiento que reciben.</w:t>
      </w:r>
    </w:p>
    <w:p>
      <w:pPr>
        <w:pStyle w:val="TablaRotulo"/>
      </w:pPr>
      <w:bookmarkStart w:id="9003" w:name="rot_Tabla_A_3"/>
      <w:r>
        <w:rPr>
          <w:b/>
          <w:bCs/>
        </w:rPr>
        <w:t xml:space="preserve">Tabla A.3</w:t>
      </w:r>
      <w:bookmarkEnd w:id="9003"/>
    </w:p>
    <w:p>
      <w:pPr>
        <w:pStyle w:val="TablaTitulo"/>
      </w:pPr>
      <w:r>
        <w:rPr>
          <w:i/>
          <w:iCs/>
        </w:rPr>
        <w:t xml:space="preserve">Marcos rivales del problema y su tratamiento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03"/>
        <w:gridCol w:w="2468"/>
        <w:gridCol w:w="2386"/>
        <w:gridCol w:w="2797"/>
      </w:tblGrid>
      <w:tr>
        <w:trPr>
          <w:cantSplit/>
          <w:tblHeader w:val="true"/>
          <w:tblHeader/>
        </w:trPr>
        <w:tc>
          <w:tcPr>
            <w:tcW w:w="2303" w:type="dxa"/>
            <w:tcBorders>
              <w:bottom w:val="single" w:sz="12" w:space="0" w:color="6699CC"/>
            </w:tcBorders>
            <w:shd w:val="clear" w:color="auto" w:fill="B9D9EB"/>
          </w:tcPr>
          <w:p>
            <w:pPr>
              <w:pStyle w:val="Tabla9"/>
              <w:keepNext/>
              <w:jc w:val="left"/>
            </w:pPr>
            <w:r>
              <w:rPr>
                <w:b/>
              </w:rPr>
              <w:t xml:space="preserve">Marco rival</w:t>
            </w:r>
          </w:p>
        </w:tc>
        <w:tc>
          <w:tcPr>
            <w:tcW w:w="2468" w:type="dxa"/>
            <w:tcBorders>
              <w:bottom w:val="single" w:sz="12" w:space="0" w:color="6699CC"/>
            </w:tcBorders>
            <w:shd w:val="clear" w:color="auto" w:fill="B9D9EB"/>
          </w:tcPr>
          <w:p>
            <w:pPr>
              <w:pStyle w:val="Tabla9"/>
              <w:keepNext/>
              <w:jc w:val="left"/>
            </w:pPr>
            <w:r>
              <w:rPr>
                <w:b/>
              </w:rPr>
              <w:t xml:space="preserve">Portador</w:t>
            </w:r>
          </w:p>
        </w:tc>
        <w:tc>
          <w:tcPr>
            <w:tcW w:w="2386" w:type="dxa"/>
            <w:tcBorders>
              <w:bottom w:val="single" w:sz="12" w:space="0" w:color="6699CC"/>
            </w:tcBorders>
            <w:shd w:val="clear" w:color="auto" w:fill="B9D9EB"/>
          </w:tcPr>
          <w:p>
            <w:pPr>
              <w:pStyle w:val="Tabla9"/>
              <w:keepNext/>
              <w:jc w:val="left"/>
            </w:pPr>
            <w:r>
              <w:rPr>
                <w:b/>
              </w:rPr>
              <w:t xml:space="preserve">Qué sostendría</w:t>
            </w:r>
          </w:p>
        </w:tc>
        <w:tc>
          <w:tcPr>
            <w:tcW w:w="2797" w:type="dxa"/>
            <w:tcBorders>
              <w:bottom w:val="single" w:sz="12" w:space="0" w:color="6699CC"/>
            </w:tcBorders>
            <w:shd w:val="clear" w:color="auto" w:fill="B9D9EB"/>
          </w:tcPr>
          <w:p>
            <w:pPr>
              <w:pStyle w:val="Tabla9"/>
              <w:keepNext/>
              <w:jc w:val="left"/>
            </w:pPr>
            <w:r>
              <w:rPr>
                <w:b/>
              </w:rPr>
              <w:t xml:space="preserve">Tratamiento en el proyecto</w:t>
            </w:r>
          </w:p>
        </w:tc>
      </w:tr>
      <w:tr>
        <w:trPr>
          <w:cantSplit/>
        </w:trPr>
        <w:tc>
          <w:tcPr>
            <w:tcW w:w="2303" w:type="dxa"/>
          </w:tcPr>
          <w:p>
            <w:pPr>
              <w:pStyle w:val="Tabla9"/>
              <w:jc w:val="left"/>
            </w:pPr>
            <w:r>
              <w:t xml:space="preserve">Control en la fuente y salud ocupacional</w:t>
            </w:r>
          </w:p>
        </w:tc>
        <w:tc>
          <w:tcPr>
            <w:tcW w:w="2468" w:type="dxa"/>
          </w:tcPr>
          <w:p>
            <w:pPr>
              <w:pStyle w:val="Tabla9"/>
              <w:jc w:val="left"/>
            </w:pPr>
            <w:r>
              <w:t xml:space="preserve">Autoridades laborales y ARL</w:t>
            </w:r>
          </w:p>
        </w:tc>
        <w:tc>
          <w:tcPr>
            <w:tcW w:w="2386" w:type="dxa"/>
          </w:tcPr>
          <w:p>
            <w:pPr>
              <w:pStyle w:val="Tabla9"/>
              <w:jc w:val="left"/>
            </w:pPr>
            <w:r>
              <w:t xml:space="preserve">El problema es la emisión de polvo en obra y la medición es secundaria</w:t>
            </w:r>
          </w:p>
        </w:tc>
        <w:tc>
          <w:tcPr>
            <w:tcW w:w="2797" w:type="dxa"/>
          </w:tcPr>
          <w:p>
            <w:pPr>
              <w:pStyle w:val="Tabla9"/>
              <w:jc w:val="left"/>
            </w:pPr>
            <w:r>
              <w:t xml:space="preserve">Fuera del alcance en cuanto a ejecutar el control. El gemelo predictivo incorpora la estimación previa de la exposición en demoliciones (A.10.3). La medición verificada es condición previa de cualquier estimación de exposición</w:t>
            </w:r>
          </w:p>
        </w:tc>
      </w:tr>
      <w:tr>
        <w:trPr>
          <w:cantSplit/>
        </w:trPr>
        <w:tc>
          <w:tcPr>
            <w:tcW w:w="2303" w:type="dxa"/>
            <w:shd w:val="clear" w:color="auto" w:fill="F7F7F7"/>
          </w:tcPr>
          <w:p>
            <w:pPr>
              <w:pStyle w:val="Tabla9"/>
              <w:jc w:val="left"/>
            </w:pPr>
            <w:r>
              <w:t xml:space="preserve">Gestión del riesgo de desastres como servicio</w:t>
            </w:r>
          </w:p>
        </w:tc>
        <w:tc>
          <w:tcPr>
            <w:tcW w:w="2468" w:type="dxa"/>
            <w:shd w:val="clear" w:color="auto" w:fill="F7F7F7"/>
          </w:tcPr>
          <w:p>
            <w:pPr>
              <w:pStyle w:val="Tabla9"/>
              <w:jc w:val="left"/>
            </w:pPr>
            <w:r>
              <w:t xml:space="preserve">UNGRD y puestos de mando unificado</w:t>
            </w:r>
          </w:p>
        </w:tc>
        <w:tc>
          <w:tcPr>
            <w:tcW w:w="2386" w:type="dxa"/>
            <w:shd w:val="clear" w:color="auto" w:fill="F7F7F7"/>
          </w:tcPr>
          <w:p>
            <w:pPr>
              <w:pStyle w:val="Tabla9"/>
              <w:jc w:val="left"/>
            </w:pPr>
            <w:r>
              <w:t xml:space="preserve">La alerta solo existe si un protocolo de mando la activa</w:t>
            </w:r>
          </w:p>
        </w:tc>
        <w:tc>
          <w:tcPr>
            <w:tcW w:w="2797" w:type="dxa"/>
            <w:shd w:val="clear" w:color="auto" w:fill="F7F7F7"/>
          </w:tcPr>
          <w:p>
            <w:pPr>
              <w:pStyle w:val="Tabla9"/>
              <w:jc w:val="left"/>
            </w:pPr>
            <w:r>
              <w:t xml:space="preserve">Se incorpora: el protocolo de alerta se co-diseña con los consejos en el objetivo específico 3</w:t>
            </w:r>
          </w:p>
        </w:tc>
      </w:tr>
      <w:tr>
        <w:trPr>
          <w:cantSplit/>
        </w:trPr>
        <w:tc>
          <w:tcPr>
            <w:tcW w:w="2303" w:type="dxa"/>
          </w:tcPr>
          <w:p>
            <w:pPr>
              <w:pStyle w:val="Tabla9"/>
              <w:keepNext/>
              <w:jc w:val="left"/>
            </w:pPr>
            <w:r>
              <w:t xml:space="preserve">Metrología y acreditación</w:t>
            </w:r>
          </w:p>
        </w:tc>
        <w:tc>
          <w:tcPr>
            <w:tcW w:w="2468" w:type="dxa"/>
          </w:tcPr>
          <w:p>
            <w:pPr>
              <w:pStyle w:val="Tabla9"/>
              <w:keepNext/>
              <w:jc w:val="left"/>
            </w:pPr>
            <w:r>
              <w:t xml:space="preserve">Instituto de Hidrología, Meteorología y Estudios Ambientales (IDEAM)</w:t>
            </w:r>
          </w:p>
        </w:tc>
        <w:tc>
          <w:tcPr>
            <w:tcW w:w="2386" w:type="dxa"/>
          </w:tcPr>
          <w:p>
            <w:pPr>
              <w:pStyle w:val="Tabla9"/>
              <w:keepNext/>
              <w:jc w:val="left"/>
            </w:pPr>
            <w:r>
              <w:t xml:space="preserve">Solo un equipo acreditado como referencia sustenta una alerta oficial</w:t>
            </w:r>
          </w:p>
        </w:tc>
        <w:tc>
          <w:tcPr>
            <w:tcW w:w="2797" w:type="dxa"/>
          </w:tcPr>
          <w:p>
            <w:pPr>
              <w:pStyle w:val="Tabla9"/>
              <w:keepNext/>
              <w:jc w:val="left"/>
            </w:pPr>
            <w:r>
              <w:t xml:space="preserve">Se atiende con verificación gravimétrica en laboratorio acreditado y validación metrológica. La acreditación del sistema como referencia oficial queda fuera del alcance</w:t>
            </w:r>
          </w:p>
        </w:tc>
      </w:tr>
    </w:tbl>
    <w:p>
      <w:pPr>
        <w:pStyle w:val="TablaNota"/>
      </w:pPr>
      <w:r>
        <w:rPr>
          <w:i/>
          <w:iCs/>
        </w:rPr>
        <w:t xml:space="preserve">Nota.</w:t>
      </w:r>
      <w:r>
        <w:t xml:space="preserve"> </w:t>
      </w:r>
      <w:r>
        <w:t xml:space="preserve">Elaboración propia con las secciones 5.1, 14 y 19 del Anexo 2.</w:t>
      </w:r>
    </w:p>
    <w:bookmarkEnd w:id="22"/>
    <w:bookmarkStart w:id="23" w:name="X33df20797cc12a96f4b83d7f35ff554dbd04c75"/>
    <w:p>
      <w:pPr>
        <w:pStyle w:val="Heading3"/>
      </w:pPr>
      <w:r>
        <w:t xml:space="preserve">A.2.3 Núcleo normativo y sistema apreciativo</w:t>
      </w:r>
    </w:p>
    <w:p>
      <w:pPr>
        <w:pStyle w:val="FirstParagraph"/>
      </w:pPr>
      <w:r>
        <w:t xml:space="preserve">Los juicios que sostienen el problema son de tres tipos: de realidad, de valor e instrumentales (Vickers, 1965). Cada juicio tiene un portador. Los TdR fijan el tope de 14.000 millones de pesos, la duración máxima de 24 meses y las reglas de elegibilidad (MinCiencias, 2026). La Ley 1523 de 2012 organiza la gestión del riesgo en los territorios. La Tabla A.4 reúne los juicios y su tratamiento.</w:t>
      </w:r>
    </w:p>
    <w:p>
      <w:pPr>
        <w:pStyle w:val="TablaRotulo"/>
      </w:pPr>
      <w:bookmarkStart w:id="9004" w:name="rot_Tabla_A_4"/>
      <w:r>
        <w:rPr>
          <w:b/>
          <w:bCs/>
        </w:rPr>
        <w:t xml:space="preserve">Tabla A.4</w:t>
      </w:r>
      <w:bookmarkEnd w:id="9004"/>
    </w:p>
    <w:p>
      <w:pPr>
        <w:pStyle w:val="TablaTitulo"/>
      </w:pPr>
      <w:r>
        <w:rPr>
          <w:i/>
          <w:iCs/>
        </w:rPr>
        <w:t xml:space="preserve">Juicios de realidad, de valor e instrumentales que sostienen 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25"/>
        <w:gridCol w:w="3069"/>
        <w:gridCol w:w="2406"/>
        <w:gridCol w:w="2654"/>
      </w:tblGrid>
      <w:tr>
        <w:trPr>
          <w:cantSplit/>
          <w:tblHeader w:val="true"/>
          <w:tblHeader/>
        </w:trPr>
        <w:tc>
          <w:tcPr>
            <w:tcW w:w="1825" w:type="dxa"/>
            <w:tcBorders>
              <w:bottom w:val="single" w:sz="12" w:space="0" w:color="6699CC"/>
            </w:tcBorders>
            <w:shd w:val="clear" w:color="auto" w:fill="B9D9EB"/>
          </w:tcPr>
          <w:p>
            <w:pPr>
              <w:pStyle w:val="Tabla9"/>
              <w:keepNext/>
              <w:jc w:val="left"/>
            </w:pPr>
            <w:r>
              <w:rPr>
                <w:b/>
              </w:rPr>
              <w:t xml:space="preserve">Tipo</w:t>
            </w:r>
          </w:p>
        </w:tc>
        <w:tc>
          <w:tcPr>
            <w:tcW w:w="3069" w:type="dxa"/>
            <w:tcBorders>
              <w:bottom w:val="single" w:sz="12" w:space="0" w:color="6699CC"/>
            </w:tcBorders>
            <w:shd w:val="clear" w:color="auto" w:fill="B9D9EB"/>
          </w:tcPr>
          <w:p>
            <w:pPr>
              <w:pStyle w:val="Tabla9"/>
              <w:keepNext/>
              <w:jc w:val="left"/>
            </w:pPr>
            <w:r>
              <w:rPr>
                <w:b/>
              </w:rPr>
              <w:t xml:space="preserve">Juicio</w:t>
            </w:r>
          </w:p>
        </w:tc>
        <w:tc>
          <w:tcPr>
            <w:tcW w:w="2406" w:type="dxa"/>
            <w:tcBorders>
              <w:bottom w:val="single" w:sz="12" w:space="0" w:color="6699CC"/>
            </w:tcBorders>
            <w:shd w:val="clear" w:color="auto" w:fill="B9D9EB"/>
          </w:tcPr>
          <w:p>
            <w:pPr>
              <w:pStyle w:val="Tabla9"/>
              <w:keepNext/>
              <w:jc w:val="left"/>
            </w:pPr>
            <w:r>
              <w:rPr>
                <w:b/>
              </w:rPr>
              <w:t xml:space="preserve">Portador o respaldo</w:t>
            </w:r>
          </w:p>
        </w:tc>
        <w:tc>
          <w:tcPr>
            <w:tcW w:w="2654" w:type="dxa"/>
            <w:tcBorders>
              <w:bottom w:val="single" w:sz="12" w:space="0" w:color="6699CC"/>
            </w:tcBorders>
            <w:shd w:val="clear" w:color="auto" w:fill="B9D9EB"/>
          </w:tcPr>
          <w:p>
            <w:pPr>
              <w:pStyle w:val="Tabla9"/>
              <w:keepNext/>
              <w:jc w:val="left"/>
            </w:pPr>
            <w:r>
              <w:rPr>
                <w:b/>
              </w:rPr>
              <w:t xml:space="preserve">Tratamiento en el proyecto</w:t>
            </w:r>
          </w:p>
        </w:tc>
      </w:tr>
      <w:tr>
        <w:trPr>
          <w:cantSplit/>
        </w:trPr>
        <w:tc>
          <w:tcPr>
            <w:tcW w:w="1825" w:type="dxa"/>
          </w:tcPr>
          <w:p>
            <w:pPr>
              <w:pStyle w:val="Tabla9"/>
              <w:jc w:val="left"/>
            </w:pPr>
            <w:r>
              <w:t xml:space="preserve">Realidad</w:t>
            </w:r>
          </w:p>
        </w:tc>
        <w:tc>
          <w:tcPr>
            <w:tcW w:w="3069" w:type="dxa"/>
          </w:tcPr>
          <w:p>
            <w:pPr>
              <w:pStyle w:val="Tabla9"/>
              <w:jc w:val="left"/>
            </w:pPr>
            <w:r>
              <w:t xml:space="preserve">La humedad sesga la lectura de los sensores ópticos de bajo costo</w:t>
            </w:r>
          </w:p>
        </w:tc>
        <w:tc>
          <w:tcPr>
            <w:tcW w:w="2406" w:type="dxa"/>
          </w:tcPr>
          <w:p>
            <w:pPr>
              <w:pStyle w:val="Tabla9"/>
              <w:jc w:val="left"/>
            </w:pPr>
            <w:r>
              <w:t xml:space="preserve">Jayaratne et al. (2018); Suresh et al. (2025)</w:t>
            </w:r>
          </w:p>
        </w:tc>
        <w:tc>
          <w:tcPr>
            <w:tcW w:w="2654" w:type="dxa"/>
          </w:tcPr>
          <w:p>
            <w:pPr>
              <w:pStyle w:val="Tabla9"/>
              <w:jc w:val="left"/>
            </w:pPr>
            <w:r>
              <w:t xml:space="preserve">Se contrasta con los datos del tramo 1</w:t>
            </w:r>
          </w:p>
        </w:tc>
      </w:tr>
      <w:tr>
        <w:trPr>
          <w:cantSplit/>
        </w:trPr>
        <w:tc>
          <w:tcPr>
            <w:tcW w:w="1825" w:type="dxa"/>
            <w:shd w:val="clear" w:color="auto" w:fill="F7F7F7"/>
          </w:tcPr>
          <w:p>
            <w:pPr>
              <w:pStyle w:val="Tabla9"/>
              <w:jc w:val="left"/>
            </w:pPr>
            <w:r>
              <w:t xml:space="preserve">Realidad</w:t>
            </w:r>
          </w:p>
        </w:tc>
        <w:tc>
          <w:tcPr>
            <w:tcW w:w="3069" w:type="dxa"/>
            <w:shd w:val="clear" w:color="auto" w:fill="F7F7F7"/>
          </w:tcPr>
          <w:p>
            <w:pPr>
              <w:pStyle w:val="Tabla9"/>
              <w:jc w:val="left"/>
            </w:pPr>
            <w:r>
              <w:t xml:space="preserve">La corrección con una estación cercana puede elevar el ajuste de una red</w:t>
            </w:r>
          </w:p>
        </w:tc>
        <w:tc>
          <w:tcPr>
            <w:tcW w:w="2406" w:type="dxa"/>
            <w:shd w:val="clear" w:color="auto" w:fill="F7F7F7"/>
          </w:tcPr>
          <w:p>
            <w:pPr>
              <w:pStyle w:val="Tabla9"/>
              <w:jc w:val="left"/>
            </w:pPr>
            <w:r>
              <w:t xml:space="preserve">Bang et al. (2026)</w:t>
            </w:r>
          </w:p>
        </w:tc>
        <w:tc>
          <w:tcPr>
            <w:tcW w:w="2654" w:type="dxa"/>
            <w:shd w:val="clear" w:color="auto" w:fill="F7F7F7"/>
          </w:tcPr>
          <w:p>
            <w:pPr>
              <w:pStyle w:val="Tabla9"/>
              <w:jc w:val="left"/>
            </w:pPr>
            <w:r>
              <w:t xml:space="preserve">Se adopta como hipótesis de método y se valida fuera de muestra</w:t>
            </w:r>
          </w:p>
        </w:tc>
      </w:tr>
      <w:tr>
        <w:trPr>
          <w:cantSplit/>
        </w:trPr>
        <w:tc>
          <w:tcPr>
            <w:tcW w:w="1825" w:type="dxa"/>
          </w:tcPr>
          <w:p>
            <w:pPr>
              <w:pStyle w:val="Tabla9"/>
              <w:jc w:val="left"/>
            </w:pPr>
            <w:r>
              <w:t xml:space="preserve">Valor</w:t>
            </w:r>
          </w:p>
        </w:tc>
        <w:tc>
          <w:tcPr>
            <w:tcW w:w="3069" w:type="dxa"/>
          </w:tcPr>
          <w:p>
            <w:pPr>
              <w:pStyle w:val="Tabla9"/>
              <w:jc w:val="left"/>
            </w:pPr>
            <w:r>
              <w:t xml:space="preserve">Proteger primero a operarios y comunidades cuando se supera un umbral</w:t>
            </w:r>
          </w:p>
        </w:tc>
        <w:tc>
          <w:tcPr>
            <w:tcW w:w="2406" w:type="dxa"/>
          </w:tcPr>
          <w:p>
            <w:pPr>
              <w:pStyle w:val="Tabla9"/>
              <w:jc w:val="left"/>
            </w:pPr>
            <w:r>
              <w:t xml:space="preserve">Sin portador declarado</w:t>
            </w:r>
          </w:p>
        </w:tc>
        <w:tc>
          <w:tcPr>
            <w:tcW w:w="2654" w:type="dxa"/>
          </w:tcPr>
          <w:p>
            <w:pPr>
              <w:pStyle w:val="Tabla9"/>
              <w:jc w:val="left"/>
            </w:pPr>
            <w:r>
              <w:t xml:space="preserve">Se decide en el protocolo co-diseñado con los consejos</w:t>
            </w:r>
          </w:p>
        </w:tc>
      </w:tr>
      <w:tr>
        <w:trPr>
          <w:cantSplit/>
        </w:trPr>
        <w:tc>
          <w:tcPr>
            <w:tcW w:w="1825" w:type="dxa"/>
            <w:shd w:val="clear" w:color="auto" w:fill="F7F7F7"/>
          </w:tcPr>
          <w:p>
            <w:pPr>
              <w:pStyle w:val="Tabla9"/>
              <w:jc w:val="left"/>
            </w:pPr>
            <w:r>
              <w:t xml:space="preserve">Valor</w:t>
            </w:r>
          </w:p>
        </w:tc>
        <w:tc>
          <w:tcPr>
            <w:tcW w:w="3069" w:type="dxa"/>
            <w:shd w:val="clear" w:color="auto" w:fill="F7F7F7"/>
          </w:tcPr>
          <w:p>
            <w:pPr>
              <w:pStyle w:val="Tabla9"/>
              <w:jc w:val="left"/>
            </w:pPr>
            <w:r>
              <w:t xml:space="preserve">Evitar paros de obra por falsas alarmas</w:t>
            </w:r>
          </w:p>
        </w:tc>
        <w:tc>
          <w:tcPr>
            <w:tcW w:w="2406" w:type="dxa"/>
            <w:shd w:val="clear" w:color="auto" w:fill="F7F7F7"/>
          </w:tcPr>
          <w:p>
            <w:pPr>
              <w:pStyle w:val="Tabla9"/>
              <w:jc w:val="left"/>
            </w:pPr>
            <w:r>
              <w:t xml:space="preserve">Contratistas de obra</w:t>
            </w:r>
          </w:p>
        </w:tc>
        <w:tc>
          <w:tcPr>
            <w:tcW w:w="2654" w:type="dxa"/>
            <w:shd w:val="clear" w:color="auto" w:fill="F7F7F7"/>
          </w:tcPr>
          <w:p>
            <w:pPr>
              <w:pStyle w:val="Tabla9"/>
              <w:jc w:val="left"/>
            </w:pPr>
            <w:r>
              <w:t xml:space="preserve">Se mide con la reducción relativa de falsas alarmas (indicador R4)</w:t>
            </w:r>
          </w:p>
        </w:tc>
      </w:tr>
      <w:tr>
        <w:trPr>
          <w:cantSplit/>
        </w:trPr>
        <w:tc>
          <w:tcPr>
            <w:tcW w:w="1825" w:type="dxa"/>
          </w:tcPr>
          <w:p>
            <w:pPr>
              <w:pStyle w:val="Tabla9"/>
              <w:jc w:val="left"/>
            </w:pPr>
            <w:r>
              <w:t xml:space="preserve">Instrumental</w:t>
            </w:r>
          </w:p>
        </w:tc>
        <w:tc>
          <w:tcPr>
            <w:tcW w:w="3069" w:type="dxa"/>
          </w:tcPr>
          <w:p>
            <w:pPr>
              <w:pStyle w:val="Tabla9"/>
              <w:jc w:val="left"/>
            </w:pPr>
            <w:r>
              <w:t xml:space="preserve">La corrección local reduce el error sin degradar energía ni disponibilidad</w:t>
            </w:r>
          </w:p>
        </w:tc>
        <w:tc>
          <w:tcPr>
            <w:tcW w:w="2406" w:type="dxa"/>
          </w:tcPr>
          <w:p>
            <w:pPr>
              <w:pStyle w:val="Tabla9"/>
              <w:jc w:val="left"/>
            </w:pPr>
            <w:r>
              <w:t xml:space="preserve">Equipo formulador</w:t>
            </w:r>
          </w:p>
        </w:tc>
        <w:tc>
          <w:tcPr>
            <w:tcW w:w="2654" w:type="dxa"/>
          </w:tcPr>
          <w:p>
            <w:pPr>
              <w:pStyle w:val="Tabla9"/>
              <w:jc w:val="left"/>
            </w:pPr>
            <w:r>
              <w:t xml:space="preserve">Criterio de las compuertas C1 y C2</w:t>
            </w:r>
          </w:p>
        </w:tc>
      </w:tr>
      <w:tr>
        <w:trPr>
          <w:cantSplit/>
        </w:trPr>
        <w:tc>
          <w:tcPr>
            <w:tcW w:w="1825" w:type="dxa"/>
            <w:shd w:val="clear" w:color="auto" w:fill="F7F7F7"/>
          </w:tcPr>
          <w:p>
            <w:pPr>
              <w:pStyle w:val="Tabla9"/>
              <w:keepNext/>
              <w:jc w:val="left"/>
            </w:pPr>
            <w:r>
              <w:t xml:space="preserve">Instrumental</w:t>
            </w:r>
          </w:p>
        </w:tc>
        <w:tc>
          <w:tcPr>
            <w:tcW w:w="3069" w:type="dxa"/>
            <w:shd w:val="clear" w:color="auto" w:fill="F7F7F7"/>
          </w:tcPr>
          <w:p>
            <w:pPr>
              <w:pStyle w:val="Tabla9"/>
              <w:keepNext/>
              <w:jc w:val="left"/>
            </w:pPr>
            <w:r>
              <w:t xml:space="preserve">Una entidad custodia la red después del mes 24</w:t>
            </w:r>
          </w:p>
        </w:tc>
        <w:tc>
          <w:tcPr>
            <w:tcW w:w="2406" w:type="dxa"/>
            <w:shd w:val="clear" w:color="auto" w:fill="F7F7F7"/>
          </w:tcPr>
          <w:p>
            <w:pPr>
              <w:pStyle w:val="Tabla9"/>
              <w:keepNext/>
              <w:jc w:val="left"/>
            </w:pPr>
            <w:r>
              <w:t xml:space="preserve">Alianza y entidades custodias</w:t>
            </w:r>
          </w:p>
        </w:tc>
        <w:tc>
          <w:tcPr>
            <w:tcW w:w="2654" w:type="dxa"/>
            <w:shd w:val="clear" w:color="auto" w:fill="F7F7F7"/>
          </w:tcPr>
          <w:p>
            <w:pPr>
              <w:pStyle w:val="Tabla9"/>
              <w:keepNext/>
              <w:jc w:val="left"/>
            </w:pPr>
            <w:r>
              <w:t xml:space="preserve">Convenios con partida (compuerta C2)</w:t>
            </w:r>
          </w:p>
        </w:tc>
      </w:tr>
    </w:tbl>
    <w:p>
      <w:pPr>
        <w:pStyle w:val="TablaNota"/>
      </w:pPr>
      <w:r>
        <w:rPr>
          <w:i/>
          <w:iCs/>
        </w:rPr>
        <w:t xml:space="preserve">Nota.</w:t>
      </w:r>
      <w:r>
        <w:t xml:space="preserve"> </w:t>
      </w:r>
      <w:r>
        <w:t xml:space="preserve">Elaboración propia con las secciones 5, 14 y 17 del Anexo 2.</w:t>
      </w:r>
    </w:p>
    <w:p>
      <w:pPr>
        <w:pStyle w:val="BodyText"/>
      </w:pPr>
      <w:r>
        <w:t xml:space="preserve">Los dos juicios de valor sobre una misma alerta divergen. La protección inmediata y la continuidad de la obra pueden entrar en conflicto. El análisis conserva ambos y no los reconcilia por decisión de formulación. El protocolo de alerta los resuelve con los consejos, que son quienes responden por la decisión.</w:t>
      </w:r>
    </w:p>
    <w:bookmarkEnd w:id="23"/>
    <w:bookmarkStart w:id="24" w:name="X99ddff21473f2345a4e0bf3b218d607a2cec511"/>
    <w:p>
      <w:pPr>
        <w:pStyle w:val="Heading3"/>
      </w:pPr>
      <w:r>
        <w:t xml:space="preserve">A.2.4 Estructura del problema y dominio causal</w:t>
      </w:r>
    </w:p>
    <w:p>
      <w:pPr>
        <w:pStyle w:val="FirstParagraph"/>
      </w:pPr>
      <w:r>
        <w:t xml:space="preserve">Simon (1973) distingue los problemas bien estructurados de los mal estructurados según cuatro condiciones. La Tabla A.5 las evalúa. Dos condiciones se cumplen con reserva, una se cumple y una no. El problema es parcialmente estructurado.</w:t>
      </w:r>
    </w:p>
    <w:p>
      <w:pPr>
        <w:pStyle w:val="TablaRotulo"/>
      </w:pPr>
      <w:bookmarkStart w:id="9005" w:name="rot_Tabla_A_5"/>
      <w:r>
        <w:rPr>
          <w:b/>
          <w:bCs/>
        </w:rPr>
        <w:t xml:space="preserve">Tabla A.5</w:t>
      </w:r>
      <w:bookmarkEnd w:id="9005"/>
    </w:p>
    <w:p>
      <w:pPr>
        <w:pStyle w:val="TablaTitulo"/>
      </w:pPr>
      <w:r>
        <w:rPr>
          <w:i/>
          <w:iCs/>
        </w:rPr>
        <w:t xml:space="preserve">Evaluación de las cuatro condiciones de estructura del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650"/>
        <w:gridCol w:w="2157"/>
        <w:gridCol w:w="4147"/>
      </w:tblGrid>
      <w:tr>
        <w:trPr>
          <w:cantSplit/>
          <w:tblHeader w:val="true"/>
          <w:tblHeader/>
        </w:trPr>
        <w:tc>
          <w:tcPr>
            <w:tcW w:w="3650" w:type="dxa"/>
            <w:tcBorders>
              <w:bottom w:val="single" w:sz="12" w:space="0" w:color="6699CC"/>
            </w:tcBorders>
            <w:shd w:val="clear" w:color="auto" w:fill="B9D9EB"/>
          </w:tcPr>
          <w:p>
            <w:pPr>
              <w:pStyle w:val="Tabla9"/>
              <w:keepNext/>
              <w:jc w:val="left"/>
            </w:pPr>
            <w:r>
              <w:rPr>
                <w:b/>
              </w:rPr>
              <w:t xml:space="preserve">Condición</w:t>
            </w:r>
          </w:p>
        </w:tc>
        <w:tc>
          <w:tcPr>
            <w:tcW w:w="2157" w:type="dxa"/>
            <w:tcBorders>
              <w:bottom w:val="single" w:sz="12" w:space="0" w:color="6699CC"/>
            </w:tcBorders>
            <w:shd w:val="clear" w:color="auto" w:fill="B9D9EB"/>
          </w:tcPr>
          <w:p>
            <w:pPr>
              <w:pStyle w:val="Tabla9"/>
              <w:keepNext/>
              <w:jc w:val="left"/>
            </w:pPr>
            <w:r>
              <w:rPr>
                <w:b/>
              </w:rPr>
              <w:t xml:space="preserve">Evaluación</w:t>
            </w:r>
          </w:p>
        </w:tc>
        <w:tc>
          <w:tcPr>
            <w:tcW w:w="4147"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3650" w:type="dxa"/>
          </w:tcPr>
          <w:p>
            <w:pPr>
              <w:pStyle w:val="Tabla9"/>
              <w:jc w:val="left"/>
            </w:pPr>
            <w:r>
              <w:t xml:space="preserve">C1. Criterio explícito para aceptar una solución</w:t>
            </w:r>
          </w:p>
        </w:tc>
        <w:tc>
          <w:tcPr>
            <w:tcW w:w="2157" w:type="dxa"/>
          </w:tcPr>
          <w:p>
            <w:pPr>
              <w:pStyle w:val="Tabla9"/>
              <w:jc w:val="left"/>
            </w:pPr>
            <w:r>
              <w:t xml:space="preserve">Se cumple con reserva</w:t>
            </w:r>
          </w:p>
        </w:tc>
        <w:tc>
          <w:tcPr>
            <w:tcW w:w="4147" w:type="dxa"/>
          </w:tcPr>
          <w:p>
            <w:pPr>
              <w:pStyle w:val="Tabla9"/>
              <w:jc w:val="left"/>
            </w:pPr>
            <w:r>
              <w:t xml:space="preserve">Las compuertas fijan R² ≥ 0,70, NRMSE ≤ 30 % y uso del tablero en al menos 50 % de los consejos. Son umbrales propuestos por el proyecto y no por una norma</w:t>
            </w:r>
          </w:p>
        </w:tc>
      </w:tr>
      <w:tr>
        <w:trPr>
          <w:cantSplit/>
        </w:trPr>
        <w:tc>
          <w:tcPr>
            <w:tcW w:w="3650" w:type="dxa"/>
            <w:shd w:val="clear" w:color="auto" w:fill="F7F7F7"/>
          </w:tcPr>
          <w:p>
            <w:pPr>
              <w:pStyle w:val="Tabla9"/>
              <w:jc w:val="left"/>
            </w:pPr>
            <w:r>
              <w:t xml:space="preserve">C2. Estados y variables pertinentes identificados</w:t>
            </w:r>
          </w:p>
        </w:tc>
        <w:tc>
          <w:tcPr>
            <w:tcW w:w="2157" w:type="dxa"/>
            <w:shd w:val="clear" w:color="auto" w:fill="F7F7F7"/>
          </w:tcPr>
          <w:p>
            <w:pPr>
              <w:pStyle w:val="Tabla9"/>
              <w:jc w:val="left"/>
            </w:pPr>
            <w:r>
              <w:t xml:space="preserve">Se cumple con reserva</w:t>
            </w:r>
          </w:p>
        </w:tc>
        <w:tc>
          <w:tcPr>
            <w:tcW w:w="4147" w:type="dxa"/>
            <w:shd w:val="clear" w:color="auto" w:fill="F7F7F7"/>
          </w:tcPr>
          <w:p>
            <w:pPr>
              <w:pStyle w:val="Tabla9"/>
              <w:jc w:val="left"/>
            </w:pPr>
            <w:r>
              <w:t xml:space="preserve">Quince variables con diccionario. Cuatro variables relevantes quedan fuera del modelo: distancia a la referencia, edad del sensor, episodios de humo y precipitación</w:t>
            </w:r>
          </w:p>
        </w:tc>
      </w:tr>
      <w:tr>
        <w:trPr>
          <w:cantSplit/>
        </w:trPr>
        <w:tc>
          <w:tcPr>
            <w:tcW w:w="3650" w:type="dxa"/>
          </w:tcPr>
          <w:p>
            <w:pPr>
              <w:pStyle w:val="Tabla9"/>
              <w:jc w:val="left"/>
            </w:pPr>
            <w:r>
              <w:t xml:space="preserve">C3. Acciones disponibles identificadas</w:t>
            </w:r>
          </w:p>
        </w:tc>
        <w:tc>
          <w:tcPr>
            <w:tcW w:w="2157" w:type="dxa"/>
          </w:tcPr>
          <w:p>
            <w:pPr>
              <w:pStyle w:val="Tabla9"/>
              <w:jc w:val="left"/>
            </w:pPr>
            <w:r>
              <w:t xml:space="preserve">Se cumple</w:t>
            </w:r>
          </w:p>
        </w:tc>
        <w:tc>
          <w:tcPr>
            <w:tcW w:w="4147" w:type="dxa"/>
          </w:tcPr>
          <w:p>
            <w:pPr>
              <w:pStyle w:val="Tabla9"/>
              <w:jc w:val="left"/>
            </w:pPr>
            <w:r>
              <w:t xml:space="preserve">Cuatro alternativas evaluadas en la sección 13</w:t>
            </w:r>
          </w:p>
        </w:tc>
      </w:tr>
      <w:tr>
        <w:trPr>
          <w:cantSplit/>
        </w:trPr>
        <w:tc>
          <w:tcPr>
            <w:tcW w:w="3650" w:type="dxa"/>
            <w:shd w:val="clear" w:color="auto" w:fill="F7F7F7"/>
          </w:tcPr>
          <w:p>
            <w:pPr>
              <w:pStyle w:val="Tabla9"/>
              <w:keepNext/>
              <w:jc w:val="left"/>
            </w:pPr>
            <w:r>
              <w:t xml:space="preserve">C4. Relación entre acciones y resultados conocida con precisión</w:t>
            </w:r>
          </w:p>
        </w:tc>
        <w:tc>
          <w:tcPr>
            <w:tcW w:w="2157" w:type="dxa"/>
            <w:shd w:val="clear" w:color="auto" w:fill="F7F7F7"/>
          </w:tcPr>
          <w:p>
            <w:pPr>
              <w:pStyle w:val="Tabla9"/>
              <w:keepNext/>
              <w:jc w:val="left"/>
            </w:pPr>
            <w:r>
              <w:t xml:space="preserve">No se cumple</w:t>
            </w:r>
          </w:p>
        </w:tc>
        <w:tc>
          <w:tcPr>
            <w:tcW w:w="4147" w:type="dxa"/>
            <w:shd w:val="clear" w:color="auto" w:fill="F7F7F7"/>
          </w:tcPr>
          <w:p>
            <w:pPr>
              <w:pStyle w:val="Tabla9"/>
              <w:keepNext/>
              <w:jc w:val="left"/>
            </w:pPr>
            <w:r>
              <w:t xml:space="preserve">Las relaciones son HIE sin datos del territorio</w:t>
            </w:r>
          </w:p>
        </w:tc>
      </w:tr>
    </w:tbl>
    <w:p>
      <w:pPr>
        <w:pStyle w:val="TablaNota"/>
      </w:pPr>
      <w:r>
        <w:rPr>
          <w:i/>
          <w:iCs/>
        </w:rPr>
        <w:t xml:space="preserve">Nota.</w:t>
      </w:r>
      <w:r>
        <w:t xml:space="preserve"> </w:t>
      </w:r>
      <w:r>
        <w:t xml:space="preserve">Elaboración propia con las condiciones de Simon (1973) y las secciones 13 y 14 del Anexo 2.</w:t>
      </w:r>
    </w:p>
    <w:p>
      <w:pPr>
        <w:pStyle w:val="BodyText"/>
      </w:pPr>
      <w:r>
        <w:t xml:space="preserve">La escala del fenómeno corresponde a un problema público y no a una dificultad individual (Mills, 1959). Sus efectos exceden el entorno de cada operario y alcanzan a las comunidades colindantes. El alcance poblacional se documenta en la sección 11.</w:t>
      </w:r>
    </w:p>
    <w:p>
      <w:pPr>
        <w:pStyle w:val="BodyText"/>
      </w:pPr>
      <w:r>
        <w:t xml:space="preserve">La clasificación del dominio causal sigue a Snowden y Boone (2007) y a Glouberman y Zimmerman (2002). Se hace por partes porque cada parte tiene una naturaleza distinta. La Tabla A.6 muestra la clasificación y la observación que la cambiaría. La fase aguda del sismo queda fuera del alcance, de modo que no se asigna el dominio caótico.</w:t>
      </w:r>
    </w:p>
    <w:p>
      <w:pPr>
        <w:pStyle w:val="TablaRotulo"/>
      </w:pPr>
      <w:bookmarkStart w:id="9006" w:name="rot_Tabla_A_6"/>
      <w:r>
        <w:rPr>
          <w:b/>
          <w:bCs/>
        </w:rPr>
        <w:t xml:space="preserve">Tabla A.6</w:t>
      </w:r>
      <w:bookmarkEnd w:id="9006"/>
    </w:p>
    <w:p>
      <w:pPr>
        <w:pStyle w:val="TablaTitulo"/>
      </w:pPr>
      <w:r>
        <w:rPr>
          <w:i/>
          <w:iCs/>
        </w:rPr>
        <w:t xml:space="preserve">Dominio causal de cada parte del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23"/>
        <w:gridCol w:w="1659"/>
        <w:gridCol w:w="2820"/>
        <w:gridCol w:w="3152"/>
      </w:tblGrid>
      <w:tr>
        <w:trPr>
          <w:cantSplit/>
          <w:tblHeader w:val="true"/>
          <w:tblHeader/>
        </w:trPr>
        <w:tc>
          <w:tcPr>
            <w:tcW w:w="2323" w:type="dxa"/>
            <w:tcBorders>
              <w:bottom w:val="single" w:sz="12" w:space="0" w:color="6699CC"/>
            </w:tcBorders>
            <w:shd w:val="clear" w:color="auto" w:fill="B9D9EB"/>
          </w:tcPr>
          <w:p>
            <w:pPr>
              <w:pStyle w:val="Tabla9"/>
              <w:keepNext/>
              <w:jc w:val="left"/>
            </w:pPr>
            <w:r>
              <w:rPr>
                <w:b/>
              </w:rPr>
              <w:t xml:space="preserve">Parte</w:t>
            </w:r>
          </w:p>
        </w:tc>
        <w:tc>
          <w:tcPr>
            <w:tcW w:w="1659" w:type="dxa"/>
            <w:tcBorders>
              <w:bottom w:val="single" w:sz="12" w:space="0" w:color="6699CC"/>
            </w:tcBorders>
            <w:shd w:val="clear" w:color="auto" w:fill="B9D9EB"/>
          </w:tcPr>
          <w:p>
            <w:pPr>
              <w:pStyle w:val="Tabla9"/>
              <w:keepNext/>
              <w:jc w:val="left"/>
            </w:pPr>
            <w:r>
              <w:rPr>
                <w:b/>
              </w:rPr>
              <w:t xml:space="preserve">Dominio</w:t>
            </w:r>
          </w:p>
        </w:tc>
        <w:tc>
          <w:tcPr>
            <w:tcW w:w="2820" w:type="dxa"/>
            <w:tcBorders>
              <w:bottom w:val="single" w:sz="12" w:space="0" w:color="6699CC"/>
            </w:tcBorders>
            <w:shd w:val="clear" w:color="auto" w:fill="B9D9EB"/>
          </w:tcPr>
          <w:p>
            <w:pPr>
              <w:pStyle w:val="Tabla9"/>
              <w:keepNext/>
              <w:jc w:val="left"/>
            </w:pPr>
            <w:r>
              <w:rPr>
                <w:b/>
              </w:rPr>
              <w:t xml:space="preserve">Evidencia</w:t>
            </w:r>
          </w:p>
        </w:tc>
        <w:tc>
          <w:tcPr>
            <w:tcW w:w="3152" w:type="dxa"/>
            <w:tcBorders>
              <w:bottom w:val="single" w:sz="12" w:space="0" w:color="6699CC"/>
            </w:tcBorders>
            <w:shd w:val="clear" w:color="auto" w:fill="B9D9EB"/>
          </w:tcPr>
          <w:p>
            <w:pPr>
              <w:pStyle w:val="Tabla9"/>
              <w:keepNext/>
              <w:jc w:val="left"/>
            </w:pPr>
            <w:r>
              <w:rPr>
                <w:b/>
              </w:rPr>
              <w:t xml:space="preserve">Observación que cambiaría la clasificación</w:t>
            </w:r>
          </w:p>
        </w:tc>
      </w:tr>
      <w:tr>
        <w:trPr>
          <w:cantSplit/>
        </w:trPr>
        <w:tc>
          <w:tcPr>
            <w:tcW w:w="2323" w:type="dxa"/>
          </w:tcPr>
          <w:p>
            <w:pPr>
              <w:pStyle w:val="Tabla9"/>
              <w:jc w:val="left"/>
            </w:pPr>
            <w:r>
              <w:t xml:space="preserve">Medición con corrección local</w:t>
            </w:r>
          </w:p>
        </w:tc>
        <w:tc>
          <w:tcPr>
            <w:tcW w:w="1659" w:type="dxa"/>
          </w:tcPr>
          <w:p>
            <w:pPr>
              <w:pStyle w:val="Tabla9"/>
              <w:jc w:val="left"/>
            </w:pPr>
            <w:r>
              <w:t xml:space="preserve">Complicado</w:t>
            </w:r>
          </w:p>
        </w:tc>
        <w:tc>
          <w:tcPr>
            <w:tcW w:w="2820" w:type="dxa"/>
          </w:tcPr>
          <w:p>
            <w:pPr>
              <w:pStyle w:val="Tabla9"/>
              <w:jc w:val="left"/>
            </w:pPr>
            <w:r>
              <w:t xml:space="preserve">La relación de causa y efecto existe y requiere análisis experto. La corrección con la estación cercana elevó el R² de menos de 0,2 a 0,81 en un caso (Bang et al., 2026). En S2, V03→V06 pesa 3</w:t>
            </w:r>
          </w:p>
        </w:tc>
        <w:tc>
          <w:tcPr>
            <w:tcW w:w="3152" w:type="dxa"/>
          </w:tcPr>
          <w:p>
            <w:pPr>
              <w:pStyle w:val="Tabla9"/>
              <w:jc w:val="left"/>
            </w:pPr>
            <w:r>
              <w:t xml:space="preserve">Si el efecto de la corrección cambiara de signo entre sitios o semanas sin patrón, pasaría a complejo</w:t>
            </w:r>
          </w:p>
        </w:tc>
      </w:tr>
      <w:tr>
        <w:trPr>
          <w:cantSplit/>
        </w:trPr>
        <w:tc>
          <w:tcPr>
            <w:tcW w:w="2323" w:type="dxa"/>
            <w:shd w:val="clear" w:color="auto" w:fill="F7F7F7"/>
          </w:tcPr>
          <w:p>
            <w:pPr>
              <w:pStyle w:val="Tabla9"/>
              <w:keepNext/>
              <w:jc w:val="left"/>
            </w:pPr>
            <w:r>
              <w:t xml:space="preserve">Adopción institucional y custodia</w:t>
            </w:r>
          </w:p>
        </w:tc>
        <w:tc>
          <w:tcPr>
            <w:tcW w:w="1659" w:type="dxa"/>
            <w:shd w:val="clear" w:color="auto" w:fill="F7F7F7"/>
          </w:tcPr>
          <w:p>
            <w:pPr>
              <w:pStyle w:val="Tabla9"/>
              <w:keepNext/>
              <w:jc w:val="left"/>
            </w:pPr>
            <w:r>
              <w:t xml:space="preserve">Complejo</w:t>
            </w:r>
          </w:p>
        </w:tc>
        <w:tc>
          <w:tcPr>
            <w:tcW w:w="2820" w:type="dxa"/>
            <w:shd w:val="clear" w:color="auto" w:fill="F7F7F7"/>
          </w:tcPr>
          <w:p>
            <w:pPr>
              <w:pStyle w:val="Tabla9"/>
              <w:keepNext/>
              <w:jc w:val="left"/>
            </w:pPr>
            <w:r>
              <w:t xml:space="preserve">S2 contiene 144 ciclos simples y 140 incluyen V15</w:t>
            </w:r>
          </w:p>
        </w:tc>
        <w:tc>
          <w:tcPr>
            <w:tcW w:w="3152" w:type="dxa"/>
            <w:shd w:val="clear" w:color="auto" w:fill="F7F7F7"/>
          </w:tcPr>
          <w:p>
            <w:pPr>
              <w:pStyle w:val="Tabla9"/>
              <w:keepNext/>
              <w:jc w:val="left"/>
            </w:pPr>
            <w:r>
              <w:t xml:space="preserve">Si los dos municipios ejecutaran una partida recurrente con protocolo firmado, pasaría a complicado</w:t>
            </w:r>
          </w:p>
        </w:tc>
      </w:tr>
    </w:tbl>
    <w:p>
      <w:pPr>
        <w:pStyle w:val="TablaNota"/>
      </w:pPr>
      <w:r>
        <w:rPr>
          <w:i/>
          <w:iCs/>
        </w:rPr>
        <w:t xml:space="preserve">Nota.</w:t>
      </w:r>
      <w:r>
        <w:t xml:space="preserve"> </w:t>
      </w:r>
      <w:r>
        <w:t xml:space="preserve">Elaboración propia. La clasificación es una inferencia del equipo formulador. Los ciclos se explican en A.5.</w:t>
      </w:r>
    </w:p>
    <w:bookmarkEnd w:id="24"/>
    <w:bookmarkEnd w:id="25"/>
    <w:bookmarkStart w:id="26" w:name="Xc3e4eb5b119456ef51c3fe9fae9b442c0069d32"/>
    <w:p>
      <w:pPr>
        <w:pStyle w:val="Heading2"/>
      </w:pPr>
      <w:r>
        <w:t xml:space="preserve">A.3. Modelo estructural de quince variables</w:t>
      </w:r>
    </w:p>
    <w:p>
      <w:pPr>
        <w:pStyle w:val="FirstParagraph"/>
      </w:pPr>
      <w:r>
        <w:t xml:space="preserve">El modelo estructural reúne quince variables en tres bloques de cinco: físico, técnico y de decisión. No se agregan ni se retiran variables durante el análisis. La Tabla A.7 define cada variable con su unidad. La variable V02 incluye la masa de V01 por tamaño de partícula. Una versión posterior puede redefinirla como fracción gruesa, es decir, PM10 menos PM2,5.</w:t>
      </w:r>
    </w:p>
    <w:p>
      <w:pPr>
        <w:pStyle w:val="TablaRotulo"/>
      </w:pPr>
      <w:bookmarkStart w:id="9007" w:name="rot_Tabla_A_7"/>
      <w:r>
        <w:rPr>
          <w:b/>
          <w:bCs/>
        </w:rPr>
        <w:t xml:space="preserve">Tabla A.7</w:t>
      </w:r>
      <w:bookmarkEnd w:id="9007"/>
    </w:p>
    <w:p>
      <w:pPr>
        <w:pStyle w:val="TablaTitulo"/>
      </w:pPr>
      <w:r>
        <w:rPr>
          <w:i/>
          <w:iCs/>
        </w:rPr>
        <w:t xml:space="preserve">Variables del modelo estructural: identificador, definición operacional y bloque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3235"/>
        <w:gridCol w:w="4230"/>
        <w:gridCol w:w="1659"/>
      </w:tblGrid>
      <w:tr>
        <w:trPr>
          <w:cantSplit/>
          <w:tblHeader w:val="true"/>
          <w:tblHeader/>
        </w:trPr>
        <w:tc>
          <w:tcPr>
            <w:tcW w:w="830" w:type="dxa"/>
            <w:tcBorders>
              <w:bottom w:val="single" w:sz="12" w:space="0" w:color="6699CC"/>
            </w:tcBorders>
            <w:shd w:val="clear" w:color="auto" w:fill="B9D9EB"/>
          </w:tcPr>
          <w:p>
            <w:pPr>
              <w:pStyle w:val="Tabla9"/>
              <w:keepNext/>
              <w:jc w:val="left"/>
            </w:pPr>
            <w:r>
              <w:rPr>
                <w:b/>
              </w:rPr>
              <w:t xml:space="preserve">ID</w:t>
            </w:r>
          </w:p>
        </w:tc>
        <w:tc>
          <w:tcPr>
            <w:tcW w:w="3235" w:type="dxa"/>
            <w:tcBorders>
              <w:bottom w:val="single" w:sz="12" w:space="0" w:color="6699CC"/>
            </w:tcBorders>
            <w:shd w:val="clear" w:color="auto" w:fill="B9D9EB"/>
          </w:tcPr>
          <w:p>
            <w:pPr>
              <w:pStyle w:val="Tabla9"/>
              <w:keepNext/>
              <w:jc w:val="left"/>
            </w:pPr>
            <w:r>
              <w:rPr>
                <w:b/>
              </w:rPr>
              <w:t xml:space="preserve">Variable</w:t>
            </w:r>
          </w:p>
        </w:tc>
        <w:tc>
          <w:tcPr>
            <w:tcW w:w="4230" w:type="dxa"/>
            <w:tcBorders>
              <w:bottom w:val="single" w:sz="12" w:space="0" w:color="6699CC"/>
            </w:tcBorders>
            <w:shd w:val="clear" w:color="auto" w:fill="B9D9EB"/>
          </w:tcPr>
          <w:p>
            <w:pPr>
              <w:pStyle w:val="Tabla9"/>
              <w:keepNext/>
              <w:jc w:val="left"/>
            </w:pPr>
            <w:r>
              <w:rPr>
                <w:b/>
              </w:rPr>
              <w:t xml:space="preserve">Definición operacional (unidad)</w:t>
            </w:r>
          </w:p>
        </w:tc>
        <w:tc>
          <w:tcPr>
            <w:tcW w:w="1659" w:type="dxa"/>
            <w:tcBorders>
              <w:bottom w:val="single" w:sz="12" w:space="0" w:color="6699CC"/>
            </w:tcBorders>
            <w:shd w:val="clear" w:color="auto" w:fill="B9D9EB"/>
          </w:tcPr>
          <w:p>
            <w:pPr>
              <w:pStyle w:val="Tabla9"/>
              <w:keepNext/>
              <w:jc w:val="left"/>
            </w:pPr>
            <w:r>
              <w:rPr>
                <w:b/>
              </w:rPr>
              <w:t xml:space="preserve">Bloque</w:t>
            </w:r>
          </w:p>
        </w:tc>
      </w:tr>
      <w:tr>
        <w:trPr>
          <w:cantSplit/>
        </w:trPr>
        <w:tc>
          <w:tcPr>
            <w:tcW w:w="830" w:type="dxa"/>
          </w:tcPr>
          <w:p>
            <w:pPr>
              <w:pStyle w:val="Tabla9"/>
              <w:jc w:val="left"/>
            </w:pPr>
            <w:r>
              <w:t xml:space="preserve">V01</w:t>
            </w:r>
          </w:p>
        </w:tc>
        <w:tc>
          <w:tcPr>
            <w:tcW w:w="3235" w:type="dxa"/>
          </w:tcPr>
          <w:p>
            <w:pPr>
              <w:pStyle w:val="Tabla9"/>
              <w:jc w:val="left"/>
            </w:pPr>
            <w:r>
              <w:t xml:space="preserve">Concentración de PM2,5</w:t>
            </w:r>
          </w:p>
        </w:tc>
        <w:tc>
          <w:tcPr>
            <w:tcW w:w="4230" w:type="dxa"/>
          </w:tcPr>
          <w:p>
            <w:pPr>
              <w:pStyle w:val="Tabla9"/>
              <w:jc w:val="left"/>
            </w:pPr>
            <w:r>
              <w:t xml:space="preserve">Masa de partículas &lt;2,5 µm (µg/m³).</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V02</w:t>
            </w:r>
          </w:p>
        </w:tc>
        <w:tc>
          <w:tcPr>
            <w:tcW w:w="3235" w:type="dxa"/>
            <w:shd w:val="clear" w:color="auto" w:fill="F7F7F7"/>
          </w:tcPr>
          <w:p>
            <w:pPr>
              <w:pStyle w:val="Tabla9"/>
              <w:jc w:val="left"/>
            </w:pPr>
            <w:r>
              <w:t xml:space="preserve">Concentración de PM10</w:t>
            </w:r>
          </w:p>
        </w:tc>
        <w:tc>
          <w:tcPr>
            <w:tcW w:w="4230" w:type="dxa"/>
            <w:shd w:val="clear" w:color="auto" w:fill="F7F7F7"/>
          </w:tcPr>
          <w:p>
            <w:pPr>
              <w:pStyle w:val="Tabla9"/>
              <w:jc w:val="left"/>
            </w:pPr>
            <w:r>
              <w:t xml:space="preserve">Masa de partículas &lt;10 µm (µg/m³).</w:t>
            </w:r>
          </w:p>
        </w:tc>
        <w:tc>
          <w:tcPr>
            <w:tcW w:w="1659" w:type="dxa"/>
            <w:shd w:val="clear" w:color="auto" w:fill="F7F7F7"/>
          </w:tcPr>
          <w:p>
            <w:pPr>
              <w:pStyle w:val="Tabla9"/>
              <w:jc w:val="left"/>
            </w:pPr>
            <w:r>
              <w:t xml:space="preserve">Físico</w:t>
            </w:r>
          </w:p>
        </w:tc>
      </w:tr>
      <w:tr>
        <w:trPr>
          <w:cantSplit/>
        </w:trPr>
        <w:tc>
          <w:tcPr>
            <w:tcW w:w="830" w:type="dxa"/>
          </w:tcPr>
          <w:p>
            <w:pPr>
              <w:pStyle w:val="Tabla9"/>
              <w:jc w:val="left"/>
            </w:pPr>
            <w:r>
              <w:t xml:space="preserve">V03</w:t>
            </w:r>
          </w:p>
        </w:tc>
        <w:tc>
          <w:tcPr>
            <w:tcW w:w="3235" w:type="dxa"/>
          </w:tcPr>
          <w:p>
            <w:pPr>
              <w:pStyle w:val="Tabla9"/>
              <w:jc w:val="left"/>
            </w:pPr>
            <w:r>
              <w:t xml:space="preserve">Humedad relativa</w:t>
            </w:r>
          </w:p>
        </w:tc>
        <w:tc>
          <w:tcPr>
            <w:tcW w:w="4230" w:type="dxa"/>
          </w:tcPr>
          <w:p>
            <w:pPr>
              <w:pStyle w:val="Tabla9"/>
              <w:jc w:val="left"/>
            </w:pPr>
            <w:r>
              <w:t xml:space="preserve">Saturación de vapor de agua (%).</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V04</w:t>
            </w:r>
          </w:p>
        </w:tc>
        <w:tc>
          <w:tcPr>
            <w:tcW w:w="3235" w:type="dxa"/>
            <w:shd w:val="clear" w:color="auto" w:fill="F7F7F7"/>
          </w:tcPr>
          <w:p>
            <w:pPr>
              <w:pStyle w:val="Tabla9"/>
              <w:jc w:val="left"/>
            </w:pPr>
            <w:r>
              <w:t xml:space="preserve">Velocidad del viento</w:t>
            </w:r>
          </w:p>
        </w:tc>
        <w:tc>
          <w:tcPr>
            <w:tcW w:w="4230" w:type="dxa"/>
            <w:shd w:val="clear" w:color="auto" w:fill="F7F7F7"/>
          </w:tcPr>
          <w:p>
            <w:pPr>
              <w:pStyle w:val="Tabla9"/>
              <w:jc w:val="left"/>
            </w:pPr>
            <w:r>
              <w:t xml:space="preserve">Fuerza de dispersión eólica superficial (m/s).</w:t>
            </w:r>
          </w:p>
        </w:tc>
        <w:tc>
          <w:tcPr>
            <w:tcW w:w="1659" w:type="dxa"/>
            <w:shd w:val="clear" w:color="auto" w:fill="F7F7F7"/>
          </w:tcPr>
          <w:p>
            <w:pPr>
              <w:pStyle w:val="Tabla9"/>
              <w:jc w:val="left"/>
            </w:pPr>
            <w:r>
              <w:t xml:space="preserve">Físico</w:t>
            </w:r>
          </w:p>
        </w:tc>
      </w:tr>
      <w:tr>
        <w:trPr>
          <w:cantSplit/>
        </w:trPr>
        <w:tc>
          <w:tcPr>
            <w:tcW w:w="830" w:type="dxa"/>
          </w:tcPr>
          <w:p>
            <w:pPr>
              <w:pStyle w:val="Tabla9"/>
              <w:jc w:val="left"/>
            </w:pPr>
            <w:r>
              <w:t xml:space="preserve">V05</w:t>
            </w:r>
          </w:p>
        </w:tc>
        <w:tc>
          <w:tcPr>
            <w:tcW w:w="3235" w:type="dxa"/>
          </w:tcPr>
          <w:p>
            <w:pPr>
              <w:pStyle w:val="Tabla9"/>
              <w:jc w:val="left"/>
            </w:pPr>
            <w:r>
              <w:t xml:space="preserve">Volumen de escombros removidos</w:t>
            </w:r>
          </w:p>
        </w:tc>
        <w:tc>
          <w:tcPr>
            <w:tcW w:w="4230" w:type="dxa"/>
          </w:tcPr>
          <w:p>
            <w:pPr>
              <w:pStyle w:val="Tabla9"/>
              <w:jc w:val="left"/>
            </w:pPr>
            <w:r>
              <w:t xml:space="preserve">Residuos removidos tras el sismo (t/día).</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V06</w:t>
            </w:r>
          </w:p>
        </w:tc>
        <w:tc>
          <w:tcPr>
            <w:tcW w:w="3235" w:type="dxa"/>
            <w:shd w:val="clear" w:color="auto" w:fill="F7F7F7"/>
          </w:tcPr>
          <w:p>
            <w:pPr>
              <w:pStyle w:val="Tabla9"/>
              <w:jc w:val="left"/>
            </w:pPr>
            <w:r>
              <w:t xml:space="preserve">Error de medición de los nodos</w:t>
            </w:r>
          </w:p>
        </w:tc>
        <w:tc>
          <w:tcPr>
            <w:tcW w:w="4230" w:type="dxa"/>
            <w:shd w:val="clear" w:color="auto" w:fill="F7F7F7"/>
          </w:tcPr>
          <w:p>
            <w:pPr>
              <w:pStyle w:val="Tabla9"/>
              <w:jc w:val="left"/>
            </w:pPr>
            <w:r>
              <w:t xml:space="preserve">Desfase metrológico del sensor láser (NMAE %).</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V07</w:t>
            </w:r>
          </w:p>
        </w:tc>
        <w:tc>
          <w:tcPr>
            <w:tcW w:w="3235" w:type="dxa"/>
          </w:tcPr>
          <w:p>
            <w:pPr>
              <w:pStyle w:val="Tabla9"/>
              <w:jc w:val="left"/>
            </w:pPr>
            <w:r>
              <w:t xml:space="preserve">Frecuencia de calibración</w:t>
            </w:r>
          </w:p>
        </w:tc>
        <w:tc>
          <w:tcPr>
            <w:tcW w:w="4230" w:type="dxa"/>
          </w:tcPr>
          <w:p>
            <w:pPr>
              <w:pStyle w:val="Tabla9"/>
              <w:jc w:val="left"/>
            </w:pPr>
            <w:r>
              <w:t xml:space="preserve">Tasa de ajuste algorítmico del gemelo (ajustes/semana).</w:t>
            </w:r>
          </w:p>
        </w:tc>
        <w:tc>
          <w:tcPr>
            <w:tcW w:w="1659" w:type="dxa"/>
          </w:tcPr>
          <w:p>
            <w:pPr>
              <w:pStyle w:val="Tabla9"/>
              <w:jc w:val="left"/>
            </w:pPr>
            <w:r>
              <w:t xml:space="preserve">Técnico</w:t>
            </w:r>
          </w:p>
        </w:tc>
      </w:tr>
      <w:tr>
        <w:trPr>
          <w:cantSplit/>
        </w:trPr>
        <w:tc>
          <w:tcPr>
            <w:tcW w:w="830" w:type="dxa"/>
            <w:shd w:val="clear" w:color="auto" w:fill="F7F7F7"/>
          </w:tcPr>
          <w:p>
            <w:pPr>
              <w:pStyle w:val="Tabla9"/>
              <w:jc w:val="left"/>
            </w:pPr>
            <w:r>
              <w:t xml:space="preserve">V08</w:t>
            </w:r>
          </w:p>
        </w:tc>
        <w:tc>
          <w:tcPr>
            <w:tcW w:w="3235" w:type="dxa"/>
            <w:shd w:val="clear" w:color="auto" w:fill="F7F7F7"/>
          </w:tcPr>
          <w:p>
            <w:pPr>
              <w:pStyle w:val="Tabla9"/>
              <w:jc w:val="left"/>
            </w:pPr>
            <w:r>
              <w:t xml:space="preserve">Latencia de datos</w:t>
            </w:r>
          </w:p>
        </w:tc>
        <w:tc>
          <w:tcPr>
            <w:tcW w:w="4230" w:type="dxa"/>
            <w:shd w:val="clear" w:color="auto" w:fill="F7F7F7"/>
          </w:tcPr>
          <w:p>
            <w:pPr>
              <w:pStyle w:val="Tabla9"/>
              <w:jc w:val="left"/>
            </w:pPr>
            <w:r>
              <w:t xml:space="preserve">Retraso en la transmisión a la nube central (minutos).</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V09</w:t>
            </w:r>
          </w:p>
        </w:tc>
        <w:tc>
          <w:tcPr>
            <w:tcW w:w="3235" w:type="dxa"/>
          </w:tcPr>
          <w:p>
            <w:pPr>
              <w:pStyle w:val="Tabla9"/>
              <w:jc w:val="left"/>
            </w:pPr>
            <w:r>
              <w:t xml:space="preserve">Disponibilidad de nodos</w:t>
            </w:r>
          </w:p>
        </w:tc>
        <w:tc>
          <w:tcPr>
            <w:tcW w:w="4230" w:type="dxa"/>
          </w:tcPr>
          <w:p>
            <w:pPr>
              <w:pStyle w:val="Tabla9"/>
              <w:jc w:val="left"/>
            </w:pPr>
            <w:r>
              <w:t xml:space="preserve">Porcentaje de la red de sensores activa y con energía (%).</w:t>
            </w:r>
          </w:p>
        </w:tc>
        <w:tc>
          <w:tcPr>
            <w:tcW w:w="1659" w:type="dxa"/>
          </w:tcPr>
          <w:p>
            <w:pPr>
              <w:pStyle w:val="Tabla9"/>
              <w:jc w:val="left"/>
            </w:pPr>
            <w:r>
              <w:t xml:space="preserve">Técnico</w:t>
            </w:r>
          </w:p>
        </w:tc>
      </w:tr>
      <w:tr>
        <w:trPr>
          <w:cantSplit/>
        </w:trPr>
        <w:tc>
          <w:tcPr>
            <w:tcW w:w="830" w:type="dxa"/>
            <w:shd w:val="clear" w:color="auto" w:fill="F7F7F7"/>
          </w:tcPr>
          <w:p>
            <w:pPr>
              <w:pStyle w:val="Tabla9"/>
              <w:jc w:val="left"/>
            </w:pPr>
            <w:r>
              <w:t xml:space="preserve">V10</w:t>
            </w:r>
          </w:p>
        </w:tc>
        <w:tc>
          <w:tcPr>
            <w:tcW w:w="3235" w:type="dxa"/>
            <w:shd w:val="clear" w:color="auto" w:fill="F7F7F7"/>
          </w:tcPr>
          <w:p>
            <w:pPr>
              <w:pStyle w:val="Tabla9"/>
              <w:jc w:val="left"/>
            </w:pPr>
            <w:r>
              <w:t xml:space="preserve">Densidad del gemelo digital</w:t>
            </w:r>
          </w:p>
        </w:tc>
        <w:tc>
          <w:tcPr>
            <w:tcW w:w="4230" w:type="dxa"/>
            <w:shd w:val="clear" w:color="auto" w:fill="F7F7F7"/>
          </w:tcPr>
          <w:p>
            <w:pPr>
              <w:pStyle w:val="Tabla9"/>
              <w:jc w:val="left"/>
            </w:pPr>
            <w:r>
              <w:t xml:space="preserve">Resolución del mapa predictivo espacial (nodos/km²).</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V11</w:t>
            </w:r>
          </w:p>
        </w:tc>
        <w:tc>
          <w:tcPr>
            <w:tcW w:w="3235" w:type="dxa"/>
          </w:tcPr>
          <w:p>
            <w:pPr>
              <w:pStyle w:val="Tabla9"/>
              <w:jc w:val="left"/>
            </w:pPr>
            <w:r>
              <w:t xml:space="preserve">Índice local de calidad del aire</w:t>
            </w:r>
          </w:p>
        </w:tc>
        <w:tc>
          <w:tcPr>
            <w:tcW w:w="4230" w:type="dxa"/>
          </w:tcPr>
          <w:p>
            <w:pPr>
              <w:pStyle w:val="Tabla9"/>
              <w:jc w:val="left"/>
            </w:pPr>
            <w:r>
              <w:t xml:space="preserve">Nivel de peligro de salud pública emitido (escala 1-10).</w:t>
            </w:r>
          </w:p>
        </w:tc>
        <w:tc>
          <w:tcPr>
            <w:tcW w:w="1659" w:type="dxa"/>
          </w:tcPr>
          <w:p>
            <w:pPr>
              <w:pStyle w:val="Tabla9"/>
              <w:jc w:val="left"/>
            </w:pPr>
            <w:r>
              <w:t xml:space="preserve">Decisión</w:t>
            </w:r>
          </w:p>
        </w:tc>
      </w:tr>
      <w:tr>
        <w:trPr>
          <w:cantSplit/>
        </w:trPr>
        <w:tc>
          <w:tcPr>
            <w:tcW w:w="830" w:type="dxa"/>
            <w:shd w:val="clear" w:color="auto" w:fill="F7F7F7"/>
          </w:tcPr>
          <w:p>
            <w:pPr>
              <w:pStyle w:val="Tabla9"/>
              <w:jc w:val="left"/>
            </w:pPr>
            <w:r>
              <w:t xml:space="preserve">V12</w:t>
            </w:r>
          </w:p>
        </w:tc>
        <w:tc>
          <w:tcPr>
            <w:tcW w:w="3235" w:type="dxa"/>
            <w:shd w:val="clear" w:color="auto" w:fill="F7F7F7"/>
          </w:tcPr>
          <w:p>
            <w:pPr>
              <w:pStyle w:val="Tabla9"/>
              <w:jc w:val="left"/>
            </w:pPr>
            <w:r>
              <w:t xml:space="preserve">Falsas alarmas</w:t>
            </w:r>
          </w:p>
        </w:tc>
        <w:tc>
          <w:tcPr>
            <w:tcW w:w="4230" w:type="dxa"/>
            <w:shd w:val="clear" w:color="auto" w:fill="F7F7F7"/>
          </w:tcPr>
          <w:p>
            <w:pPr>
              <w:pStyle w:val="Tabla9"/>
              <w:jc w:val="left"/>
            </w:pPr>
            <w:r>
              <w:t xml:space="preserve">Tasa de alertas emitidas sin superación de umbral real (%).</w:t>
            </w:r>
          </w:p>
        </w:tc>
        <w:tc>
          <w:tcPr>
            <w:tcW w:w="1659" w:type="dxa"/>
            <w:shd w:val="clear" w:color="auto" w:fill="F7F7F7"/>
          </w:tcPr>
          <w:p>
            <w:pPr>
              <w:pStyle w:val="Tabla9"/>
              <w:jc w:val="left"/>
            </w:pPr>
            <w:r>
              <w:t xml:space="preserve">Decisión</w:t>
            </w:r>
          </w:p>
        </w:tc>
      </w:tr>
      <w:tr>
        <w:trPr>
          <w:cantSplit/>
        </w:trPr>
        <w:tc>
          <w:tcPr>
            <w:tcW w:w="830" w:type="dxa"/>
          </w:tcPr>
          <w:p>
            <w:pPr>
              <w:pStyle w:val="Tabla9"/>
              <w:jc w:val="left"/>
            </w:pPr>
            <w:r>
              <w:t xml:space="preserve">V13</w:t>
            </w:r>
          </w:p>
        </w:tc>
        <w:tc>
          <w:tcPr>
            <w:tcW w:w="3235" w:type="dxa"/>
          </w:tcPr>
          <w:p>
            <w:pPr>
              <w:pStyle w:val="Tabla9"/>
              <w:jc w:val="left"/>
            </w:pPr>
            <w:r>
              <w:t xml:space="preserve">Anticipación del aviso</w:t>
            </w:r>
          </w:p>
        </w:tc>
        <w:tc>
          <w:tcPr>
            <w:tcW w:w="4230" w:type="dxa"/>
          </w:tcPr>
          <w:p>
            <w:pPr>
              <w:pStyle w:val="Tabla9"/>
              <w:jc w:val="left"/>
            </w:pPr>
            <w:r>
              <w:t xml:space="preserve">Tiempo de aviso preventivo antes del impacto (horas).</w:t>
            </w:r>
          </w:p>
        </w:tc>
        <w:tc>
          <w:tcPr>
            <w:tcW w:w="1659" w:type="dxa"/>
          </w:tcPr>
          <w:p>
            <w:pPr>
              <w:pStyle w:val="Tabla9"/>
              <w:jc w:val="left"/>
            </w:pPr>
            <w:r>
              <w:t xml:space="preserve">Decisión</w:t>
            </w:r>
          </w:p>
        </w:tc>
      </w:tr>
      <w:tr>
        <w:trPr>
          <w:cantSplit/>
        </w:trPr>
        <w:tc>
          <w:tcPr>
            <w:tcW w:w="830" w:type="dxa"/>
            <w:shd w:val="clear" w:color="auto" w:fill="F7F7F7"/>
          </w:tcPr>
          <w:p>
            <w:pPr>
              <w:pStyle w:val="Tabla9"/>
              <w:jc w:val="left"/>
            </w:pPr>
            <w:r>
              <w:t xml:space="preserve">V14</w:t>
            </w:r>
          </w:p>
        </w:tc>
        <w:tc>
          <w:tcPr>
            <w:tcW w:w="3235" w:type="dxa"/>
            <w:shd w:val="clear" w:color="auto" w:fill="F7F7F7"/>
          </w:tcPr>
          <w:p>
            <w:pPr>
              <w:pStyle w:val="Tabla9"/>
              <w:jc w:val="left"/>
            </w:pPr>
            <w:r>
              <w:t xml:space="preserve">Personas alertadas</w:t>
            </w:r>
          </w:p>
        </w:tc>
        <w:tc>
          <w:tcPr>
            <w:tcW w:w="4230" w:type="dxa"/>
            <w:shd w:val="clear" w:color="auto" w:fill="F7F7F7"/>
          </w:tcPr>
          <w:p>
            <w:pPr>
              <w:pStyle w:val="Tabla9"/>
              <w:jc w:val="left"/>
            </w:pPr>
            <w:r>
              <w:t xml:space="preserve">Población y operarios bajo protección efectiva (conteo).</w:t>
            </w:r>
          </w:p>
        </w:tc>
        <w:tc>
          <w:tcPr>
            <w:tcW w:w="1659" w:type="dxa"/>
            <w:shd w:val="clear" w:color="auto" w:fill="F7F7F7"/>
          </w:tcPr>
          <w:p>
            <w:pPr>
              <w:pStyle w:val="Tabla9"/>
              <w:jc w:val="left"/>
            </w:pPr>
            <w:r>
              <w:t xml:space="preserve">Decisión</w:t>
            </w:r>
          </w:p>
        </w:tc>
      </w:tr>
      <w:tr>
        <w:trPr>
          <w:cantSplit/>
        </w:trPr>
        <w:tc>
          <w:tcPr>
            <w:tcW w:w="830" w:type="dxa"/>
          </w:tcPr>
          <w:p>
            <w:pPr>
              <w:pStyle w:val="Tabla9"/>
              <w:keepNext/>
              <w:jc w:val="left"/>
            </w:pPr>
            <w:r>
              <w:t xml:space="preserve">V15</w:t>
            </w:r>
          </w:p>
        </w:tc>
        <w:tc>
          <w:tcPr>
            <w:tcW w:w="3235" w:type="dxa"/>
          </w:tcPr>
          <w:p>
            <w:pPr>
              <w:pStyle w:val="Tabla9"/>
              <w:keepNext/>
              <w:jc w:val="left"/>
            </w:pPr>
            <w:r>
              <w:t xml:space="preserve">Adopción institucional</w:t>
            </w:r>
          </w:p>
        </w:tc>
        <w:tc>
          <w:tcPr>
            <w:tcW w:w="4230" w:type="dxa"/>
          </w:tcPr>
          <w:p>
            <w:pPr>
              <w:pStyle w:val="Tabla9"/>
              <w:keepNext/>
              <w:jc w:val="left"/>
            </w:pPr>
            <w:r>
              <w:t xml:space="preserve">Uso efectivo del tablero por alcaldías y UNGRD (%).</w:t>
            </w:r>
          </w:p>
        </w:tc>
        <w:tc>
          <w:tcPr>
            <w:tcW w:w="1659" w:type="dxa"/>
          </w:tcPr>
          <w:p>
            <w:pPr>
              <w:pStyle w:val="Tabla9"/>
              <w:keepNext/>
              <w:jc w:val="left"/>
            </w:pPr>
            <w:r>
              <w:t xml:space="preserve">Decisión</w:t>
            </w:r>
          </w:p>
        </w:tc>
      </w:tr>
    </w:tbl>
    <w:p>
      <w:pPr>
        <w:pStyle w:val="TablaNota"/>
      </w:pPr>
      <w:r>
        <w:rPr>
          <w:i/>
          <w:iCs/>
        </w:rPr>
        <w:t xml:space="preserve">Nota.</w:t>
      </w:r>
      <w:r>
        <w:t xml:space="preserve"> </w:t>
      </w:r>
      <w:r>
        <w:t xml:space="preserve">Elaboración propia con el diccionario de variables del equipo formulador. Las 15 variables no se amplían ni se retiran durante el análisis.</w:t>
      </w:r>
    </w:p>
    <w:p>
      <w:pPr>
        <w:pStyle w:val="BodyText"/>
      </w:pPr>
      <w:r>
        <w:t xml:space="preserve">Una revisión de los 105 pares posibles de variables examinó el solapamiento de las definiciones. Resultaron 101 pares únicos, un solapamiento definicional (V01 y V02), dos ambigüedades condicionales y una dependencia funcional. Las ambigüedades se registran en A.11.</w:t>
      </w:r>
    </w:p>
    <w:p>
      <w:pPr>
        <w:pStyle w:val="BodyText"/>
      </w:pPr>
      <w:r>
        <w:t xml:space="preserve">La influencia directa se valora con una escala ordinal de 0 a 3. Los valores no expresan proporciones, probabilidades ni magnitudes. La Tabla A.8 presenta las anclas, que se fijaron antes de puntuar. La confianza en cada valor es un eje distinto y no multiplica el peso. Cada valor se acompaña de un dominio admisible.</w:t>
      </w:r>
    </w:p>
    <w:p>
      <w:pPr>
        <w:pStyle w:val="TablaRotulo"/>
      </w:pPr>
      <w:bookmarkStart w:id="9008" w:name="rot_Tabla_A_8"/>
      <w:r>
        <w:rPr>
          <w:b/>
          <w:bCs/>
        </w:rPr>
        <w:t xml:space="preserve">Tabla A.8</w:t>
      </w:r>
      <w:bookmarkEnd w:id="9008"/>
    </w:p>
    <w:p>
      <w:pPr>
        <w:pStyle w:val="TablaTitulo"/>
      </w:pPr>
      <w:r>
        <w:rPr>
          <w:i/>
          <w:iCs/>
        </w:rPr>
        <w:t xml:space="preserve">Escala ordinal de influencia directa y anclas de comparación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4646"/>
        <w:gridCol w:w="4230"/>
      </w:tblGrid>
      <w:tr>
        <w:trPr>
          <w:cantSplit/>
          <w:tblHeader w:val="true"/>
          <w:tblHeader/>
        </w:trPr>
        <w:tc>
          <w:tcPr>
            <w:tcW w:w="1078" w:type="dxa"/>
            <w:tcBorders>
              <w:bottom w:val="single" w:sz="12" w:space="0" w:color="6699CC"/>
            </w:tcBorders>
            <w:shd w:val="clear" w:color="auto" w:fill="B9D9EB"/>
          </w:tcPr>
          <w:p>
            <w:pPr>
              <w:pStyle w:val="Tabla9"/>
              <w:keepNext/>
              <w:jc w:val="left"/>
            </w:pPr>
            <w:r>
              <w:rPr>
                <w:b/>
              </w:rPr>
              <w:t xml:space="preserve">Valor</w:t>
            </w:r>
          </w:p>
        </w:tc>
        <w:tc>
          <w:tcPr>
            <w:tcW w:w="4646" w:type="dxa"/>
            <w:tcBorders>
              <w:bottom w:val="single" w:sz="12" w:space="0" w:color="6699CC"/>
            </w:tcBorders>
            <w:shd w:val="clear" w:color="auto" w:fill="B9D9EB"/>
          </w:tcPr>
          <w:p>
            <w:pPr>
              <w:pStyle w:val="Tabla9"/>
              <w:keepNext/>
              <w:jc w:val="left"/>
            </w:pPr>
            <w:r>
              <w:rPr>
                <w:b/>
              </w:rPr>
              <w:t xml:space="preserve">Definición operacional</w:t>
            </w:r>
          </w:p>
        </w:tc>
        <w:tc>
          <w:tcPr>
            <w:tcW w:w="4230" w:type="dxa"/>
            <w:tcBorders>
              <w:bottom w:val="single" w:sz="12" w:space="0" w:color="6699CC"/>
            </w:tcBorders>
            <w:shd w:val="clear" w:color="auto" w:fill="B9D9EB"/>
          </w:tcPr>
          <w:p>
            <w:pPr>
              <w:pStyle w:val="Tabla9"/>
              <w:keepNext/>
              <w:jc w:val="left"/>
            </w:pPr>
            <w:r>
              <w:rPr>
                <w:b/>
              </w:rPr>
              <w:t xml:space="preserve">Ancla del caso</w:t>
            </w:r>
          </w:p>
        </w:tc>
      </w:tr>
      <w:tr>
        <w:trPr>
          <w:cantSplit/>
        </w:trPr>
        <w:tc>
          <w:tcPr>
            <w:tcW w:w="1078" w:type="dxa"/>
          </w:tcPr>
          <w:p>
            <w:pPr>
              <w:pStyle w:val="Tabla9"/>
              <w:jc w:val="left"/>
            </w:pPr>
            <w:r>
              <w:t xml:space="preserve">0</w:t>
            </w:r>
          </w:p>
        </w:tc>
        <w:tc>
          <w:tcPr>
            <w:tcW w:w="4646" w:type="dxa"/>
          </w:tcPr>
          <w:p>
            <w:pPr>
              <w:pStyle w:val="Tabla9"/>
              <w:jc w:val="left"/>
            </w:pPr>
            <w:r>
              <w:t xml:space="preserve">Ausencia de influencia directa dentro del modelo, por frontera, definición, mediación explícita o mecanismo ausente</w:t>
            </w:r>
          </w:p>
        </w:tc>
        <w:tc>
          <w:tcPr>
            <w:tcW w:w="4230" w:type="dxa"/>
          </w:tcPr>
          <w:p>
            <w:pPr>
              <w:pStyle w:val="Tabla9"/>
              <w:jc w:val="left"/>
            </w:pPr>
            <w:r>
              <w:t xml:space="preserve">V11→V04: el índice mostrado en pantalla no altera el viento</w:t>
            </w:r>
          </w:p>
        </w:tc>
      </w:tr>
      <w:tr>
        <w:trPr>
          <w:cantSplit/>
        </w:trPr>
        <w:tc>
          <w:tcPr>
            <w:tcW w:w="1078" w:type="dxa"/>
            <w:shd w:val="clear" w:color="auto" w:fill="F7F7F7"/>
          </w:tcPr>
          <w:p>
            <w:pPr>
              <w:pStyle w:val="Tabla9"/>
              <w:jc w:val="left"/>
            </w:pPr>
            <w:r>
              <w:t xml:space="preserve">1</w:t>
            </w:r>
          </w:p>
        </w:tc>
        <w:tc>
          <w:tcPr>
            <w:tcW w:w="4646" w:type="dxa"/>
            <w:shd w:val="clear" w:color="auto" w:fill="F7F7F7"/>
          </w:tcPr>
          <w:p>
            <w:pPr>
              <w:pStyle w:val="Tabla9"/>
              <w:jc w:val="left"/>
            </w:pPr>
            <w:r>
              <w:t xml:space="preserve">Influencia directa débil: efecto gradual, parcial o mitigable por diseño dentro del horizonte</w:t>
            </w:r>
          </w:p>
        </w:tc>
        <w:tc>
          <w:tcPr>
            <w:tcW w:w="4230" w:type="dxa"/>
            <w:shd w:val="clear" w:color="auto" w:fill="F7F7F7"/>
          </w:tcPr>
          <w:p>
            <w:pPr>
              <w:pStyle w:val="Tabla9"/>
              <w:jc w:val="left"/>
            </w:pPr>
            <w:r>
              <w:t xml:space="preserve">V03→V09: la humedad corroe y condensa, pero la carcasa hermética lo mitiga</w:t>
            </w:r>
          </w:p>
        </w:tc>
      </w:tr>
      <w:tr>
        <w:trPr>
          <w:cantSplit/>
        </w:trPr>
        <w:tc>
          <w:tcPr>
            <w:tcW w:w="1078" w:type="dxa"/>
          </w:tcPr>
          <w:p>
            <w:pPr>
              <w:pStyle w:val="Tabla9"/>
              <w:jc w:val="left"/>
            </w:pPr>
            <w:r>
              <w:t xml:space="preserve">2</w:t>
            </w:r>
          </w:p>
        </w:tc>
        <w:tc>
          <w:tcPr>
            <w:tcW w:w="4646" w:type="dxa"/>
          </w:tcPr>
          <w:p>
            <w:pPr>
              <w:pStyle w:val="Tabla9"/>
              <w:jc w:val="left"/>
            </w:pPr>
            <w:r>
              <w:t xml:space="preserve">Influencia directa moderada: altera el funcionamiento estándar y exige acción correctiva, sin determinarlo</w:t>
            </w:r>
          </w:p>
        </w:tc>
        <w:tc>
          <w:tcPr>
            <w:tcW w:w="4230" w:type="dxa"/>
          </w:tcPr>
          <w:p>
            <w:pPr>
              <w:pStyle w:val="Tabla9"/>
              <w:jc w:val="left"/>
            </w:pPr>
            <w:r>
              <w:t xml:space="preserve">V08→V13: la latencia resta una fracción del tiempo útil de aviso; la relación es aritmética pero parcial</w:t>
            </w:r>
          </w:p>
        </w:tc>
      </w:tr>
      <w:tr>
        <w:trPr>
          <w:cantSplit/>
        </w:trPr>
        <w:tc>
          <w:tcPr>
            <w:tcW w:w="1078" w:type="dxa"/>
            <w:shd w:val="clear" w:color="auto" w:fill="F7F7F7"/>
          </w:tcPr>
          <w:p>
            <w:pPr>
              <w:pStyle w:val="Tabla9"/>
              <w:keepNext/>
              <w:jc w:val="left"/>
            </w:pPr>
            <w:r>
              <w:t xml:space="preserve">3</w:t>
            </w:r>
          </w:p>
        </w:tc>
        <w:tc>
          <w:tcPr>
            <w:tcW w:w="4646" w:type="dxa"/>
            <w:shd w:val="clear" w:color="auto" w:fill="F7F7F7"/>
          </w:tcPr>
          <w:p>
            <w:pPr>
              <w:pStyle w:val="Tabla9"/>
              <w:keepNext/>
              <w:jc w:val="left"/>
            </w:pPr>
            <w:r>
              <w:t xml:space="preserve">Influencia directa fuerte: determina la variable destino casi de forma mecánica, sin agente intermedio</w:t>
            </w:r>
          </w:p>
        </w:tc>
        <w:tc>
          <w:tcPr>
            <w:tcW w:w="4230" w:type="dxa"/>
            <w:shd w:val="clear" w:color="auto" w:fill="F7F7F7"/>
          </w:tcPr>
          <w:p>
            <w:pPr>
              <w:pStyle w:val="Tabla9"/>
              <w:keepNext/>
              <w:jc w:val="left"/>
            </w:pPr>
            <w:r>
              <w:t xml:space="preserve">V05→V02 y V06→V11: la remoción mecánica genera PM10 y el error del sensor entra al índice sin acción humana intermedia</w:t>
            </w:r>
          </w:p>
        </w:tc>
      </w:tr>
    </w:tbl>
    <w:p>
      <w:pPr>
        <w:pStyle w:val="TablaNota"/>
      </w:pPr>
      <w:r>
        <w:rPr>
          <w:i/>
          <w:iCs/>
        </w:rPr>
        <w:t xml:space="preserve">Nota.</w:t>
      </w:r>
      <w:r>
        <w:t xml:space="preserve"> </w:t>
      </w:r>
      <w:r>
        <w:t xml:space="preserve">Elaboración propia. El valor 0 no equivale a un dato faltante: declara la razón de la ausencia.</w:t>
      </w:r>
    </w:p>
    <w:p>
      <w:pPr>
        <w:pStyle w:val="BodyText"/>
      </w:pPr>
      <w:r>
        <w:t xml:space="preserve">El equipo formulador valoró cada par en los dos sentidos, con una ficha por par. Son 105 fichas y 210 direcciones. Cada ficha declara el mecanismo o la razón del cero, el fundamento, el valor, la explicación rival, la confianza y el dominio admisible. El orden de las fichas se fijó al azar antes de valorar, con la semilla 20261011. Alterna pares de un mismo bloque y de bloques distintos. La paridad es de atención y no impone simetría de valores.</w:t>
      </w:r>
    </w:p>
    <w:p>
      <w:pPr>
        <w:pStyle w:val="BodyText"/>
      </w:pPr>
      <w:r>
        <w:t xml:space="preserve">De las 210 direcciones, 162 tienen valor 0 con la razón de ausencia o de mediación declarada. Las otras 48 tienen valor positivo: 25 de peso 1, 16 de peso 2 y 7 de peso 3. Cada valor es un juicio de formulación y ninguno fue adjudicado por un panel externo.</w:t>
      </w:r>
    </w:p>
    <w:bookmarkEnd w:id="26"/>
    <w:bookmarkStart w:id="41" w:name="a.4.-análisis-de-vester"/>
    <w:p>
      <w:pPr>
        <w:pStyle w:val="Heading2"/>
      </w:pPr>
      <w:r>
        <w:t xml:space="preserve">A.4. Análisis de Vester</w:t>
      </w:r>
    </w:p>
    <w:p>
      <w:pPr>
        <w:pStyle w:val="FirstParagraph"/>
      </w:pPr>
      <w:r>
        <w:t xml:space="preserve">El método de Vester (2007) clasifica cada variable por su influencia total y su dependencia total. La influencia total es la suma de la fila de la matriz y la dependencia total es la suma de la columna. Una variable es crítica si supera la mediana en ambos ejes. Es activa si supera solo la de influencia y reactiva si supera solo la de dependencia. Es autónoma relativa si no supera ninguna. Una variable que iguala un corte queda en la frontera.</w:t>
      </w:r>
    </w:p>
    <w:bookmarkStart w:id="27" w:name="a.4.1-escenarios-de-la-matriz"/>
    <w:p>
      <w:pPr>
        <w:pStyle w:val="Heading3"/>
      </w:pPr>
      <w:r>
        <w:t xml:space="preserve">A.4.1 Escenarios de la matriz</w:t>
      </w:r>
    </w:p>
    <w:p>
      <w:pPr>
        <w:pStyle w:val="FirstParagraph"/>
      </w:pPr>
      <w:r>
        <w:t xml:space="preserve">El análisis usa cinco escenarios, que la Tabla A.9 resume. S2 es la matriz de trabajo y se deriva de las 105 fichas. S0 y S1 son matrices anteriores del equipo formulador y se conservan para comparar. S3 y S4 toman el mínimo y el máximo admisible de cada vínculo y funcionan como envolventes de sensibilidad. Ninguno de los cinco predice resultados.</w:t>
      </w:r>
    </w:p>
    <w:p>
      <w:pPr>
        <w:pStyle w:val="TablaRotulo"/>
      </w:pPr>
      <w:bookmarkStart w:id="9009" w:name="rot_Tabla_A_9"/>
      <w:r>
        <w:rPr>
          <w:b/>
          <w:bCs/>
        </w:rPr>
        <w:t xml:space="preserve">Tabla A.9</w:t>
      </w:r>
      <w:bookmarkEnd w:id="9009"/>
    </w:p>
    <w:p>
      <w:pPr>
        <w:pStyle w:val="TablaTitulo"/>
      </w:pPr>
      <w:r>
        <w:rPr>
          <w:i/>
          <w:iCs/>
        </w:rPr>
        <w:t xml:space="preserve">Escenarios de la matriz de influencia directa y sus propiedades estructurales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1"/>
        <w:gridCol w:w="2091"/>
        <w:gridCol w:w="1088"/>
        <w:gridCol w:w="1088"/>
        <w:gridCol w:w="752"/>
        <w:gridCol w:w="920"/>
        <w:gridCol w:w="1255"/>
        <w:gridCol w:w="1589"/>
      </w:tblGrid>
      <w:tr>
        <w:trPr>
          <w:cantSplit/>
          <w:tblHeader w:val="true"/>
          <w:tblHeader/>
        </w:trPr>
        <w:tc>
          <w:tcPr>
            <w:tcW w:w="1171" w:type="dxa"/>
            <w:tcBorders>
              <w:bottom w:val="single" w:sz="12" w:space="0" w:color="6699CC"/>
            </w:tcBorders>
            <w:shd w:val="clear" w:color="auto" w:fill="B9D9EB"/>
          </w:tcPr>
          <w:p>
            <w:pPr>
              <w:pStyle w:val="Tabla8"/>
              <w:keepNext/>
              <w:jc w:val="left"/>
            </w:pPr>
            <w:r>
              <w:rPr>
                <w:b/>
              </w:rPr>
              <w:t xml:space="preserve">Escenario</w:t>
            </w:r>
          </w:p>
        </w:tc>
        <w:tc>
          <w:tcPr>
            <w:tcW w:w="2091" w:type="dxa"/>
            <w:tcBorders>
              <w:bottom w:val="single" w:sz="12" w:space="0" w:color="6699CC"/>
            </w:tcBorders>
            <w:shd w:val="clear" w:color="auto" w:fill="B9D9EB"/>
          </w:tcPr>
          <w:p>
            <w:pPr>
              <w:pStyle w:val="Tabla8"/>
              <w:keepNext/>
              <w:jc w:val="left"/>
            </w:pPr>
            <w:r>
              <w:rPr>
                <w:b/>
              </w:rPr>
              <w:t xml:space="preserve">Origen de los valores</w:t>
            </w:r>
          </w:p>
        </w:tc>
        <w:tc>
          <w:tcPr>
            <w:tcW w:w="1088" w:type="dxa"/>
            <w:tcBorders>
              <w:bottom w:val="single" w:sz="12" w:space="0" w:color="6699CC"/>
            </w:tcBorders>
            <w:shd w:val="clear" w:color="auto" w:fill="B9D9EB"/>
          </w:tcPr>
          <w:p>
            <w:pPr>
              <w:pStyle w:val="Tabla8"/>
              <w:keepNext/>
              <w:jc w:val="left"/>
            </w:pPr>
            <w:r>
              <w:rPr>
                <w:b/>
              </w:rPr>
              <w:t xml:space="preserve">Vínculos</w:t>
            </w:r>
          </w:p>
        </w:tc>
        <w:tc>
          <w:tcPr>
            <w:tcW w:w="1088" w:type="dxa"/>
            <w:tcBorders>
              <w:bottom w:val="single" w:sz="12" w:space="0" w:color="6699CC"/>
            </w:tcBorders>
            <w:shd w:val="clear" w:color="auto" w:fill="B9D9EB"/>
          </w:tcPr>
          <w:p>
            <w:pPr>
              <w:pStyle w:val="Tabla8"/>
              <w:keepNext/>
              <w:jc w:val="left"/>
            </w:pPr>
            <w:r>
              <w:rPr>
                <w:b/>
              </w:rPr>
              <w:t xml:space="preserve">Densidad</w:t>
            </w:r>
          </w:p>
        </w:tc>
        <w:tc>
          <w:tcPr>
            <w:tcW w:w="752" w:type="dxa"/>
            <w:tcBorders>
              <w:bottom w:val="single" w:sz="12" w:space="0" w:color="6699CC"/>
            </w:tcBorders>
            <w:shd w:val="clear" w:color="auto" w:fill="B9D9EB"/>
          </w:tcPr>
          <w:p>
            <w:pPr>
              <w:pStyle w:val="Tabla8"/>
              <w:keepNext/>
              <w:jc w:val="left"/>
            </w:pPr>
            <w:r>
              <w:rPr>
                <w:b/>
              </w:rPr>
              <w:t xml:space="preserve">Suma de pesos</w:t>
            </w:r>
          </w:p>
        </w:tc>
        <w:tc>
          <w:tcPr>
            <w:tcW w:w="920" w:type="dxa"/>
            <w:tcBorders>
              <w:bottom w:val="single" w:sz="12" w:space="0" w:color="6699CC"/>
            </w:tcBorders>
            <w:shd w:val="clear" w:color="auto" w:fill="B9D9EB"/>
          </w:tcPr>
          <w:p>
            <w:pPr>
              <w:pStyle w:val="Tabla8"/>
              <w:keepNext/>
              <w:jc w:val="left"/>
            </w:pPr>
            <w:r>
              <w:rPr>
                <w:b/>
              </w:rPr>
              <w:t xml:space="preserve">Ciclos</w:t>
            </w:r>
          </w:p>
        </w:tc>
        <w:tc>
          <w:tcPr>
            <w:tcW w:w="1255" w:type="dxa"/>
            <w:tcBorders>
              <w:bottom w:val="single" w:sz="12" w:space="0" w:color="6699CC"/>
            </w:tcBorders>
            <w:shd w:val="clear" w:color="auto" w:fill="B9D9EB"/>
          </w:tcPr>
          <w:p>
            <w:pPr>
              <w:pStyle w:val="Tabla8"/>
              <w:keepNext/>
              <w:jc w:val="left"/>
            </w:pPr>
            <w:r>
              <w:rPr>
                <w:b/>
              </w:rPr>
              <w:t xml:space="preserve">Variables sin entradas</w:t>
            </w:r>
          </w:p>
        </w:tc>
        <w:tc>
          <w:tcPr>
            <w:tcW w:w="1589" w:type="dxa"/>
            <w:tcBorders>
              <w:bottom w:val="single" w:sz="12" w:space="0" w:color="6699CC"/>
            </w:tcBorders>
            <w:shd w:val="clear" w:color="auto" w:fill="B9D9EB"/>
          </w:tcPr>
          <w:p>
            <w:pPr>
              <w:pStyle w:val="Tabla8"/>
              <w:keepNext/>
              <w:jc w:val="left"/>
            </w:pPr>
            <w:r>
              <w:rPr>
                <w:b/>
              </w:rPr>
              <w:t xml:space="preserve">MICMAC</w:t>
            </w:r>
          </w:p>
        </w:tc>
      </w:tr>
      <w:tr>
        <w:trPr>
          <w:cantSplit/>
        </w:trPr>
        <w:tc>
          <w:tcPr>
            <w:tcW w:w="1171" w:type="dxa"/>
          </w:tcPr>
          <w:p>
            <w:pPr>
              <w:pStyle w:val="Tabla8"/>
              <w:jc w:val="left"/>
            </w:pPr>
            <w:r>
              <w:t xml:space="preserve">S0</w:t>
            </w:r>
          </w:p>
        </w:tc>
        <w:tc>
          <w:tcPr>
            <w:tcW w:w="2091" w:type="dxa"/>
          </w:tcPr>
          <w:p>
            <w:pPr>
              <w:pStyle w:val="Tabla8"/>
              <w:jc w:val="left"/>
            </w:pPr>
            <w:r>
              <w:t xml:space="preserve">Matriz inicial del equipo formulador; los ceros se heredan sin adjudicar</w:t>
            </w:r>
          </w:p>
        </w:tc>
        <w:tc>
          <w:tcPr>
            <w:tcW w:w="1088" w:type="dxa"/>
          </w:tcPr>
          <w:p>
            <w:pPr>
              <w:pStyle w:val="Tabla8"/>
              <w:jc w:val="left"/>
            </w:pPr>
            <w:r>
              <w:t xml:space="preserve">22</w:t>
            </w:r>
          </w:p>
        </w:tc>
        <w:tc>
          <w:tcPr>
            <w:tcW w:w="1088" w:type="dxa"/>
          </w:tcPr>
          <w:p>
            <w:pPr>
              <w:pStyle w:val="Tabla8"/>
              <w:jc w:val="left"/>
            </w:pPr>
            <w:r>
              <w:t xml:space="preserve">10,5 %</w:t>
            </w:r>
          </w:p>
        </w:tc>
        <w:tc>
          <w:tcPr>
            <w:tcW w:w="752" w:type="dxa"/>
          </w:tcPr>
          <w:p>
            <w:pPr>
              <w:pStyle w:val="Tabla8"/>
              <w:jc w:val="left"/>
            </w:pPr>
            <w:r>
              <w:t xml:space="preserve">53</w:t>
            </w:r>
          </w:p>
        </w:tc>
        <w:tc>
          <w:tcPr>
            <w:tcW w:w="920" w:type="dxa"/>
          </w:tcPr>
          <w:p>
            <w:pPr>
              <w:pStyle w:val="Tabla8"/>
              <w:jc w:val="left"/>
            </w:pPr>
            <w:r>
              <w:t xml:space="preserve">No</w:t>
            </w:r>
          </w:p>
        </w:tc>
        <w:tc>
          <w:tcPr>
            <w:tcW w:w="1255" w:type="dxa"/>
          </w:tcPr>
          <w:p>
            <w:pPr>
              <w:pStyle w:val="Tabla8"/>
              <w:jc w:val="left"/>
            </w:pPr>
            <w:r>
              <w:t xml:space="preserve">V03, V04, V05, V07, V08</w:t>
            </w:r>
          </w:p>
        </w:tc>
        <w:tc>
          <w:tcPr>
            <w:tcW w:w="1589" w:type="dxa"/>
          </w:tcPr>
          <w:p>
            <w:pPr>
              <w:pStyle w:val="Tabla8"/>
              <w:jc w:val="left"/>
            </w:pPr>
            <w:r>
              <w:t xml:space="preserve">Se extingue en A⁷</w:t>
            </w:r>
          </w:p>
        </w:tc>
      </w:tr>
      <w:tr>
        <w:trPr>
          <w:cantSplit/>
        </w:trPr>
        <w:tc>
          <w:tcPr>
            <w:tcW w:w="1171" w:type="dxa"/>
            <w:shd w:val="clear" w:color="auto" w:fill="F7F7F7"/>
          </w:tcPr>
          <w:p>
            <w:pPr>
              <w:pStyle w:val="Tabla8"/>
              <w:jc w:val="left"/>
            </w:pPr>
            <w:r>
              <w:t xml:space="preserve">S1</w:t>
            </w:r>
          </w:p>
        </w:tc>
        <w:tc>
          <w:tcPr>
            <w:tcW w:w="2091" w:type="dxa"/>
            <w:shd w:val="clear" w:color="auto" w:fill="F7F7F7"/>
          </w:tcPr>
          <w:p>
            <w:pPr>
              <w:pStyle w:val="Tabla8"/>
              <w:jc w:val="left"/>
            </w:pPr>
            <w:r>
              <w:t xml:space="preserve">Matriz intermedia del equipo formulador, sin fichas completas</w:t>
            </w:r>
          </w:p>
        </w:tc>
        <w:tc>
          <w:tcPr>
            <w:tcW w:w="1088" w:type="dxa"/>
            <w:shd w:val="clear" w:color="auto" w:fill="F7F7F7"/>
          </w:tcPr>
          <w:p>
            <w:pPr>
              <w:pStyle w:val="Tabla8"/>
              <w:jc w:val="left"/>
            </w:pPr>
            <w:r>
              <w:t xml:space="preserve">32</w:t>
            </w:r>
          </w:p>
        </w:tc>
        <w:tc>
          <w:tcPr>
            <w:tcW w:w="1088" w:type="dxa"/>
            <w:shd w:val="clear" w:color="auto" w:fill="F7F7F7"/>
          </w:tcPr>
          <w:p>
            <w:pPr>
              <w:pStyle w:val="Tabla8"/>
              <w:jc w:val="left"/>
            </w:pPr>
            <w:r>
              <w:t xml:space="preserve">15,2 %</w:t>
            </w:r>
          </w:p>
        </w:tc>
        <w:tc>
          <w:tcPr>
            <w:tcW w:w="752" w:type="dxa"/>
            <w:shd w:val="clear" w:color="auto" w:fill="F7F7F7"/>
          </w:tcPr>
          <w:p>
            <w:pPr>
              <w:pStyle w:val="Tabla8"/>
              <w:jc w:val="left"/>
            </w:pPr>
            <w:r>
              <w:t xml:space="preserve">67</w:t>
            </w:r>
          </w:p>
        </w:tc>
        <w:tc>
          <w:tcPr>
            <w:tcW w:w="920" w:type="dxa"/>
            <w:shd w:val="clear" w:color="auto" w:fill="F7F7F7"/>
          </w:tcPr>
          <w:p>
            <w:pPr>
              <w:pStyle w:val="Tabla8"/>
              <w:jc w:val="left"/>
            </w:pPr>
            <w:r>
              <w:t xml:space="preserve">Sí</w:t>
            </w:r>
          </w:p>
        </w:tc>
        <w:tc>
          <w:tcPr>
            <w:tcW w:w="1255" w:type="dxa"/>
            <w:shd w:val="clear" w:color="auto" w:fill="F7F7F7"/>
          </w:tcPr>
          <w:p>
            <w:pPr>
              <w:pStyle w:val="Tabla8"/>
              <w:jc w:val="left"/>
            </w:pPr>
            <w:r>
              <w:t xml:space="preserve">V03, V04, V05</w:t>
            </w:r>
          </w:p>
        </w:tc>
        <w:tc>
          <w:tcPr>
            <w:tcW w:w="1589" w:type="dxa"/>
            <w:shd w:val="clear" w:color="auto" w:fill="F7F7F7"/>
          </w:tcPr>
          <w:p>
            <w:pPr>
              <w:pStyle w:val="Tabla8"/>
              <w:jc w:val="left"/>
            </w:pPr>
            <w:r>
              <w:t xml:space="preserve">Sin estabilidad hasta k = 10</w:t>
            </w:r>
          </w:p>
        </w:tc>
      </w:tr>
      <w:tr>
        <w:trPr>
          <w:cantSplit/>
        </w:trPr>
        <w:tc>
          <w:tcPr>
            <w:tcW w:w="1171" w:type="dxa"/>
          </w:tcPr>
          <w:p>
            <w:pPr>
              <w:pStyle w:val="Tabla8"/>
              <w:jc w:val="left"/>
            </w:pPr>
            <w:r>
              <w:t xml:space="preserve">S2</w:t>
            </w:r>
          </w:p>
        </w:tc>
        <w:tc>
          <w:tcPr>
            <w:tcW w:w="2091" w:type="dxa"/>
          </w:tcPr>
          <w:p>
            <w:pPr>
              <w:pStyle w:val="Tabla8"/>
              <w:jc w:val="left"/>
            </w:pPr>
            <w:r>
              <w:t xml:space="preserve">Matriz de trabajo derivada de las 105 fichas bidireccionales</w:t>
            </w:r>
          </w:p>
        </w:tc>
        <w:tc>
          <w:tcPr>
            <w:tcW w:w="1088" w:type="dxa"/>
          </w:tcPr>
          <w:p>
            <w:pPr>
              <w:pStyle w:val="Tabla8"/>
              <w:jc w:val="left"/>
            </w:pPr>
            <w:r>
              <w:t xml:space="preserve">48</w:t>
            </w:r>
          </w:p>
        </w:tc>
        <w:tc>
          <w:tcPr>
            <w:tcW w:w="1088" w:type="dxa"/>
          </w:tcPr>
          <w:p>
            <w:pPr>
              <w:pStyle w:val="Tabla8"/>
              <w:jc w:val="left"/>
            </w:pPr>
            <w:r>
              <w:t xml:space="preserve">22,9 %</w:t>
            </w:r>
          </w:p>
        </w:tc>
        <w:tc>
          <w:tcPr>
            <w:tcW w:w="752" w:type="dxa"/>
          </w:tcPr>
          <w:p>
            <w:pPr>
              <w:pStyle w:val="Tabla8"/>
              <w:jc w:val="left"/>
            </w:pPr>
            <w:r>
              <w:t xml:space="preserve">78</w:t>
            </w:r>
          </w:p>
        </w:tc>
        <w:tc>
          <w:tcPr>
            <w:tcW w:w="920" w:type="dxa"/>
          </w:tcPr>
          <w:p>
            <w:pPr>
              <w:pStyle w:val="Tabla8"/>
              <w:jc w:val="left"/>
            </w:pPr>
            <w:r>
              <w:t xml:space="preserve">Sí</w:t>
            </w:r>
          </w:p>
        </w:tc>
        <w:tc>
          <w:tcPr>
            <w:tcW w:w="1255" w:type="dxa"/>
          </w:tcPr>
          <w:p>
            <w:pPr>
              <w:pStyle w:val="Tabla8"/>
              <w:jc w:val="left"/>
            </w:pPr>
            <w:r>
              <w:t xml:space="preserve">V03, V04</w:t>
            </w:r>
          </w:p>
        </w:tc>
        <w:tc>
          <w:tcPr>
            <w:tcW w:w="1589" w:type="dxa"/>
          </w:tcPr>
          <w:p>
            <w:pPr>
              <w:pStyle w:val="Tabla8"/>
              <w:jc w:val="left"/>
            </w:pPr>
            <w:r>
              <w:t xml:space="preserve">Sin estabilidad hasta k = 10</w:t>
            </w:r>
          </w:p>
        </w:tc>
      </w:tr>
      <w:tr>
        <w:trPr>
          <w:cantSplit/>
        </w:trPr>
        <w:tc>
          <w:tcPr>
            <w:tcW w:w="1171" w:type="dxa"/>
            <w:shd w:val="clear" w:color="auto" w:fill="F7F7F7"/>
          </w:tcPr>
          <w:p>
            <w:pPr>
              <w:pStyle w:val="Tabla8"/>
              <w:jc w:val="left"/>
            </w:pPr>
            <w:r>
              <w:t xml:space="preserve">S3</w:t>
            </w:r>
          </w:p>
        </w:tc>
        <w:tc>
          <w:tcPr>
            <w:tcW w:w="2091" w:type="dxa"/>
            <w:shd w:val="clear" w:color="auto" w:fill="F7F7F7"/>
          </w:tcPr>
          <w:p>
            <w:pPr>
              <w:pStyle w:val="Tabla8"/>
              <w:jc w:val="left"/>
            </w:pPr>
            <w:r>
              <w:t xml:space="preserve">Envolvente baja: mínimo admisible de cada vínculo</w:t>
            </w:r>
          </w:p>
        </w:tc>
        <w:tc>
          <w:tcPr>
            <w:tcW w:w="1088" w:type="dxa"/>
            <w:shd w:val="clear" w:color="auto" w:fill="F7F7F7"/>
          </w:tcPr>
          <w:p>
            <w:pPr>
              <w:pStyle w:val="Tabla8"/>
              <w:jc w:val="left"/>
            </w:pPr>
            <w:r>
              <w:t xml:space="preserve">21</w:t>
            </w:r>
          </w:p>
        </w:tc>
        <w:tc>
          <w:tcPr>
            <w:tcW w:w="1088" w:type="dxa"/>
            <w:shd w:val="clear" w:color="auto" w:fill="F7F7F7"/>
          </w:tcPr>
          <w:p>
            <w:pPr>
              <w:pStyle w:val="Tabla8"/>
              <w:jc w:val="left"/>
            </w:pPr>
            <w:r>
              <w:t xml:space="preserve">10,0 %</w:t>
            </w:r>
          </w:p>
        </w:tc>
        <w:tc>
          <w:tcPr>
            <w:tcW w:w="752" w:type="dxa"/>
            <w:shd w:val="clear" w:color="auto" w:fill="F7F7F7"/>
          </w:tcPr>
          <w:p>
            <w:pPr>
              <w:pStyle w:val="Tabla8"/>
              <w:jc w:val="left"/>
            </w:pPr>
            <w:r>
              <w:t xml:space="preserve">29</w:t>
            </w:r>
          </w:p>
        </w:tc>
        <w:tc>
          <w:tcPr>
            <w:tcW w:w="920" w:type="dxa"/>
            <w:shd w:val="clear" w:color="auto" w:fill="F7F7F7"/>
          </w:tcPr>
          <w:p>
            <w:pPr>
              <w:pStyle w:val="Tabla8"/>
              <w:jc w:val="left"/>
            </w:pPr>
            <w:r>
              <w:t xml:space="preserve">Sí</w:t>
            </w:r>
          </w:p>
        </w:tc>
        <w:tc>
          <w:tcPr>
            <w:tcW w:w="1255" w:type="dxa"/>
            <w:shd w:val="clear" w:color="auto" w:fill="F7F7F7"/>
          </w:tcPr>
          <w:p>
            <w:pPr>
              <w:pStyle w:val="Tabla8"/>
              <w:jc w:val="left"/>
            </w:pPr>
            <w:r>
              <w:t xml:space="preserve">V03, V04, V05, V07, V08, V10</w:t>
            </w:r>
          </w:p>
        </w:tc>
        <w:tc>
          <w:tcPr>
            <w:tcW w:w="1589" w:type="dxa"/>
            <w:shd w:val="clear" w:color="auto" w:fill="F7F7F7"/>
          </w:tcPr>
          <w:p>
            <w:pPr>
              <w:pStyle w:val="Tabla8"/>
              <w:jc w:val="left"/>
            </w:pPr>
            <w:r>
              <w:t xml:space="preserve">Periodicidad observada</w:t>
            </w:r>
          </w:p>
        </w:tc>
      </w:tr>
      <w:tr>
        <w:trPr>
          <w:cantSplit/>
        </w:trPr>
        <w:tc>
          <w:tcPr>
            <w:tcW w:w="1171" w:type="dxa"/>
          </w:tcPr>
          <w:p>
            <w:pPr>
              <w:pStyle w:val="Tabla8"/>
              <w:keepNext/>
              <w:jc w:val="left"/>
            </w:pPr>
            <w:r>
              <w:t xml:space="preserve">S4</w:t>
            </w:r>
          </w:p>
        </w:tc>
        <w:tc>
          <w:tcPr>
            <w:tcW w:w="2091" w:type="dxa"/>
          </w:tcPr>
          <w:p>
            <w:pPr>
              <w:pStyle w:val="Tabla8"/>
              <w:keepNext/>
              <w:jc w:val="left"/>
            </w:pPr>
            <w:r>
              <w:t xml:space="preserve">Envolvente alta: máximo admisible de cada vínculo</w:t>
            </w:r>
          </w:p>
        </w:tc>
        <w:tc>
          <w:tcPr>
            <w:tcW w:w="1088" w:type="dxa"/>
          </w:tcPr>
          <w:p>
            <w:pPr>
              <w:pStyle w:val="Tabla8"/>
              <w:keepNext/>
              <w:jc w:val="left"/>
            </w:pPr>
            <w:r>
              <w:t xml:space="preserve">60</w:t>
            </w:r>
          </w:p>
        </w:tc>
        <w:tc>
          <w:tcPr>
            <w:tcW w:w="1088" w:type="dxa"/>
          </w:tcPr>
          <w:p>
            <w:pPr>
              <w:pStyle w:val="Tabla8"/>
              <w:keepNext/>
              <w:jc w:val="left"/>
            </w:pPr>
            <w:r>
              <w:t xml:space="preserve">28,6 %</w:t>
            </w:r>
          </w:p>
        </w:tc>
        <w:tc>
          <w:tcPr>
            <w:tcW w:w="752" w:type="dxa"/>
          </w:tcPr>
          <w:p>
            <w:pPr>
              <w:pStyle w:val="Tabla8"/>
              <w:keepNext/>
              <w:jc w:val="left"/>
            </w:pPr>
            <w:r>
              <w:t xml:space="preserve">118</w:t>
            </w:r>
          </w:p>
        </w:tc>
        <w:tc>
          <w:tcPr>
            <w:tcW w:w="920" w:type="dxa"/>
          </w:tcPr>
          <w:p>
            <w:pPr>
              <w:pStyle w:val="Tabla8"/>
              <w:keepNext/>
              <w:jc w:val="left"/>
            </w:pPr>
            <w:r>
              <w:t xml:space="preserve">Sí</w:t>
            </w:r>
          </w:p>
        </w:tc>
        <w:tc>
          <w:tcPr>
            <w:tcW w:w="1255" w:type="dxa"/>
          </w:tcPr>
          <w:p>
            <w:pPr>
              <w:pStyle w:val="Tabla8"/>
              <w:keepNext/>
              <w:jc w:val="left"/>
            </w:pPr>
            <w:r>
              <w:t xml:space="preserve">V04</w:t>
            </w:r>
          </w:p>
        </w:tc>
        <w:tc>
          <w:tcPr>
            <w:tcW w:w="1589" w:type="dxa"/>
          </w:tcPr>
          <w:p>
            <w:pPr>
              <w:pStyle w:val="Tabla8"/>
              <w:keepNext/>
              <w:jc w:val="left"/>
            </w:pPr>
            <w:r>
              <w:t xml:space="preserve">Sin estabilidad hasta k = 10</w:t>
            </w:r>
          </w:p>
        </w:tc>
      </w:tr>
    </w:tbl>
    <w:p>
      <w:pPr>
        <w:pStyle w:val="TablaNota"/>
      </w:pPr>
      <w:r>
        <w:rPr>
          <w:i/>
          <w:iCs/>
        </w:rPr>
        <w:t xml:space="preserve">Nota.</w:t>
      </w:r>
      <w:r>
        <w:t xml:space="preserve"> </w:t>
      </w:r>
      <w:r>
        <w:t xml:space="preserve">Elaboración propia. La densidad es la proporción de vínculos no nulos sobre 210 pares ordenados. La suma de pesos es igual para las filas y las columnas. S2 es el escenario de trabajo; S3 y S4 son envolventes de sensibilidad y no predicen.</w:t>
      </w:r>
    </w:p>
    <w:p>
      <w:pPr>
        <w:pStyle w:val="BodyText"/>
      </w:pPr>
      <w:r>
        <w:t xml:space="preserve">S2 agrega 26 vínculos que S0 codifica como cero y no elimina ninguno de los de S0. Modifica el valor de 7 vínculos heredados. Todos esos cambios tienen mecanismo declarado en las fichas. La densidad de S2, de 22,9 %, resulta de los juicios y no fue un objetivo.</w:t>
      </w:r>
    </w:p>
    <w:bookmarkEnd w:id="27"/>
    <w:bookmarkStart w:id="31" w:name="a.4.2-matriz-de-trabajo-s2"/>
    <w:p>
      <w:pPr>
        <w:pStyle w:val="Heading3"/>
      </w:pPr>
      <w:r>
        <w:t xml:space="preserve">A.4.2 Matriz de trabajo S2</w:t>
      </w:r>
    </w:p>
    <w:p>
      <w:pPr>
        <w:pStyle w:val="FirstParagraph"/>
      </w:pPr>
      <w:r>
        <w:t xml:space="preserve">La Figura A.1 muestra la matriz de influencia directa de S2 con sombreado por peso. La Tabla A.10 la presenta con los valores exactos. La matriz tiene 48 vínculos no nulos: 7 de peso 3, 16 de peso 2 y 25 de peso 1. La suma de los pesos es 78.</w:t>
      </w:r>
    </w:p>
    <w:p>
      <w:pPr>
        <w:pStyle w:val="FiguraRotulo"/>
      </w:pPr>
      <w:bookmarkStart w:id="9032" w:name="rot_Figura_A_1"/>
      <w:r>
        <w:rPr>
          <w:b/>
          <w:bCs/>
        </w:rPr>
        <w:t xml:space="preserve">Figura A.1</w:t>
      </w:r>
      <w:bookmarkEnd w:id="9032"/>
    </w:p>
    <w:p>
      <w:pPr>
        <w:pStyle w:val="FiguraTitulo"/>
      </w:pPr>
      <w:r>
        <w:rPr>
          <w:i/>
          <w:iCs/>
        </w:rPr>
        <w:t xml:space="preserve">Siete vínculos de peso 3 y 16 de peso 2 concentran la influencia directa del escenario de trabajo</w:t>
      </w:r>
    </w:p>
    <w:p>
      <w:pPr>
        <w:pStyle w:val="BodyText"/>
      </w:pPr>
      <w:r>
        <w:drawing>
          <wp:inline>
            <wp:extent cx="5579999" cy="4519799"/>
            <wp:effectExtent b="0" l="0" r="0" t="0"/>
            <wp:docPr descr="" title="" id="29" name="Picture"/>
            <a:graphic>
              <a:graphicData uri="http://schemas.openxmlformats.org/drawingml/2006/picture">
                <pic:pic>
                  <pic:nvPicPr>
                    <pic:cNvPr descr="/tmp/claude-0/-home-user-docs/8ca5c040-2adb-56b3-8e64-05d4e7e569ed/scratchpad/a2/figs/out/cA_f01.png" id="30" name="Picture"/>
                    <pic:cNvPicPr>
                      <a:picLocks noChangeArrowheads="1" noChangeAspect="1"/>
                    </pic:cNvPicPr>
                  </pic:nvPicPr>
                  <pic:blipFill>
                    <a:blip r:embed="rId28"/>
                    <a:stretch>
                      <a:fillRect/>
                    </a:stretch>
                  </pic:blipFill>
                  <pic:spPr bwMode="auto">
                    <a:xfrm>
                      <a:off x="0" y="0"/>
                      <a:ext cx="5579999" cy="4519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105 fichas bidireccionales. Los pesos son ordinales y las relaciones son hipótesis de influencia estructural. TA es la influencia total de la fila y TP la dependencia total de la columna. Software: Python 3 y matplotlib.</w:t>
      </w:r>
    </w:p>
    <w:p>
      <w:pPr>
        <w:spacing w:before="0" w:after="0" w:line="20" w:lineRule="exact"/>
        <w:sectPr>
          <w:headerReference r:id="rId9" w:type="default"/>
          <w:footerReference r:id="rId10" w:type="default"/>
          <w:pgSz w:w="12240" w:h="15840"/>
          <w:pgMar w:top="1417" w:right="1133" w:bottom="1417" w:left="1133" w:header="709" w:footer="709" w:gutter="0"/>
        </w:sectPr>
      </w:pPr>
    </w:p>
    <w:p>
      <w:pPr>
        <w:pStyle w:val="TablaRotulo"/>
      </w:pPr>
      <w:bookmarkStart w:id="9010" w:name="rot_Tabla_A_10"/>
      <w:r>
        <w:rPr>
          <w:b/>
          <w:bCs/>
        </w:rPr>
        <w:t xml:space="preserve">Tabla A.10</w:t>
      </w:r>
      <w:bookmarkEnd w:id="9010"/>
    </w:p>
    <w:p>
      <w:pPr>
        <w:pStyle w:val="TablaTitulo"/>
      </w:pPr>
      <w:r>
        <w:rPr>
          <w:i/>
          <w:iCs/>
        </w:rPr>
        <w:t xml:space="preserve">Matriz de influencia directa del escenario de trabajo S2, con pesos de 0 a 3</w:t>
      </w:r>
    </w:p>
    <w:tbl>
      <w:tblPr>
        <w:tblStyle w:val="Table"/>
        <w:tblW w:w="135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85"/>
        <w:gridCol w:w="771"/>
        <w:gridCol w:w="771"/>
        <w:gridCol w:w="771"/>
        <w:gridCol w:w="771"/>
        <w:gridCol w:w="771"/>
        <w:gridCol w:w="882"/>
        <w:gridCol w:w="771"/>
        <w:gridCol w:w="771"/>
        <w:gridCol w:w="771"/>
        <w:gridCol w:w="771"/>
        <w:gridCol w:w="882"/>
        <w:gridCol w:w="771"/>
        <w:gridCol w:w="771"/>
        <w:gridCol w:w="771"/>
        <w:gridCol w:w="771"/>
        <w:gridCol w:w="882"/>
      </w:tblGrid>
      <w:tr>
        <w:trPr>
          <w:cantSplit/>
          <w:tblHeader w:val="true"/>
          <w:tblHeader/>
        </w:trPr>
        <w:tc>
          <w:tcPr>
            <w:tcW w:w="885" w:type="dxa"/>
            <w:tcBorders>
              <w:bottom w:val="single" w:sz="12" w:space="0" w:color="6699CC"/>
            </w:tcBorders>
            <w:shd w:val="clear" w:color="auto" w:fill="B9D9EB"/>
          </w:tcPr>
          <w:p>
            <w:pPr>
              <w:pStyle w:val="Tabla65"/>
              <w:keepNext/>
              <w:jc w:val="left"/>
            </w:pPr>
            <w:r>
              <w:rPr>
                <w:b/>
              </w:rPr>
              <w:t xml:space="preserve">Origen</w:t>
            </w:r>
          </w:p>
        </w:tc>
        <w:tc>
          <w:tcPr>
            <w:tcW w:w="771" w:type="dxa"/>
            <w:tcBorders>
              <w:bottom w:val="single" w:sz="12" w:space="0" w:color="6699CC"/>
            </w:tcBorders>
            <w:shd w:val="clear" w:color="auto" w:fill="B9D9EB"/>
          </w:tcPr>
          <w:p>
            <w:pPr>
              <w:pStyle w:val="Tabla65"/>
              <w:keepNext/>
              <w:jc w:val="left"/>
            </w:pPr>
            <w:r>
              <w:rPr>
                <w:b/>
              </w:rPr>
              <w:t xml:space="preserve">V01</w:t>
            </w:r>
          </w:p>
        </w:tc>
        <w:tc>
          <w:tcPr>
            <w:tcW w:w="771" w:type="dxa"/>
            <w:tcBorders>
              <w:bottom w:val="single" w:sz="12" w:space="0" w:color="6699CC"/>
            </w:tcBorders>
            <w:shd w:val="clear" w:color="auto" w:fill="B9D9EB"/>
          </w:tcPr>
          <w:p>
            <w:pPr>
              <w:pStyle w:val="Tabla65"/>
              <w:keepNext/>
              <w:jc w:val="left"/>
            </w:pPr>
            <w:r>
              <w:rPr>
                <w:b/>
              </w:rPr>
              <w:t xml:space="preserve">V02</w:t>
            </w:r>
          </w:p>
        </w:tc>
        <w:tc>
          <w:tcPr>
            <w:tcW w:w="771" w:type="dxa"/>
            <w:tcBorders>
              <w:bottom w:val="single" w:sz="12" w:space="0" w:color="6699CC"/>
            </w:tcBorders>
            <w:shd w:val="clear" w:color="auto" w:fill="B9D9EB"/>
          </w:tcPr>
          <w:p>
            <w:pPr>
              <w:pStyle w:val="Tabla65"/>
              <w:keepNext/>
              <w:jc w:val="left"/>
            </w:pPr>
            <w:r>
              <w:rPr>
                <w:b/>
              </w:rPr>
              <w:t xml:space="preserve">V03</w:t>
            </w:r>
          </w:p>
        </w:tc>
        <w:tc>
          <w:tcPr>
            <w:tcW w:w="771" w:type="dxa"/>
            <w:tcBorders>
              <w:bottom w:val="single" w:sz="12" w:space="0" w:color="6699CC"/>
            </w:tcBorders>
            <w:shd w:val="clear" w:color="auto" w:fill="B9D9EB"/>
          </w:tcPr>
          <w:p>
            <w:pPr>
              <w:pStyle w:val="Tabla65"/>
              <w:keepNext/>
              <w:jc w:val="left"/>
            </w:pPr>
            <w:r>
              <w:rPr>
                <w:b/>
              </w:rPr>
              <w:t xml:space="preserve">V04</w:t>
            </w:r>
          </w:p>
        </w:tc>
        <w:tc>
          <w:tcPr>
            <w:tcW w:w="771" w:type="dxa"/>
            <w:tcBorders>
              <w:bottom w:val="single" w:sz="12" w:space="0" w:color="6699CC"/>
            </w:tcBorders>
            <w:shd w:val="clear" w:color="auto" w:fill="B9D9EB"/>
          </w:tcPr>
          <w:p>
            <w:pPr>
              <w:pStyle w:val="Tabla65"/>
              <w:keepNext/>
              <w:jc w:val="left"/>
            </w:pPr>
            <w:r>
              <w:rPr>
                <w:b/>
              </w:rPr>
              <w:t xml:space="preserve">V05</w:t>
            </w:r>
          </w:p>
        </w:tc>
        <w:tc>
          <w:tcPr>
            <w:tcW w:w="882" w:type="dxa"/>
            <w:tcBorders>
              <w:bottom w:val="single" w:sz="12" w:space="0" w:color="6699CC"/>
            </w:tcBorders>
            <w:shd w:val="clear" w:color="auto" w:fill="B9D9EB"/>
          </w:tcPr>
          <w:p>
            <w:pPr>
              <w:pStyle w:val="Tabla65"/>
              <w:keepNext/>
              <w:jc w:val="left"/>
            </w:pPr>
            <w:r>
              <w:rPr>
                <w:b/>
              </w:rPr>
              <w:t xml:space="preserve">V06</w:t>
            </w:r>
          </w:p>
        </w:tc>
        <w:tc>
          <w:tcPr>
            <w:tcW w:w="771" w:type="dxa"/>
            <w:tcBorders>
              <w:bottom w:val="single" w:sz="12" w:space="0" w:color="6699CC"/>
            </w:tcBorders>
            <w:shd w:val="clear" w:color="auto" w:fill="B9D9EB"/>
          </w:tcPr>
          <w:p>
            <w:pPr>
              <w:pStyle w:val="Tabla65"/>
              <w:keepNext/>
              <w:jc w:val="left"/>
            </w:pPr>
            <w:r>
              <w:rPr>
                <w:b/>
              </w:rPr>
              <w:t xml:space="preserve">V07</w:t>
            </w:r>
          </w:p>
        </w:tc>
        <w:tc>
          <w:tcPr>
            <w:tcW w:w="771" w:type="dxa"/>
            <w:tcBorders>
              <w:bottom w:val="single" w:sz="12" w:space="0" w:color="6699CC"/>
            </w:tcBorders>
            <w:shd w:val="clear" w:color="auto" w:fill="B9D9EB"/>
          </w:tcPr>
          <w:p>
            <w:pPr>
              <w:pStyle w:val="Tabla65"/>
              <w:keepNext/>
              <w:jc w:val="left"/>
            </w:pPr>
            <w:r>
              <w:rPr>
                <w:b/>
              </w:rPr>
              <w:t xml:space="preserve">V08</w:t>
            </w:r>
          </w:p>
        </w:tc>
        <w:tc>
          <w:tcPr>
            <w:tcW w:w="771" w:type="dxa"/>
            <w:tcBorders>
              <w:bottom w:val="single" w:sz="12" w:space="0" w:color="6699CC"/>
            </w:tcBorders>
            <w:shd w:val="clear" w:color="auto" w:fill="B9D9EB"/>
          </w:tcPr>
          <w:p>
            <w:pPr>
              <w:pStyle w:val="Tabla65"/>
              <w:keepNext/>
              <w:jc w:val="left"/>
            </w:pPr>
            <w:r>
              <w:rPr>
                <w:b/>
              </w:rPr>
              <w:t xml:space="preserve">V09</w:t>
            </w:r>
          </w:p>
        </w:tc>
        <w:tc>
          <w:tcPr>
            <w:tcW w:w="771" w:type="dxa"/>
            <w:tcBorders>
              <w:bottom w:val="single" w:sz="12" w:space="0" w:color="6699CC"/>
            </w:tcBorders>
            <w:shd w:val="clear" w:color="auto" w:fill="B9D9EB"/>
          </w:tcPr>
          <w:p>
            <w:pPr>
              <w:pStyle w:val="Tabla65"/>
              <w:keepNext/>
              <w:jc w:val="left"/>
            </w:pPr>
            <w:r>
              <w:rPr>
                <w:b/>
              </w:rPr>
              <w:t xml:space="preserve">V10</w:t>
            </w:r>
          </w:p>
        </w:tc>
        <w:tc>
          <w:tcPr>
            <w:tcW w:w="882" w:type="dxa"/>
            <w:tcBorders>
              <w:bottom w:val="single" w:sz="12" w:space="0" w:color="6699CC"/>
            </w:tcBorders>
            <w:shd w:val="clear" w:color="auto" w:fill="B9D9EB"/>
          </w:tcPr>
          <w:p>
            <w:pPr>
              <w:pStyle w:val="Tabla65"/>
              <w:keepNext/>
              <w:jc w:val="left"/>
            </w:pPr>
            <w:r>
              <w:rPr>
                <w:b/>
              </w:rPr>
              <w:t xml:space="preserve">V11</w:t>
            </w:r>
          </w:p>
        </w:tc>
        <w:tc>
          <w:tcPr>
            <w:tcW w:w="771" w:type="dxa"/>
            <w:tcBorders>
              <w:bottom w:val="single" w:sz="12" w:space="0" w:color="6699CC"/>
            </w:tcBorders>
            <w:shd w:val="clear" w:color="auto" w:fill="B9D9EB"/>
          </w:tcPr>
          <w:p>
            <w:pPr>
              <w:pStyle w:val="Tabla65"/>
              <w:keepNext/>
              <w:jc w:val="left"/>
            </w:pPr>
            <w:r>
              <w:rPr>
                <w:b/>
              </w:rPr>
              <w:t xml:space="preserve">V12</w:t>
            </w:r>
          </w:p>
        </w:tc>
        <w:tc>
          <w:tcPr>
            <w:tcW w:w="771" w:type="dxa"/>
            <w:tcBorders>
              <w:bottom w:val="single" w:sz="12" w:space="0" w:color="6699CC"/>
            </w:tcBorders>
            <w:shd w:val="clear" w:color="auto" w:fill="B9D9EB"/>
          </w:tcPr>
          <w:p>
            <w:pPr>
              <w:pStyle w:val="Tabla65"/>
              <w:keepNext/>
              <w:jc w:val="left"/>
            </w:pPr>
            <w:r>
              <w:rPr>
                <w:b/>
              </w:rPr>
              <w:t xml:space="preserve">V13</w:t>
            </w:r>
          </w:p>
        </w:tc>
        <w:tc>
          <w:tcPr>
            <w:tcW w:w="771" w:type="dxa"/>
            <w:tcBorders>
              <w:bottom w:val="single" w:sz="12" w:space="0" w:color="6699CC"/>
            </w:tcBorders>
            <w:shd w:val="clear" w:color="auto" w:fill="B9D9EB"/>
          </w:tcPr>
          <w:p>
            <w:pPr>
              <w:pStyle w:val="Tabla65"/>
              <w:keepNext/>
              <w:jc w:val="left"/>
            </w:pPr>
            <w:r>
              <w:rPr>
                <w:b/>
              </w:rPr>
              <w:t xml:space="preserve">V14</w:t>
            </w:r>
          </w:p>
        </w:tc>
        <w:tc>
          <w:tcPr>
            <w:tcW w:w="771" w:type="dxa"/>
            <w:tcBorders>
              <w:bottom w:val="single" w:sz="12" w:space="0" w:color="6699CC"/>
            </w:tcBorders>
            <w:shd w:val="clear" w:color="auto" w:fill="B9D9EB"/>
          </w:tcPr>
          <w:p>
            <w:pPr>
              <w:pStyle w:val="Tabla65"/>
              <w:keepNext/>
              <w:jc w:val="left"/>
            </w:pPr>
            <w:r>
              <w:rPr>
                <w:b/>
              </w:rPr>
              <w:t xml:space="preserve">V15</w:t>
            </w:r>
          </w:p>
        </w:tc>
        <w:tc>
          <w:tcPr>
            <w:tcW w:w="882" w:type="dxa"/>
            <w:tcBorders>
              <w:bottom w:val="single" w:sz="12" w:space="0" w:color="6699CC"/>
            </w:tcBorders>
            <w:shd w:val="clear" w:color="auto" w:fill="B9D9EB"/>
          </w:tcPr>
          <w:p>
            <w:pPr>
              <w:pStyle w:val="Tabla65"/>
              <w:keepNext/>
              <w:jc w:val="left"/>
            </w:pPr>
            <w:r>
              <w:rPr>
                <w:b/>
              </w:rPr>
              <w:t xml:space="preserve">TA</w:t>
            </w:r>
          </w:p>
        </w:tc>
      </w:tr>
      <w:tr>
        <w:trPr>
          <w:cantSplit/>
        </w:trPr>
        <w:tc>
          <w:tcPr>
            <w:tcW w:w="885" w:type="dxa"/>
          </w:tcPr>
          <w:p>
            <w:pPr>
              <w:pStyle w:val="Tabla65"/>
              <w:jc w:val="left"/>
            </w:pPr>
            <w:r>
              <w:t xml:space="preserve">V01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2</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rPr>
                <w:b/>
                <w:bCs/>
              </w:rPr>
              <w:t xml:space="preserve">6</w:t>
            </w:r>
          </w:p>
        </w:tc>
      </w:tr>
      <w:tr>
        <w:trPr>
          <w:cantSplit/>
        </w:trPr>
        <w:tc>
          <w:tcPr>
            <w:tcW w:w="885" w:type="dxa"/>
            <w:shd w:val="clear" w:color="auto" w:fill="F7F7F7"/>
          </w:tcPr>
          <w:p>
            <w:pPr>
              <w:pStyle w:val="Tabla65"/>
              <w:jc w:val="left"/>
            </w:pPr>
            <w:r>
              <w:t xml:space="preserve">V02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3</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7</w:t>
            </w:r>
          </w:p>
        </w:tc>
      </w:tr>
      <w:tr>
        <w:trPr>
          <w:cantSplit/>
        </w:trPr>
        <w:tc>
          <w:tcPr>
            <w:tcW w:w="885" w:type="dxa"/>
          </w:tcPr>
          <w:p>
            <w:pPr>
              <w:pStyle w:val="Tabla65"/>
              <w:jc w:val="left"/>
            </w:pPr>
            <w:r>
              <w:t xml:space="preserve">V03</w:t>
            </w:r>
          </w:p>
        </w:tc>
        <w:tc>
          <w:tcPr>
            <w:tcW w:w="771" w:type="dxa"/>
          </w:tcPr>
          <w:p>
            <w:pPr>
              <w:pStyle w:val="Tabla65"/>
              <w:jc w:val="left"/>
            </w:pPr>
            <w:r>
              <w:t xml:space="preserve">1</w:t>
            </w:r>
          </w:p>
        </w:tc>
        <w:tc>
          <w:tcPr>
            <w:tcW w:w="771" w:type="dxa"/>
          </w:tcPr>
          <w:p>
            <w:pPr>
              <w:pStyle w:val="Tabla65"/>
              <w:jc w:val="left"/>
            </w:pPr>
            <w:r>
              <w:t xml:space="preserve">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6</w:t>
            </w:r>
          </w:p>
        </w:tc>
      </w:tr>
      <w:tr>
        <w:trPr>
          <w:cantSplit/>
        </w:trPr>
        <w:tc>
          <w:tcPr>
            <w:tcW w:w="885" w:type="dxa"/>
            <w:shd w:val="clear" w:color="auto" w:fill="F7F7F7"/>
          </w:tcPr>
          <w:p>
            <w:pPr>
              <w:pStyle w:val="Tabla65"/>
              <w:jc w:val="left"/>
            </w:pPr>
            <w:r>
              <w:t xml:space="preserve">V04</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8</w:t>
            </w:r>
          </w:p>
        </w:tc>
      </w:tr>
      <w:tr>
        <w:trPr>
          <w:cantSplit/>
        </w:trPr>
        <w:tc>
          <w:tcPr>
            <w:tcW w:w="885" w:type="dxa"/>
          </w:tcPr>
          <w:p>
            <w:pPr>
              <w:pStyle w:val="Tabla65"/>
              <w:jc w:val="left"/>
            </w:pPr>
            <w:r>
              <w:t xml:space="preserve">V05</w:t>
            </w:r>
          </w:p>
        </w:tc>
        <w:tc>
          <w:tcPr>
            <w:tcW w:w="771" w:type="dxa"/>
          </w:tcPr>
          <w:p>
            <w:pPr>
              <w:pStyle w:val="Tabla65"/>
              <w:jc w:val="left"/>
            </w:pPr>
            <w:r>
              <w:t xml:space="preserve">2</w:t>
            </w:r>
          </w:p>
        </w:tc>
        <w:tc>
          <w:tcPr>
            <w:tcW w:w="771"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7</w:t>
            </w:r>
          </w:p>
        </w:tc>
      </w:tr>
      <w:tr>
        <w:trPr>
          <w:cantSplit/>
        </w:trPr>
        <w:tc>
          <w:tcPr>
            <w:tcW w:w="885" w:type="dxa"/>
            <w:shd w:val="clear" w:color="auto" w:fill="F7F7F7"/>
          </w:tcPr>
          <w:p>
            <w:pPr>
              <w:pStyle w:val="Tabla65"/>
              <w:jc w:val="left"/>
            </w:pPr>
            <w:r>
              <w:t xml:space="preserve">V06</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3</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882" w:type="dxa"/>
            <w:shd w:val="clear" w:color="auto" w:fill="F7F7F7"/>
          </w:tcPr>
          <w:p>
            <w:pPr>
              <w:pStyle w:val="Tabla65"/>
              <w:jc w:val="left"/>
            </w:pPr>
            <w:r>
              <w:rPr>
                <w:b/>
                <w:bCs/>
              </w:rPr>
              <w:t xml:space="preserve">8</w:t>
            </w:r>
          </w:p>
        </w:tc>
      </w:tr>
      <w:tr>
        <w:trPr>
          <w:cantSplit/>
        </w:trPr>
        <w:tc>
          <w:tcPr>
            <w:tcW w:w="885" w:type="dxa"/>
          </w:tcPr>
          <w:p>
            <w:pPr>
              <w:pStyle w:val="Tabla65"/>
              <w:jc w:val="left"/>
            </w:pPr>
            <w:r>
              <w:t xml:space="preserve">V07</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5</w:t>
            </w:r>
          </w:p>
        </w:tc>
      </w:tr>
      <w:tr>
        <w:trPr>
          <w:cantSplit/>
        </w:trPr>
        <w:tc>
          <w:tcPr>
            <w:tcW w:w="885" w:type="dxa"/>
            <w:shd w:val="clear" w:color="auto" w:fill="F7F7F7"/>
          </w:tcPr>
          <w:p>
            <w:pPr>
              <w:pStyle w:val="Tabla65"/>
              <w:jc w:val="left"/>
            </w:pPr>
            <w:r>
              <w:t xml:space="preserve">V08</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2</w:t>
            </w:r>
          </w:p>
        </w:tc>
      </w:tr>
      <w:tr>
        <w:trPr>
          <w:cantSplit/>
        </w:trPr>
        <w:tc>
          <w:tcPr>
            <w:tcW w:w="885" w:type="dxa"/>
          </w:tcPr>
          <w:p>
            <w:pPr>
              <w:pStyle w:val="Tabla65"/>
              <w:jc w:val="left"/>
            </w:pPr>
            <w:r>
              <w:t xml:space="preserve">V09</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3</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882" w:type="dxa"/>
          </w:tcPr>
          <w:p>
            <w:pPr>
              <w:pStyle w:val="Tabla65"/>
              <w:jc w:val="left"/>
            </w:pPr>
            <w:r>
              <w:rPr>
                <w:b/>
                <w:bCs/>
              </w:rPr>
              <w:t xml:space="preserve">4</w:t>
            </w:r>
          </w:p>
        </w:tc>
      </w:tr>
      <w:tr>
        <w:trPr>
          <w:cantSplit/>
        </w:trPr>
        <w:tc>
          <w:tcPr>
            <w:tcW w:w="885" w:type="dxa"/>
            <w:shd w:val="clear" w:color="auto" w:fill="F7F7F7"/>
          </w:tcPr>
          <w:p>
            <w:pPr>
              <w:pStyle w:val="Tabla65"/>
              <w:jc w:val="left"/>
            </w:pPr>
            <w:r>
              <w:t xml:space="preserve">V10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2</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5</w:t>
            </w:r>
          </w:p>
        </w:tc>
      </w:tr>
      <w:tr>
        <w:trPr>
          <w:cantSplit/>
        </w:trPr>
        <w:tc>
          <w:tcPr>
            <w:tcW w:w="885" w:type="dxa"/>
          </w:tcPr>
          <w:p>
            <w:pPr>
              <w:pStyle w:val="Tabla65"/>
              <w:jc w:val="left"/>
            </w:pPr>
            <w:r>
              <w:t xml:space="preserve">V11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1</w:t>
            </w:r>
          </w:p>
        </w:tc>
        <w:tc>
          <w:tcPr>
            <w:tcW w:w="882" w:type="dxa"/>
          </w:tcPr>
          <w:p>
            <w:pPr>
              <w:pStyle w:val="Tabla65"/>
              <w:jc w:val="left"/>
            </w:pPr>
            <w:r>
              <w:rPr>
                <w:b/>
                <w:bCs/>
              </w:rPr>
              <w:t xml:space="preserve">5</w:t>
            </w:r>
          </w:p>
        </w:tc>
      </w:tr>
      <w:tr>
        <w:trPr>
          <w:cantSplit/>
        </w:trPr>
        <w:tc>
          <w:tcPr>
            <w:tcW w:w="885" w:type="dxa"/>
            <w:shd w:val="clear" w:color="auto" w:fill="F7F7F7"/>
          </w:tcPr>
          <w:p>
            <w:pPr>
              <w:pStyle w:val="Tabla65"/>
              <w:jc w:val="left"/>
            </w:pPr>
            <w:r>
              <w:t xml:space="preserve">V12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2</w:t>
            </w:r>
          </w:p>
        </w:tc>
        <w:tc>
          <w:tcPr>
            <w:tcW w:w="882" w:type="dxa"/>
            <w:shd w:val="clear" w:color="auto" w:fill="F7F7F7"/>
          </w:tcPr>
          <w:p>
            <w:pPr>
              <w:pStyle w:val="Tabla65"/>
              <w:jc w:val="left"/>
            </w:pPr>
            <w:r>
              <w:rPr>
                <w:b/>
                <w:bCs/>
              </w:rPr>
              <w:t xml:space="preserve">4</w:t>
            </w:r>
          </w:p>
        </w:tc>
      </w:tr>
      <w:tr>
        <w:trPr>
          <w:cantSplit/>
        </w:trPr>
        <w:tc>
          <w:tcPr>
            <w:tcW w:w="885" w:type="dxa"/>
          </w:tcPr>
          <w:p>
            <w:pPr>
              <w:pStyle w:val="Tabla65"/>
              <w:jc w:val="left"/>
            </w:pPr>
            <w:r>
              <w:t xml:space="preserve">V13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rPr>
                <w:b/>
                <w:bCs/>
              </w:rPr>
              <w:t xml:space="preserve">2</w:t>
            </w:r>
          </w:p>
        </w:tc>
      </w:tr>
      <w:tr>
        <w:trPr>
          <w:cantSplit/>
        </w:trPr>
        <w:tc>
          <w:tcPr>
            <w:tcW w:w="885" w:type="dxa"/>
            <w:shd w:val="clear" w:color="auto" w:fill="F7F7F7"/>
          </w:tcPr>
          <w:p>
            <w:pPr>
              <w:pStyle w:val="Tabla65"/>
              <w:jc w:val="left"/>
            </w:pPr>
            <w:r>
              <w:t xml:space="preserve">V14</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2</w:t>
            </w:r>
          </w:p>
        </w:tc>
        <w:tc>
          <w:tcPr>
            <w:tcW w:w="882" w:type="dxa"/>
            <w:shd w:val="clear" w:color="auto" w:fill="F7F7F7"/>
          </w:tcPr>
          <w:p>
            <w:pPr>
              <w:pStyle w:val="Tabla65"/>
              <w:jc w:val="left"/>
            </w:pPr>
            <w:r>
              <w:rPr>
                <w:b/>
                <w:bCs/>
              </w:rPr>
              <w:t xml:space="preserve">2</w:t>
            </w:r>
          </w:p>
        </w:tc>
      </w:tr>
      <w:tr>
        <w:trPr>
          <w:cantSplit/>
        </w:trPr>
        <w:tc>
          <w:tcPr>
            <w:tcW w:w="885" w:type="dxa"/>
          </w:tcPr>
          <w:p>
            <w:pPr>
              <w:pStyle w:val="Tabla65"/>
              <w:jc w:val="left"/>
            </w:pPr>
            <w:r>
              <w:t xml:space="preserve">V15</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882"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1</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rPr>
                <w:b/>
                <w:bCs/>
              </w:rPr>
              <w:t xml:space="preserve">7</w:t>
            </w:r>
          </w:p>
        </w:tc>
      </w:tr>
      <w:tr>
        <w:trPr>
          <w:cantSplit/>
        </w:trPr>
        <w:tc>
          <w:tcPr>
            <w:tcW w:w="885" w:type="dxa"/>
            <w:shd w:val="clear" w:color="auto" w:fill="F7F7F7"/>
          </w:tcPr>
          <w:p>
            <w:pPr>
              <w:pStyle w:val="Tabla65"/>
              <w:keepNext/>
              <w:jc w:val="left"/>
            </w:pPr>
            <w:r>
              <w:rPr>
                <w:b/>
                <w:bCs/>
              </w:rPr>
              <w:t xml:space="preserve">TP</w:t>
            </w:r>
          </w:p>
        </w:tc>
        <w:tc>
          <w:tcPr>
            <w:tcW w:w="771" w:type="dxa"/>
            <w:shd w:val="clear" w:color="auto" w:fill="F7F7F7"/>
          </w:tcPr>
          <w:p>
            <w:pPr>
              <w:pStyle w:val="Tabla65"/>
              <w:keepNext/>
              <w:jc w:val="left"/>
            </w:pPr>
            <w:r>
              <w:rPr>
                <w:b/>
                <w:bCs/>
              </w:rPr>
              <w:t xml:space="preserve">5</w:t>
            </w:r>
          </w:p>
        </w:tc>
        <w:tc>
          <w:tcPr>
            <w:tcW w:w="771" w:type="dxa"/>
            <w:shd w:val="clear" w:color="auto" w:fill="F7F7F7"/>
          </w:tcPr>
          <w:p>
            <w:pPr>
              <w:pStyle w:val="Tabla65"/>
              <w:keepNext/>
              <w:jc w:val="left"/>
            </w:pPr>
            <w:r>
              <w:rPr>
                <w:b/>
                <w:bCs/>
              </w:rPr>
              <w:t xml:space="preserve">6</w:t>
            </w:r>
          </w:p>
        </w:tc>
        <w:tc>
          <w:tcPr>
            <w:tcW w:w="771" w:type="dxa"/>
            <w:shd w:val="clear" w:color="auto" w:fill="F7F7F7"/>
          </w:tcPr>
          <w:p>
            <w:pPr>
              <w:pStyle w:val="Tabla65"/>
              <w:keepNext/>
              <w:jc w:val="left"/>
            </w:pPr>
            <w:r>
              <w:rPr>
                <w:b/>
                <w:bCs/>
              </w:rPr>
              <w:t xml:space="preserve">0</w:t>
            </w:r>
          </w:p>
        </w:tc>
        <w:tc>
          <w:tcPr>
            <w:tcW w:w="771" w:type="dxa"/>
            <w:shd w:val="clear" w:color="auto" w:fill="F7F7F7"/>
          </w:tcPr>
          <w:p>
            <w:pPr>
              <w:pStyle w:val="Tabla65"/>
              <w:keepNext/>
              <w:jc w:val="left"/>
            </w:pPr>
            <w:r>
              <w:rPr>
                <w:b/>
                <w:bCs/>
              </w:rPr>
              <w:t xml:space="preserve">0</w:t>
            </w:r>
          </w:p>
        </w:tc>
        <w:tc>
          <w:tcPr>
            <w:tcW w:w="771" w:type="dxa"/>
            <w:shd w:val="clear" w:color="auto" w:fill="F7F7F7"/>
          </w:tcPr>
          <w:p>
            <w:pPr>
              <w:pStyle w:val="Tabla65"/>
              <w:keepNext/>
              <w:jc w:val="left"/>
            </w:pPr>
            <w:r>
              <w:rPr>
                <w:b/>
                <w:bCs/>
              </w:rPr>
              <w:t xml:space="preserve">1</w:t>
            </w:r>
          </w:p>
        </w:tc>
        <w:tc>
          <w:tcPr>
            <w:tcW w:w="882" w:type="dxa"/>
            <w:shd w:val="clear" w:color="auto" w:fill="F7F7F7"/>
          </w:tcPr>
          <w:p>
            <w:pPr>
              <w:pStyle w:val="Tabla65"/>
              <w:keepNext/>
              <w:jc w:val="left"/>
            </w:pPr>
            <w:r>
              <w:rPr>
                <w:b/>
                <w:bCs/>
              </w:rPr>
              <w:t xml:space="preserve">13</w:t>
            </w:r>
          </w:p>
        </w:tc>
        <w:tc>
          <w:tcPr>
            <w:tcW w:w="771" w:type="dxa"/>
            <w:shd w:val="clear" w:color="auto" w:fill="F7F7F7"/>
          </w:tcPr>
          <w:p>
            <w:pPr>
              <w:pStyle w:val="Tabla65"/>
              <w:keepNext/>
              <w:jc w:val="left"/>
            </w:pPr>
            <w:r>
              <w:rPr>
                <w:b/>
                <w:bCs/>
              </w:rPr>
              <w:t xml:space="preserve">2</w:t>
            </w:r>
          </w:p>
        </w:tc>
        <w:tc>
          <w:tcPr>
            <w:tcW w:w="771" w:type="dxa"/>
            <w:shd w:val="clear" w:color="auto" w:fill="F7F7F7"/>
          </w:tcPr>
          <w:p>
            <w:pPr>
              <w:pStyle w:val="Tabla65"/>
              <w:keepNext/>
              <w:jc w:val="left"/>
            </w:pPr>
            <w:r>
              <w:rPr>
                <w:b/>
                <w:bCs/>
              </w:rPr>
              <w:t xml:space="preserve">2</w:t>
            </w:r>
          </w:p>
        </w:tc>
        <w:tc>
          <w:tcPr>
            <w:tcW w:w="771" w:type="dxa"/>
            <w:shd w:val="clear" w:color="auto" w:fill="F7F7F7"/>
          </w:tcPr>
          <w:p>
            <w:pPr>
              <w:pStyle w:val="Tabla65"/>
              <w:keepNext/>
              <w:jc w:val="left"/>
            </w:pPr>
            <w:r>
              <w:rPr>
                <w:b/>
                <w:bCs/>
              </w:rPr>
              <w:t xml:space="preserve">9</w:t>
            </w:r>
          </w:p>
        </w:tc>
        <w:tc>
          <w:tcPr>
            <w:tcW w:w="771" w:type="dxa"/>
            <w:shd w:val="clear" w:color="auto" w:fill="F7F7F7"/>
          </w:tcPr>
          <w:p>
            <w:pPr>
              <w:pStyle w:val="Tabla65"/>
              <w:keepNext/>
              <w:jc w:val="left"/>
            </w:pPr>
            <w:r>
              <w:rPr>
                <w:b/>
                <w:bCs/>
              </w:rPr>
              <w:t xml:space="preserve">4</w:t>
            </w:r>
          </w:p>
        </w:tc>
        <w:tc>
          <w:tcPr>
            <w:tcW w:w="882" w:type="dxa"/>
            <w:shd w:val="clear" w:color="auto" w:fill="F7F7F7"/>
          </w:tcPr>
          <w:p>
            <w:pPr>
              <w:pStyle w:val="Tabla65"/>
              <w:keepNext/>
              <w:jc w:val="left"/>
            </w:pPr>
            <w:r>
              <w:rPr>
                <w:b/>
                <w:bCs/>
              </w:rPr>
              <w:t xml:space="preserve">11</w:t>
            </w:r>
          </w:p>
        </w:tc>
        <w:tc>
          <w:tcPr>
            <w:tcW w:w="771" w:type="dxa"/>
            <w:shd w:val="clear" w:color="auto" w:fill="F7F7F7"/>
          </w:tcPr>
          <w:p>
            <w:pPr>
              <w:pStyle w:val="Tabla65"/>
              <w:keepNext/>
              <w:jc w:val="left"/>
            </w:pPr>
            <w:r>
              <w:rPr>
                <w:b/>
                <w:bCs/>
              </w:rPr>
              <w:t xml:space="preserve">5</w:t>
            </w:r>
          </w:p>
        </w:tc>
        <w:tc>
          <w:tcPr>
            <w:tcW w:w="771" w:type="dxa"/>
            <w:shd w:val="clear" w:color="auto" w:fill="F7F7F7"/>
          </w:tcPr>
          <w:p>
            <w:pPr>
              <w:pStyle w:val="Tabla65"/>
              <w:keepNext/>
              <w:jc w:val="left"/>
            </w:pPr>
            <w:r>
              <w:rPr>
                <w:b/>
                <w:bCs/>
              </w:rPr>
              <w:t xml:space="preserve">4</w:t>
            </w:r>
          </w:p>
        </w:tc>
        <w:tc>
          <w:tcPr>
            <w:tcW w:w="771" w:type="dxa"/>
            <w:shd w:val="clear" w:color="auto" w:fill="F7F7F7"/>
          </w:tcPr>
          <w:p>
            <w:pPr>
              <w:pStyle w:val="Tabla65"/>
              <w:keepNext/>
              <w:jc w:val="left"/>
            </w:pPr>
            <w:r>
              <w:rPr>
                <w:b/>
                <w:bCs/>
              </w:rPr>
              <w:t xml:space="preserve">9</w:t>
            </w:r>
          </w:p>
        </w:tc>
        <w:tc>
          <w:tcPr>
            <w:tcW w:w="771" w:type="dxa"/>
            <w:shd w:val="clear" w:color="auto" w:fill="F7F7F7"/>
          </w:tcPr>
          <w:p>
            <w:pPr>
              <w:pStyle w:val="Tabla65"/>
              <w:keepNext/>
              <w:jc w:val="left"/>
            </w:pPr>
            <w:r>
              <w:rPr>
                <w:b/>
                <w:bCs/>
              </w:rPr>
              <w:t xml:space="preserve">7</w:t>
            </w:r>
          </w:p>
        </w:tc>
        <w:tc>
          <w:tcPr>
            <w:tcW w:w="882" w:type="dxa"/>
            <w:shd w:val="clear" w:color="auto" w:fill="F7F7F7"/>
          </w:tcPr>
          <w:p>
            <w:pPr>
              <w:pStyle w:val="Tabla65"/>
              <w:keepNext/>
              <w:jc w:val="left"/>
            </w:pPr>
            <w:r>
              <w:rPr>
                <w:b/>
                <w:bCs/>
              </w:rPr>
              <w:t xml:space="preserve">78</w:t>
            </w:r>
          </w:p>
        </w:tc>
      </w:tr>
    </w:tbl>
    <w:p>
      <w:pPr>
        <w:pStyle w:val="TablaNota"/>
      </w:pPr>
      <w:r>
        <w:rPr>
          <w:i/>
          <w:iCs/>
        </w:rPr>
        <w:t xml:space="preserve">Nota.</w:t>
      </w:r>
      <w:r>
        <w:t xml:space="preserve"> </w:t>
      </w:r>
      <w:r>
        <w:t xml:space="preserve">Elaboración propia con las 105 fichas bidireccionales. Cada celda es la influencia directa del origen (fila) sobre el destino (columna). TA es la suma de la fila (influencia total) y TP la suma de la columna (dependencia total). La escala es ordinal y no expresa proporciones ni probabilidades.</w:t>
      </w:r>
    </w:p>
    <w:p>
      <w:pPr>
        <w:spacing w:before="0" w:after="0" w:line="20" w:lineRule="exact"/>
        <w:sectPr>
          <w:headerReference r:id="rId9" w:type="default"/>
          <w:footerReference r:id="rId10" w:type="default"/>
          <w:pgSz w:w="15840" w:h="12240" w:orient="landscape"/>
          <w:pgMar w:top="1417" w:right="1133" w:bottom="1417" w:left="1133" w:header="709" w:footer="709" w:gutter="0"/>
        </w:sectPr>
      </w:pPr>
    </w:p>
    <w:bookmarkEnd w:id="31"/>
    <w:bookmarkStart w:id="35" w:name="X059f9b2c6b58c4f2317e7f632cf77a551d401c1"/>
    <w:p>
      <w:pPr>
        <w:pStyle w:val="Heading3"/>
      </w:pPr>
      <w:r>
        <w:t xml:space="preserve">A.4.3 Clasificación de las variables en S2</w:t>
      </w:r>
    </w:p>
    <w:p>
      <w:pPr>
        <w:pStyle w:val="FirstParagraph"/>
      </w:pPr>
      <w:r>
        <w:t xml:space="preserve">La Figura A.2 ubica las variables en el plano de Vester de S2, con cortes por mediana en 5 en ambos ejes. La Tabla A.11 detalla la influencia, la dependencia y la clase de cada una. Con el corte por mediana, V02, V06 y V15 son críticas. V03, V04 y V05 son activas. V09 y V14 son reactivas. V08 y V13 son autónomas relativas. V01, V07, V10, V11 y V12 quedan en la frontera porque igualan un corte.</w:t>
      </w:r>
    </w:p>
    <w:p>
      <w:pPr>
        <w:pStyle w:val="FiguraRotulo"/>
      </w:pPr>
      <w:bookmarkStart w:id="9033" w:name="rot_Figura_A_2"/>
      <w:r>
        <w:rPr>
          <w:b/>
          <w:bCs/>
        </w:rPr>
        <w:t xml:space="preserve">Figura A.2</w:t>
      </w:r>
      <w:bookmarkEnd w:id="9033"/>
    </w:p>
    <w:p>
      <w:pPr>
        <w:pStyle w:val="FiguraTitulo"/>
      </w:pPr>
      <w:r>
        <w:rPr>
          <w:i/>
          <w:iCs/>
        </w:rPr>
        <w:t xml:space="preserve">V02, V06 y V15 quedan en el cuadrante crítico del escenario de trabajo</w:t>
      </w:r>
    </w:p>
    <w:p>
      <w:pPr>
        <w:pStyle w:val="BodyText"/>
      </w:pPr>
      <w:r>
        <w:drawing>
          <wp:inline>
            <wp:extent cx="5579999" cy="4463999"/>
            <wp:effectExtent b="0" l="0" r="0" t="0"/>
            <wp:docPr descr="" title="" id="33" name="Picture"/>
            <a:graphic>
              <a:graphicData uri="http://schemas.openxmlformats.org/drawingml/2006/picture">
                <pic:pic>
                  <pic:nvPicPr>
                    <pic:cNvPr descr="/tmp/claude-0/-home-user-docs/8ca5c040-2adb-56b3-8e64-05d4e7e569ed/scratchpad/a2/figs/out/cA_f02.png" id="34" name="Picture"/>
                    <pic:cNvPicPr>
                      <a:picLocks noChangeArrowheads="1" noChangeAspect="1"/>
                    </pic:cNvPicPr>
                  </pic:nvPicPr>
                  <pic:blipFill>
                    <a:blip r:embed="rId32"/>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matriz S2. Los cortes por mediana son 5 en ambos ejes. La clasificación describe posiciones estructurales y no acredita causalidad ni prioridad de inversión. Software: Python 3 y matplotlib.</w:t>
      </w:r>
    </w:p>
    <w:p>
      <w:pPr>
        <w:pStyle w:val="TablaRotulo"/>
      </w:pPr>
      <w:bookmarkStart w:id="9011" w:name="rot_Tabla_A_11"/>
      <w:r>
        <w:rPr>
          <w:b/>
          <w:bCs/>
        </w:rPr>
        <w:t xml:space="preserve">Tabla A.11</w:t>
      </w:r>
      <w:bookmarkEnd w:id="9011"/>
    </w:p>
    <w:p>
      <w:pPr>
        <w:pStyle w:val="TablaTitulo"/>
      </w:pPr>
      <w:r>
        <w:rPr>
          <w:i/>
          <w:iCs/>
        </w:rPr>
        <w:t xml:space="preserve">Influencia, dependencia y clase de cada variable en el escenario de trabajo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76"/>
        <w:gridCol w:w="1810"/>
        <w:gridCol w:w="1234"/>
        <w:gridCol w:w="1398"/>
        <w:gridCol w:w="1234"/>
        <w:gridCol w:w="1398"/>
        <w:gridCol w:w="1152"/>
        <w:gridCol w:w="1152"/>
      </w:tblGrid>
      <w:tr>
        <w:trPr>
          <w:cantSplit/>
          <w:tblHeader w:val="true"/>
          <w:tblHeader/>
        </w:trPr>
        <w:tc>
          <w:tcPr>
            <w:tcW w:w="576" w:type="dxa"/>
            <w:tcBorders>
              <w:bottom w:val="single" w:sz="12" w:space="0" w:color="6699CC"/>
            </w:tcBorders>
            <w:shd w:val="clear" w:color="auto" w:fill="B9D9EB"/>
          </w:tcPr>
          <w:p>
            <w:pPr>
              <w:pStyle w:val="Tabla8"/>
              <w:keepNext/>
              <w:jc w:val="left"/>
            </w:pPr>
            <w:r>
              <w:rPr>
                <w:b/>
              </w:rPr>
              <w:t xml:space="preserve">ID</w:t>
            </w:r>
          </w:p>
        </w:tc>
        <w:tc>
          <w:tcPr>
            <w:tcW w:w="1810" w:type="dxa"/>
            <w:tcBorders>
              <w:bottom w:val="single" w:sz="12" w:space="0" w:color="6699CC"/>
            </w:tcBorders>
            <w:shd w:val="clear" w:color="auto" w:fill="B9D9EB"/>
          </w:tcPr>
          <w:p>
            <w:pPr>
              <w:pStyle w:val="Tabla8"/>
              <w:keepNext/>
              <w:jc w:val="left"/>
            </w:pPr>
            <w:r>
              <w:rPr>
                <w:b/>
              </w:rPr>
              <w:t xml:space="preserve">Variable</w:t>
            </w:r>
          </w:p>
        </w:tc>
        <w:tc>
          <w:tcPr>
            <w:tcW w:w="1234" w:type="dxa"/>
            <w:tcBorders>
              <w:bottom w:val="single" w:sz="12" w:space="0" w:color="6699CC"/>
            </w:tcBorders>
            <w:shd w:val="clear" w:color="auto" w:fill="B9D9EB"/>
          </w:tcPr>
          <w:p>
            <w:pPr>
              <w:pStyle w:val="Tabla8"/>
              <w:keepNext/>
              <w:jc w:val="left"/>
            </w:pPr>
            <w:r>
              <w:rPr>
                <w:b/>
              </w:rPr>
              <w:t xml:space="preserve">Influencia</w:t>
            </w:r>
          </w:p>
        </w:tc>
        <w:tc>
          <w:tcPr>
            <w:tcW w:w="1398" w:type="dxa"/>
            <w:tcBorders>
              <w:bottom w:val="single" w:sz="12" w:space="0" w:color="6699CC"/>
            </w:tcBorders>
            <w:shd w:val="clear" w:color="auto" w:fill="B9D9EB"/>
          </w:tcPr>
          <w:p>
            <w:pPr>
              <w:pStyle w:val="Tabla8"/>
              <w:keepNext/>
              <w:jc w:val="left"/>
            </w:pPr>
            <w:r>
              <w:rPr>
                <w:b/>
              </w:rPr>
              <w:t xml:space="preserve">Dependencia</w:t>
            </w:r>
          </w:p>
        </w:tc>
        <w:tc>
          <w:tcPr>
            <w:tcW w:w="1234" w:type="dxa"/>
            <w:tcBorders>
              <w:bottom w:val="single" w:sz="12" w:space="0" w:color="6699CC"/>
            </w:tcBorders>
            <w:shd w:val="clear" w:color="auto" w:fill="B9D9EB"/>
          </w:tcPr>
          <w:p>
            <w:pPr>
              <w:pStyle w:val="Tabla8"/>
              <w:keepNext/>
              <w:jc w:val="left"/>
            </w:pPr>
            <w:r>
              <w:rPr>
                <w:b/>
              </w:rPr>
              <w:t xml:space="preserve">Rango de influencia</w:t>
            </w:r>
          </w:p>
        </w:tc>
        <w:tc>
          <w:tcPr>
            <w:tcW w:w="1398" w:type="dxa"/>
            <w:tcBorders>
              <w:bottom w:val="single" w:sz="12" w:space="0" w:color="6699CC"/>
            </w:tcBorders>
            <w:shd w:val="clear" w:color="auto" w:fill="B9D9EB"/>
          </w:tcPr>
          <w:p>
            <w:pPr>
              <w:pStyle w:val="Tabla8"/>
              <w:keepNext/>
              <w:jc w:val="left"/>
            </w:pPr>
            <w:r>
              <w:rPr>
                <w:b/>
              </w:rPr>
              <w:t xml:space="preserve">Rango de dependencia</w:t>
            </w:r>
          </w:p>
        </w:tc>
        <w:tc>
          <w:tcPr>
            <w:tcW w:w="1152" w:type="dxa"/>
            <w:tcBorders>
              <w:bottom w:val="single" w:sz="12" w:space="0" w:color="6699CC"/>
            </w:tcBorders>
            <w:shd w:val="clear" w:color="auto" w:fill="B9D9EB"/>
          </w:tcPr>
          <w:p>
            <w:pPr>
              <w:pStyle w:val="Tabla8"/>
              <w:keepNext/>
              <w:jc w:val="left"/>
            </w:pPr>
            <w:r>
              <w:rPr>
                <w:b/>
              </w:rPr>
              <w:t xml:space="preserve">Clase por mediana</w:t>
            </w:r>
          </w:p>
        </w:tc>
        <w:tc>
          <w:tcPr>
            <w:tcW w:w="1152" w:type="dxa"/>
            <w:tcBorders>
              <w:bottom w:val="single" w:sz="12" w:space="0" w:color="6699CC"/>
            </w:tcBorders>
            <w:shd w:val="clear" w:color="auto" w:fill="B9D9EB"/>
          </w:tcPr>
          <w:p>
            <w:pPr>
              <w:pStyle w:val="Tabla8"/>
              <w:keepNext/>
              <w:jc w:val="left"/>
            </w:pPr>
            <w:r>
              <w:rPr>
                <w:b/>
              </w:rPr>
              <w:t xml:space="preserve">Clase por media</w:t>
            </w:r>
          </w:p>
        </w:tc>
      </w:tr>
      <w:tr>
        <w:trPr>
          <w:cantSplit/>
        </w:trPr>
        <w:tc>
          <w:tcPr>
            <w:tcW w:w="576" w:type="dxa"/>
          </w:tcPr>
          <w:p>
            <w:pPr>
              <w:pStyle w:val="Tabla8"/>
              <w:jc w:val="left"/>
            </w:pPr>
            <w:r>
              <w:t xml:space="preserve">V01</w:t>
            </w:r>
          </w:p>
        </w:tc>
        <w:tc>
          <w:tcPr>
            <w:tcW w:w="1810" w:type="dxa"/>
          </w:tcPr>
          <w:p>
            <w:pPr>
              <w:pStyle w:val="Tabla8"/>
              <w:jc w:val="left"/>
            </w:pPr>
            <w:r>
              <w:t xml:space="preserve">Concentración de PM2,5</w:t>
            </w:r>
          </w:p>
        </w:tc>
        <w:tc>
          <w:tcPr>
            <w:tcW w:w="1234" w:type="dxa"/>
          </w:tcPr>
          <w:p>
            <w:pPr>
              <w:pStyle w:val="Tabla8"/>
              <w:jc w:val="left"/>
            </w:pPr>
            <w:r>
              <w:t xml:space="preserve">6</w:t>
            </w:r>
          </w:p>
        </w:tc>
        <w:tc>
          <w:tcPr>
            <w:tcW w:w="1398" w:type="dxa"/>
          </w:tcPr>
          <w:p>
            <w:pPr>
              <w:pStyle w:val="Tabla8"/>
              <w:jc w:val="left"/>
            </w:pPr>
            <w:r>
              <w:t xml:space="preserve">5</w:t>
            </w:r>
          </w:p>
        </w:tc>
        <w:tc>
          <w:tcPr>
            <w:tcW w:w="1234" w:type="dxa"/>
          </w:tcPr>
          <w:p>
            <w:pPr>
              <w:pStyle w:val="Tabla8"/>
              <w:jc w:val="left"/>
            </w:pPr>
            <w:r>
              <w:t xml:space="preserve">6,5</w:t>
            </w:r>
          </w:p>
        </w:tc>
        <w:tc>
          <w:tcPr>
            <w:tcW w:w="1398" w:type="dxa"/>
          </w:tcPr>
          <w:p>
            <w:pPr>
              <w:pStyle w:val="Tabla8"/>
              <w:jc w:val="left"/>
            </w:pPr>
            <w:r>
              <w:t xml:space="preserve">7,5</w:t>
            </w:r>
          </w:p>
        </w:tc>
        <w:tc>
          <w:tcPr>
            <w:tcW w:w="1152" w:type="dxa"/>
          </w:tcPr>
          <w:p>
            <w:pPr>
              <w:pStyle w:val="Tabla8"/>
              <w:jc w:val="left"/>
            </w:pPr>
            <w:r>
              <w:t xml:space="preserve">Frontera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V02</w:t>
            </w:r>
          </w:p>
        </w:tc>
        <w:tc>
          <w:tcPr>
            <w:tcW w:w="1810" w:type="dxa"/>
            <w:shd w:val="clear" w:color="auto" w:fill="F7F7F7"/>
          </w:tcPr>
          <w:p>
            <w:pPr>
              <w:pStyle w:val="Tabla8"/>
              <w:jc w:val="left"/>
            </w:pPr>
            <w:r>
              <w:t xml:space="preserve">Concentración de PM10</w:t>
            </w:r>
          </w:p>
        </w:tc>
        <w:tc>
          <w:tcPr>
            <w:tcW w:w="1234" w:type="dxa"/>
            <w:shd w:val="clear" w:color="auto" w:fill="F7F7F7"/>
          </w:tcPr>
          <w:p>
            <w:pPr>
              <w:pStyle w:val="Tabla8"/>
              <w:jc w:val="left"/>
            </w:pPr>
            <w:r>
              <w:t xml:space="preserve">7</w:t>
            </w:r>
          </w:p>
        </w:tc>
        <w:tc>
          <w:tcPr>
            <w:tcW w:w="1398" w:type="dxa"/>
            <w:shd w:val="clear" w:color="auto" w:fill="F7F7F7"/>
          </w:tcPr>
          <w:p>
            <w:pPr>
              <w:pStyle w:val="Tabla8"/>
              <w:jc w:val="left"/>
            </w:pPr>
            <w:r>
              <w:t xml:space="preserve">6</w:t>
            </w:r>
          </w:p>
        </w:tc>
        <w:tc>
          <w:tcPr>
            <w:tcW w:w="1234" w:type="dxa"/>
            <w:shd w:val="clear" w:color="auto" w:fill="F7F7F7"/>
          </w:tcPr>
          <w:p>
            <w:pPr>
              <w:pStyle w:val="Tabla8"/>
              <w:jc w:val="left"/>
            </w:pPr>
            <w:r>
              <w:t xml:space="preserve">4</w:t>
            </w:r>
          </w:p>
        </w:tc>
        <w:tc>
          <w:tcPr>
            <w:tcW w:w="1398" w:type="dxa"/>
            <w:shd w:val="clear" w:color="auto" w:fill="F7F7F7"/>
          </w:tcPr>
          <w:p>
            <w:pPr>
              <w:pStyle w:val="Tabla8"/>
              <w:jc w:val="left"/>
            </w:pPr>
            <w:r>
              <w:t xml:space="preserve">6</w:t>
            </w:r>
          </w:p>
        </w:tc>
        <w:tc>
          <w:tcPr>
            <w:tcW w:w="1152" w:type="dxa"/>
            <w:shd w:val="clear" w:color="auto" w:fill="F7F7F7"/>
          </w:tcPr>
          <w:p>
            <w:pPr>
              <w:pStyle w:val="Tabla8"/>
              <w:jc w:val="left"/>
            </w:pPr>
            <w:r>
              <w:t xml:space="preserve">Crítica</w:t>
            </w:r>
          </w:p>
        </w:tc>
        <w:tc>
          <w:tcPr>
            <w:tcW w:w="1152" w:type="dxa"/>
            <w:shd w:val="clear" w:color="auto" w:fill="F7F7F7"/>
          </w:tcPr>
          <w:p>
            <w:pPr>
              <w:pStyle w:val="Tabla8"/>
              <w:jc w:val="left"/>
            </w:pPr>
            <w:r>
              <w:t xml:space="preserve">Crítica</w:t>
            </w:r>
          </w:p>
        </w:tc>
      </w:tr>
      <w:tr>
        <w:trPr>
          <w:cantSplit/>
        </w:trPr>
        <w:tc>
          <w:tcPr>
            <w:tcW w:w="576" w:type="dxa"/>
          </w:tcPr>
          <w:p>
            <w:pPr>
              <w:pStyle w:val="Tabla8"/>
              <w:jc w:val="left"/>
            </w:pPr>
            <w:r>
              <w:t xml:space="preserve">V03</w:t>
            </w:r>
          </w:p>
        </w:tc>
        <w:tc>
          <w:tcPr>
            <w:tcW w:w="1810" w:type="dxa"/>
          </w:tcPr>
          <w:p>
            <w:pPr>
              <w:pStyle w:val="Tabla8"/>
              <w:jc w:val="left"/>
            </w:pPr>
            <w:r>
              <w:t xml:space="preserve">Humedad relativa</w:t>
            </w:r>
          </w:p>
        </w:tc>
        <w:tc>
          <w:tcPr>
            <w:tcW w:w="1234" w:type="dxa"/>
          </w:tcPr>
          <w:p>
            <w:pPr>
              <w:pStyle w:val="Tabla8"/>
              <w:jc w:val="left"/>
            </w:pPr>
            <w:r>
              <w:t xml:space="preserve">6</w:t>
            </w:r>
          </w:p>
        </w:tc>
        <w:tc>
          <w:tcPr>
            <w:tcW w:w="1398" w:type="dxa"/>
          </w:tcPr>
          <w:p>
            <w:pPr>
              <w:pStyle w:val="Tabla8"/>
              <w:jc w:val="left"/>
            </w:pPr>
            <w:r>
              <w:t xml:space="preserve">0</w:t>
            </w:r>
          </w:p>
        </w:tc>
        <w:tc>
          <w:tcPr>
            <w:tcW w:w="1234" w:type="dxa"/>
          </w:tcPr>
          <w:p>
            <w:pPr>
              <w:pStyle w:val="Tabla8"/>
              <w:jc w:val="left"/>
            </w:pPr>
            <w:r>
              <w:t xml:space="preserve">6,5</w:t>
            </w:r>
          </w:p>
        </w:tc>
        <w:tc>
          <w:tcPr>
            <w:tcW w:w="1398" w:type="dxa"/>
          </w:tcPr>
          <w:p>
            <w:pPr>
              <w:pStyle w:val="Tabla8"/>
              <w:jc w:val="left"/>
            </w:pPr>
            <w:r>
              <w:t xml:space="preserve">14,5</w:t>
            </w:r>
          </w:p>
        </w:tc>
        <w:tc>
          <w:tcPr>
            <w:tcW w:w="1152" w:type="dxa"/>
          </w:tcPr>
          <w:p>
            <w:pPr>
              <w:pStyle w:val="Tabla8"/>
              <w:jc w:val="left"/>
            </w:pPr>
            <w:r>
              <w:t xml:space="preserve">Activa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V04</w:t>
            </w:r>
          </w:p>
        </w:tc>
        <w:tc>
          <w:tcPr>
            <w:tcW w:w="1810" w:type="dxa"/>
            <w:shd w:val="clear" w:color="auto" w:fill="F7F7F7"/>
          </w:tcPr>
          <w:p>
            <w:pPr>
              <w:pStyle w:val="Tabla8"/>
              <w:jc w:val="left"/>
            </w:pPr>
            <w:r>
              <w:t xml:space="preserve">Velocidad del viento</w:t>
            </w:r>
          </w:p>
        </w:tc>
        <w:tc>
          <w:tcPr>
            <w:tcW w:w="1234" w:type="dxa"/>
            <w:shd w:val="clear" w:color="auto" w:fill="F7F7F7"/>
          </w:tcPr>
          <w:p>
            <w:pPr>
              <w:pStyle w:val="Tabla8"/>
              <w:jc w:val="left"/>
            </w:pPr>
            <w:r>
              <w:t xml:space="preserve">8</w:t>
            </w:r>
          </w:p>
        </w:tc>
        <w:tc>
          <w:tcPr>
            <w:tcW w:w="1398" w:type="dxa"/>
            <w:shd w:val="clear" w:color="auto" w:fill="F7F7F7"/>
          </w:tcPr>
          <w:p>
            <w:pPr>
              <w:pStyle w:val="Tabla8"/>
              <w:jc w:val="left"/>
            </w:pPr>
            <w:r>
              <w:t xml:space="preserve">0</w:t>
            </w:r>
          </w:p>
        </w:tc>
        <w:tc>
          <w:tcPr>
            <w:tcW w:w="1234" w:type="dxa"/>
            <w:shd w:val="clear" w:color="auto" w:fill="F7F7F7"/>
          </w:tcPr>
          <w:p>
            <w:pPr>
              <w:pStyle w:val="Tabla8"/>
              <w:jc w:val="left"/>
            </w:pPr>
            <w:r>
              <w:t xml:space="preserve">1,5</w:t>
            </w:r>
          </w:p>
        </w:tc>
        <w:tc>
          <w:tcPr>
            <w:tcW w:w="1398" w:type="dxa"/>
            <w:shd w:val="clear" w:color="auto" w:fill="F7F7F7"/>
          </w:tcPr>
          <w:p>
            <w:pPr>
              <w:pStyle w:val="Tabla8"/>
              <w:jc w:val="left"/>
            </w:pPr>
            <w:r>
              <w:t xml:space="preserve">14,5</w:t>
            </w:r>
          </w:p>
        </w:tc>
        <w:tc>
          <w:tcPr>
            <w:tcW w:w="1152" w:type="dxa"/>
            <w:shd w:val="clear" w:color="auto" w:fill="F7F7F7"/>
          </w:tcPr>
          <w:p>
            <w:pPr>
              <w:pStyle w:val="Tabla8"/>
              <w:jc w:val="left"/>
            </w:pPr>
            <w:r>
              <w:t xml:space="preserve">Activa</w:t>
            </w:r>
          </w:p>
        </w:tc>
        <w:tc>
          <w:tcPr>
            <w:tcW w:w="1152" w:type="dxa"/>
            <w:shd w:val="clear" w:color="auto" w:fill="F7F7F7"/>
          </w:tcPr>
          <w:p>
            <w:pPr>
              <w:pStyle w:val="Tabla8"/>
              <w:jc w:val="left"/>
            </w:pPr>
            <w:r>
              <w:t xml:space="preserve">Activa</w:t>
            </w:r>
          </w:p>
        </w:tc>
      </w:tr>
      <w:tr>
        <w:trPr>
          <w:cantSplit/>
        </w:trPr>
        <w:tc>
          <w:tcPr>
            <w:tcW w:w="576" w:type="dxa"/>
          </w:tcPr>
          <w:p>
            <w:pPr>
              <w:pStyle w:val="Tabla8"/>
              <w:jc w:val="left"/>
            </w:pPr>
            <w:r>
              <w:t xml:space="preserve">V05</w:t>
            </w:r>
          </w:p>
        </w:tc>
        <w:tc>
          <w:tcPr>
            <w:tcW w:w="1810" w:type="dxa"/>
          </w:tcPr>
          <w:p>
            <w:pPr>
              <w:pStyle w:val="Tabla8"/>
              <w:jc w:val="left"/>
            </w:pPr>
            <w:r>
              <w:t xml:space="preserve">Volumen de escombros removidos</w:t>
            </w:r>
          </w:p>
        </w:tc>
        <w:tc>
          <w:tcPr>
            <w:tcW w:w="1234" w:type="dxa"/>
          </w:tcPr>
          <w:p>
            <w:pPr>
              <w:pStyle w:val="Tabla8"/>
              <w:jc w:val="left"/>
            </w:pPr>
            <w:r>
              <w:t xml:space="preserve">7</w:t>
            </w:r>
          </w:p>
        </w:tc>
        <w:tc>
          <w:tcPr>
            <w:tcW w:w="1398" w:type="dxa"/>
          </w:tcPr>
          <w:p>
            <w:pPr>
              <w:pStyle w:val="Tabla8"/>
              <w:jc w:val="left"/>
            </w:pPr>
            <w:r>
              <w:t xml:space="preserve">1</w:t>
            </w:r>
          </w:p>
        </w:tc>
        <w:tc>
          <w:tcPr>
            <w:tcW w:w="1234" w:type="dxa"/>
          </w:tcPr>
          <w:p>
            <w:pPr>
              <w:pStyle w:val="Tabla8"/>
              <w:jc w:val="left"/>
            </w:pPr>
            <w:r>
              <w:t xml:space="preserve">4</w:t>
            </w:r>
          </w:p>
        </w:tc>
        <w:tc>
          <w:tcPr>
            <w:tcW w:w="1398" w:type="dxa"/>
          </w:tcPr>
          <w:p>
            <w:pPr>
              <w:pStyle w:val="Tabla8"/>
              <w:jc w:val="left"/>
            </w:pPr>
            <w:r>
              <w:t xml:space="preserve">13</w:t>
            </w:r>
          </w:p>
        </w:tc>
        <w:tc>
          <w:tcPr>
            <w:tcW w:w="1152" w:type="dxa"/>
          </w:tcPr>
          <w:p>
            <w:pPr>
              <w:pStyle w:val="Tabla8"/>
              <w:jc w:val="left"/>
            </w:pPr>
            <w:r>
              <w:t xml:space="preserve">Activa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V06</w:t>
            </w:r>
          </w:p>
        </w:tc>
        <w:tc>
          <w:tcPr>
            <w:tcW w:w="1810" w:type="dxa"/>
            <w:shd w:val="clear" w:color="auto" w:fill="F7F7F7"/>
          </w:tcPr>
          <w:p>
            <w:pPr>
              <w:pStyle w:val="Tabla8"/>
              <w:jc w:val="left"/>
            </w:pPr>
            <w:r>
              <w:t xml:space="preserve">Error de medición de los nodos</w:t>
            </w:r>
          </w:p>
        </w:tc>
        <w:tc>
          <w:tcPr>
            <w:tcW w:w="1234" w:type="dxa"/>
            <w:shd w:val="clear" w:color="auto" w:fill="F7F7F7"/>
          </w:tcPr>
          <w:p>
            <w:pPr>
              <w:pStyle w:val="Tabla8"/>
              <w:jc w:val="left"/>
            </w:pPr>
            <w:r>
              <w:t xml:space="preserve">8</w:t>
            </w:r>
          </w:p>
        </w:tc>
        <w:tc>
          <w:tcPr>
            <w:tcW w:w="1398" w:type="dxa"/>
            <w:shd w:val="clear" w:color="auto" w:fill="F7F7F7"/>
          </w:tcPr>
          <w:p>
            <w:pPr>
              <w:pStyle w:val="Tabla8"/>
              <w:jc w:val="left"/>
            </w:pPr>
            <w:r>
              <w:t xml:space="preserve">13</w:t>
            </w:r>
          </w:p>
        </w:tc>
        <w:tc>
          <w:tcPr>
            <w:tcW w:w="1234" w:type="dxa"/>
            <w:shd w:val="clear" w:color="auto" w:fill="F7F7F7"/>
          </w:tcPr>
          <w:p>
            <w:pPr>
              <w:pStyle w:val="Tabla8"/>
              <w:jc w:val="left"/>
            </w:pPr>
            <w:r>
              <w:t xml:space="preserve">1,5</w:t>
            </w:r>
          </w:p>
        </w:tc>
        <w:tc>
          <w:tcPr>
            <w:tcW w:w="1398" w:type="dxa"/>
            <w:shd w:val="clear" w:color="auto" w:fill="F7F7F7"/>
          </w:tcPr>
          <w:p>
            <w:pPr>
              <w:pStyle w:val="Tabla8"/>
              <w:jc w:val="left"/>
            </w:pPr>
            <w:r>
              <w:t xml:space="preserve">1</w:t>
            </w:r>
          </w:p>
        </w:tc>
        <w:tc>
          <w:tcPr>
            <w:tcW w:w="1152" w:type="dxa"/>
            <w:shd w:val="clear" w:color="auto" w:fill="F7F7F7"/>
          </w:tcPr>
          <w:p>
            <w:pPr>
              <w:pStyle w:val="Tabla8"/>
              <w:jc w:val="left"/>
            </w:pPr>
            <w:r>
              <w:t xml:space="preserve">Crítica</w:t>
            </w:r>
          </w:p>
        </w:tc>
        <w:tc>
          <w:tcPr>
            <w:tcW w:w="1152" w:type="dxa"/>
            <w:shd w:val="clear" w:color="auto" w:fill="F7F7F7"/>
          </w:tcPr>
          <w:p>
            <w:pPr>
              <w:pStyle w:val="Tabla8"/>
              <w:jc w:val="left"/>
            </w:pPr>
            <w:r>
              <w:t xml:space="preserve">Crítica</w:t>
            </w:r>
          </w:p>
        </w:tc>
      </w:tr>
      <w:tr>
        <w:trPr>
          <w:cantSplit/>
        </w:trPr>
        <w:tc>
          <w:tcPr>
            <w:tcW w:w="576" w:type="dxa"/>
          </w:tcPr>
          <w:p>
            <w:pPr>
              <w:pStyle w:val="Tabla8"/>
              <w:jc w:val="left"/>
            </w:pPr>
            <w:r>
              <w:t xml:space="preserve">V07</w:t>
            </w:r>
          </w:p>
        </w:tc>
        <w:tc>
          <w:tcPr>
            <w:tcW w:w="1810" w:type="dxa"/>
          </w:tcPr>
          <w:p>
            <w:pPr>
              <w:pStyle w:val="Tabla8"/>
              <w:jc w:val="left"/>
            </w:pPr>
            <w:r>
              <w:t xml:space="preserve">Frecuencia de calibración</w:t>
            </w:r>
          </w:p>
        </w:tc>
        <w:tc>
          <w:tcPr>
            <w:tcW w:w="1234" w:type="dxa"/>
          </w:tcPr>
          <w:p>
            <w:pPr>
              <w:pStyle w:val="Tabla8"/>
              <w:jc w:val="left"/>
            </w:pPr>
            <w:r>
              <w:t xml:space="preserve">5</w:t>
            </w:r>
          </w:p>
        </w:tc>
        <w:tc>
          <w:tcPr>
            <w:tcW w:w="1398" w:type="dxa"/>
          </w:tcPr>
          <w:p>
            <w:pPr>
              <w:pStyle w:val="Tabla8"/>
              <w:jc w:val="left"/>
            </w:pPr>
            <w:r>
              <w:t xml:space="preserve">2</w:t>
            </w:r>
          </w:p>
        </w:tc>
        <w:tc>
          <w:tcPr>
            <w:tcW w:w="1234" w:type="dxa"/>
          </w:tcPr>
          <w:p>
            <w:pPr>
              <w:pStyle w:val="Tabla8"/>
              <w:jc w:val="left"/>
            </w:pPr>
            <w:r>
              <w:t xml:space="preserve">9</w:t>
            </w:r>
          </w:p>
        </w:tc>
        <w:tc>
          <w:tcPr>
            <w:tcW w:w="1398" w:type="dxa"/>
          </w:tcPr>
          <w:p>
            <w:pPr>
              <w:pStyle w:val="Tabla8"/>
              <w:jc w:val="left"/>
            </w:pPr>
            <w:r>
              <w:t xml:space="preserve">11,5</w:t>
            </w:r>
          </w:p>
        </w:tc>
        <w:tc>
          <w:tcPr>
            <w:tcW w:w="1152" w:type="dxa"/>
          </w:tcPr>
          <w:p>
            <w:pPr>
              <w:pStyle w:val="Tabla8"/>
              <w:jc w:val="left"/>
            </w:pPr>
            <w:r>
              <w:t xml:space="preserve">Frontera</w:t>
            </w:r>
          </w:p>
        </w:tc>
        <w:tc>
          <w:tcPr>
            <w:tcW w:w="1152" w:type="dxa"/>
          </w:tcPr>
          <w:p>
            <w:pPr>
              <w:pStyle w:val="Tabla8"/>
              <w:jc w:val="left"/>
            </w:pPr>
            <w:r>
              <w:t xml:space="preserve">Autónoma relativa</w:t>
            </w:r>
          </w:p>
        </w:tc>
      </w:tr>
      <w:tr>
        <w:trPr>
          <w:cantSplit/>
        </w:trPr>
        <w:tc>
          <w:tcPr>
            <w:tcW w:w="576" w:type="dxa"/>
            <w:shd w:val="clear" w:color="auto" w:fill="F7F7F7"/>
          </w:tcPr>
          <w:p>
            <w:pPr>
              <w:pStyle w:val="Tabla8"/>
              <w:jc w:val="left"/>
            </w:pPr>
            <w:r>
              <w:t xml:space="preserve">V08</w:t>
            </w:r>
          </w:p>
        </w:tc>
        <w:tc>
          <w:tcPr>
            <w:tcW w:w="1810" w:type="dxa"/>
            <w:shd w:val="clear" w:color="auto" w:fill="F7F7F7"/>
          </w:tcPr>
          <w:p>
            <w:pPr>
              <w:pStyle w:val="Tabla8"/>
              <w:jc w:val="left"/>
            </w:pPr>
            <w:r>
              <w:t xml:space="preserve">Latencia de datos</w:t>
            </w:r>
          </w:p>
        </w:tc>
        <w:tc>
          <w:tcPr>
            <w:tcW w:w="1234" w:type="dxa"/>
            <w:shd w:val="clear" w:color="auto" w:fill="F7F7F7"/>
          </w:tcPr>
          <w:p>
            <w:pPr>
              <w:pStyle w:val="Tabla8"/>
              <w:jc w:val="left"/>
            </w:pPr>
            <w:r>
              <w:t xml:space="preserve">2</w:t>
            </w:r>
          </w:p>
        </w:tc>
        <w:tc>
          <w:tcPr>
            <w:tcW w:w="1398" w:type="dxa"/>
            <w:shd w:val="clear" w:color="auto" w:fill="F7F7F7"/>
          </w:tcPr>
          <w:p>
            <w:pPr>
              <w:pStyle w:val="Tabla8"/>
              <w:jc w:val="left"/>
            </w:pPr>
            <w:r>
              <w:t xml:space="preserve">2</w:t>
            </w:r>
          </w:p>
        </w:tc>
        <w:tc>
          <w:tcPr>
            <w:tcW w:w="1234" w:type="dxa"/>
            <w:shd w:val="clear" w:color="auto" w:fill="F7F7F7"/>
          </w:tcPr>
          <w:p>
            <w:pPr>
              <w:pStyle w:val="Tabla8"/>
              <w:jc w:val="left"/>
            </w:pPr>
            <w:r>
              <w:t xml:space="preserve">14</w:t>
            </w:r>
          </w:p>
        </w:tc>
        <w:tc>
          <w:tcPr>
            <w:tcW w:w="1398" w:type="dxa"/>
            <w:shd w:val="clear" w:color="auto" w:fill="F7F7F7"/>
          </w:tcPr>
          <w:p>
            <w:pPr>
              <w:pStyle w:val="Tabla8"/>
              <w:jc w:val="left"/>
            </w:pPr>
            <w:r>
              <w:t xml:space="preserve">11,5</w:t>
            </w:r>
          </w:p>
        </w:tc>
        <w:tc>
          <w:tcPr>
            <w:tcW w:w="1152" w:type="dxa"/>
            <w:shd w:val="clear" w:color="auto" w:fill="F7F7F7"/>
          </w:tcPr>
          <w:p>
            <w:pPr>
              <w:pStyle w:val="Tabla8"/>
              <w:jc w:val="left"/>
            </w:pPr>
            <w:r>
              <w:t xml:space="preserve">Autónoma relativa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V09</w:t>
            </w:r>
          </w:p>
        </w:tc>
        <w:tc>
          <w:tcPr>
            <w:tcW w:w="1810" w:type="dxa"/>
          </w:tcPr>
          <w:p>
            <w:pPr>
              <w:pStyle w:val="Tabla8"/>
              <w:jc w:val="left"/>
            </w:pPr>
            <w:r>
              <w:t xml:space="preserve">Disponibilidad de nodos</w:t>
            </w:r>
          </w:p>
        </w:tc>
        <w:tc>
          <w:tcPr>
            <w:tcW w:w="1234" w:type="dxa"/>
          </w:tcPr>
          <w:p>
            <w:pPr>
              <w:pStyle w:val="Tabla8"/>
              <w:jc w:val="left"/>
            </w:pPr>
            <w:r>
              <w:t xml:space="preserve">4</w:t>
            </w:r>
          </w:p>
        </w:tc>
        <w:tc>
          <w:tcPr>
            <w:tcW w:w="1398" w:type="dxa"/>
          </w:tcPr>
          <w:p>
            <w:pPr>
              <w:pStyle w:val="Tabla8"/>
              <w:jc w:val="left"/>
            </w:pPr>
            <w:r>
              <w:t xml:space="preserve">9</w:t>
            </w:r>
          </w:p>
        </w:tc>
        <w:tc>
          <w:tcPr>
            <w:tcW w:w="1234" w:type="dxa"/>
          </w:tcPr>
          <w:p>
            <w:pPr>
              <w:pStyle w:val="Tabla8"/>
              <w:jc w:val="left"/>
            </w:pPr>
            <w:r>
              <w:t xml:space="preserve">11,5</w:t>
            </w:r>
          </w:p>
        </w:tc>
        <w:tc>
          <w:tcPr>
            <w:tcW w:w="1398" w:type="dxa"/>
          </w:tcPr>
          <w:p>
            <w:pPr>
              <w:pStyle w:val="Tabla8"/>
              <w:jc w:val="left"/>
            </w:pPr>
            <w:r>
              <w:t xml:space="preserve">3,5</w:t>
            </w:r>
          </w:p>
        </w:tc>
        <w:tc>
          <w:tcPr>
            <w:tcW w:w="1152" w:type="dxa"/>
          </w:tcPr>
          <w:p>
            <w:pPr>
              <w:pStyle w:val="Tabla8"/>
              <w:jc w:val="left"/>
            </w:pPr>
            <w:r>
              <w:t xml:space="preserve">Reactiva</w:t>
            </w:r>
          </w:p>
        </w:tc>
        <w:tc>
          <w:tcPr>
            <w:tcW w:w="1152" w:type="dxa"/>
          </w:tcPr>
          <w:p>
            <w:pPr>
              <w:pStyle w:val="Tabla8"/>
              <w:jc w:val="left"/>
            </w:pPr>
            <w:r>
              <w:t xml:space="preserve">Reactiva</w:t>
            </w:r>
          </w:p>
        </w:tc>
      </w:tr>
      <w:tr>
        <w:trPr>
          <w:cantSplit/>
        </w:trPr>
        <w:tc>
          <w:tcPr>
            <w:tcW w:w="576" w:type="dxa"/>
            <w:shd w:val="clear" w:color="auto" w:fill="F7F7F7"/>
          </w:tcPr>
          <w:p>
            <w:pPr>
              <w:pStyle w:val="Tabla8"/>
              <w:jc w:val="left"/>
            </w:pPr>
            <w:r>
              <w:t xml:space="preserve">V10</w:t>
            </w:r>
          </w:p>
        </w:tc>
        <w:tc>
          <w:tcPr>
            <w:tcW w:w="1810" w:type="dxa"/>
            <w:shd w:val="clear" w:color="auto" w:fill="F7F7F7"/>
          </w:tcPr>
          <w:p>
            <w:pPr>
              <w:pStyle w:val="Tabla8"/>
              <w:jc w:val="left"/>
            </w:pPr>
            <w:r>
              <w:t xml:space="preserve">Densidad del gemelo digital</w:t>
            </w:r>
          </w:p>
        </w:tc>
        <w:tc>
          <w:tcPr>
            <w:tcW w:w="1234" w:type="dxa"/>
            <w:shd w:val="clear" w:color="auto" w:fill="F7F7F7"/>
          </w:tcPr>
          <w:p>
            <w:pPr>
              <w:pStyle w:val="Tabla8"/>
              <w:jc w:val="left"/>
            </w:pPr>
            <w:r>
              <w:t xml:space="preserve">5</w:t>
            </w:r>
          </w:p>
        </w:tc>
        <w:tc>
          <w:tcPr>
            <w:tcW w:w="1398" w:type="dxa"/>
            <w:shd w:val="clear" w:color="auto" w:fill="F7F7F7"/>
          </w:tcPr>
          <w:p>
            <w:pPr>
              <w:pStyle w:val="Tabla8"/>
              <w:jc w:val="left"/>
            </w:pPr>
            <w:r>
              <w:t xml:space="preserve">4</w:t>
            </w:r>
          </w:p>
        </w:tc>
        <w:tc>
          <w:tcPr>
            <w:tcW w:w="1234" w:type="dxa"/>
            <w:shd w:val="clear" w:color="auto" w:fill="F7F7F7"/>
          </w:tcPr>
          <w:p>
            <w:pPr>
              <w:pStyle w:val="Tabla8"/>
              <w:jc w:val="left"/>
            </w:pPr>
            <w:r>
              <w:t xml:space="preserve">9</w:t>
            </w:r>
          </w:p>
        </w:tc>
        <w:tc>
          <w:tcPr>
            <w:tcW w:w="1398" w:type="dxa"/>
            <w:shd w:val="clear" w:color="auto" w:fill="F7F7F7"/>
          </w:tcPr>
          <w:p>
            <w:pPr>
              <w:pStyle w:val="Tabla8"/>
              <w:jc w:val="left"/>
            </w:pPr>
            <w:r>
              <w:t xml:space="preserve">9,5</w:t>
            </w:r>
          </w:p>
        </w:tc>
        <w:tc>
          <w:tcPr>
            <w:tcW w:w="1152" w:type="dxa"/>
            <w:shd w:val="clear" w:color="auto" w:fill="F7F7F7"/>
          </w:tcPr>
          <w:p>
            <w:pPr>
              <w:pStyle w:val="Tabla8"/>
              <w:jc w:val="left"/>
            </w:pPr>
            <w:r>
              <w:t xml:space="preserve">Frontera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V11</w:t>
            </w:r>
          </w:p>
        </w:tc>
        <w:tc>
          <w:tcPr>
            <w:tcW w:w="1810" w:type="dxa"/>
          </w:tcPr>
          <w:p>
            <w:pPr>
              <w:pStyle w:val="Tabla8"/>
              <w:jc w:val="left"/>
            </w:pPr>
            <w:r>
              <w:t xml:space="preserve">Índice local de calidad del aire</w:t>
            </w:r>
          </w:p>
        </w:tc>
        <w:tc>
          <w:tcPr>
            <w:tcW w:w="1234" w:type="dxa"/>
          </w:tcPr>
          <w:p>
            <w:pPr>
              <w:pStyle w:val="Tabla8"/>
              <w:jc w:val="left"/>
            </w:pPr>
            <w:r>
              <w:t xml:space="preserve">5</w:t>
            </w:r>
          </w:p>
        </w:tc>
        <w:tc>
          <w:tcPr>
            <w:tcW w:w="1398" w:type="dxa"/>
          </w:tcPr>
          <w:p>
            <w:pPr>
              <w:pStyle w:val="Tabla8"/>
              <w:jc w:val="left"/>
            </w:pPr>
            <w:r>
              <w:t xml:space="preserve">11</w:t>
            </w:r>
          </w:p>
        </w:tc>
        <w:tc>
          <w:tcPr>
            <w:tcW w:w="1234" w:type="dxa"/>
          </w:tcPr>
          <w:p>
            <w:pPr>
              <w:pStyle w:val="Tabla8"/>
              <w:jc w:val="left"/>
            </w:pPr>
            <w:r>
              <w:t xml:space="preserve">9</w:t>
            </w:r>
          </w:p>
        </w:tc>
        <w:tc>
          <w:tcPr>
            <w:tcW w:w="1398" w:type="dxa"/>
          </w:tcPr>
          <w:p>
            <w:pPr>
              <w:pStyle w:val="Tabla8"/>
              <w:jc w:val="left"/>
            </w:pPr>
            <w:r>
              <w:t xml:space="preserve">2</w:t>
            </w:r>
          </w:p>
        </w:tc>
        <w:tc>
          <w:tcPr>
            <w:tcW w:w="1152" w:type="dxa"/>
          </w:tcPr>
          <w:p>
            <w:pPr>
              <w:pStyle w:val="Tabla8"/>
              <w:jc w:val="left"/>
            </w:pPr>
            <w:r>
              <w:t xml:space="preserve">Frontera</w:t>
            </w:r>
          </w:p>
        </w:tc>
        <w:tc>
          <w:tcPr>
            <w:tcW w:w="1152" w:type="dxa"/>
          </w:tcPr>
          <w:p>
            <w:pPr>
              <w:pStyle w:val="Tabla8"/>
              <w:jc w:val="left"/>
            </w:pPr>
            <w:r>
              <w:t xml:space="preserve">Reactiva</w:t>
            </w:r>
          </w:p>
        </w:tc>
      </w:tr>
      <w:tr>
        <w:trPr>
          <w:cantSplit/>
        </w:trPr>
        <w:tc>
          <w:tcPr>
            <w:tcW w:w="576" w:type="dxa"/>
            <w:shd w:val="clear" w:color="auto" w:fill="F7F7F7"/>
          </w:tcPr>
          <w:p>
            <w:pPr>
              <w:pStyle w:val="Tabla8"/>
              <w:jc w:val="left"/>
            </w:pPr>
            <w:r>
              <w:t xml:space="preserve">V12</w:t>
            </w:r>
          </w:p>
        </w:tc>
        <w:tc>
          <w:tcPr>
            <w:tcW w:w="1810" w:type="dxa"/>
            <w:shd w:val="clear" w:color="auto" w:fill="F7F7F7"/>
          </w:tcPr>
          <w:p>
            <w:pPr>
              <w:pStyle w:val="Tabla8"/>
              <w:jc w:val="left"/>
            </w:pPr>
            <w:r>
              <w:t xml:space="preserve">Falsas alarmas</w:t>
            </w:r>
          </w:p>
        </w:tc>
        <w:tc>
          <w:tcPr>
            <w:tcW w:w="1234" w:type="dxa"/>
            <w:shd w:val="clear" w:color="auto" w:fill="F7F7F7"/>
          </w:tcPr>
          <w:p>
            <w:pPr>
              <w:pStyle w:val="Tabla8"/>
              <w:jc w:val="left"/>
            </w:pPr>
            <w:r>
              <w:t xml:space="preserve">4</w:t>
            </w:r>
          </w:p>
        </w:tc>
        <w:tc>
          <w:tcPr>
            <w:tcW w:w="1398" w:type="dxa"/>
            <w:shd w:val="clear" w:color="auto" w:fill="F7F7F7"/>
          </w:tcPr>
          <w:p>
            <w:pPr>
              <w:pStyle w:val="Tabla8"/>
              <w:jc w:val="left"/>
            </w:pPr>
            <w:r>
              <w:t xml:space="preserve">5</w:t>
            </w:r>
          </w:p>
        </w:tc>
        <w:tc>
          <w:tcPr>
            <w:tcW w:w="1234" w:type="dxa"/>
            <w:shd w:val="clear" w:color="auto" w:fill="F7F7F7"/>
          </w:tcPr>
          <w:p>
            <w:pPr>
              <w:pStyle w:val="Tabla8"/>
              <w:jc w:val="left"/>
            </w:pPr>
            <w:r>
              <w:t xml:space="preserve">11,5</w:t>
            </w:r>
          </w:p>
        </w:tc>
        <w:tc>
          <w:tcPr>
            <w:tcW w:w="1398" w:type="dxa"/>
            <w:shd w:val="clear" w:color="auto" w:fill="F7F7F7"/>
          </w:tcPr>
          <w:p>
            <w:pPr>
              <w:pStyle w:val="Tabla8"/>
              <w:jc w:val="left"/>
            </w:pPr>
            <w:r>
              <w:t xml:space="preserve">7,5</w:t>
            </w:r>
          </w:p>
        </w:tc>
        <w:tc>
          <w:tcPr>
            <w:tcW w:w="1152" w:type="dxa"/>
            <w:shd w:val="clear" w:color="auto" w:fill="F7F7F7"/>
          </w:tcPr>
          <w:p>
            <w:pPr>
              <w:pStyle w:val="Tabla8"/>
              <w:jc w:val="left"/>
            </w:pPr>
            <w:r>
              <w:t xml:space="preserve">Frontera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V13</w:t>
            </w:r>
          </w:p>
        </w:tc>
        <w:tc>
          <w:tcPr>
            <w:tcW w:w="1810" w:type="dxa"/>
          </w:tcPr>
          <w:p>
            <w:pPr>
              <w:pStyle w:val="Tabla8"/>
              <w:jc w:val="left"/>
            </w:pPr>
            <w:r>
              <w:t xml:space="preserve">Anticipación del aviso</w:t>
            </w:r>
          </w:p>
        </w:tc>
        <w:tc>
          <w:tcPr>
            <w:tcW w:w="1234" w:type="dxa"/>
          </w:tcPr>
          <w:p>
            <w:pPr>
              <w:pStyle w:val="Tabla8"/>
              <w:jc w:val="left"/>
            </w:pPr>
            <w:r>
              <w:t xml:space="preserve">2</w:t>
            </w:r>
          </w:p>
        </w:tc>
        <w:tc>
          <w:tcPr>
            <w:tcW w:w="1398" w:type="dxa"/>
          </w:tcPr>
          <w:p>
            <w:pPr>
              <w:pStyle w:val="Tabla8"/>
              <w:jc w:val="left"/>
            </w:pPr>
            <w:r>
              <w:t xml:space="preserve">4</w:t>
            </w:r>
          </w:p>
        </w:tc>
        <w:tc>
          <w:tcPr>
            <w:tcW w:w="1234" w:type="dxa"/>
          </w:tcPr>
          <w:p>
            <w:pPr>
              <w:pStyle w:val="Tabla8"/>
              <w:jc w:val="left"/>
            </w:pPr>
            <w:r>
              <w:t xml:space="preserve">14</w:t>
            </w:r>
          </w:p>
        </w:tc>
        <w:tc>
          <w:tcPr>
            <w:tcW w:w="1398" w:type="dxa"/>
          </w:tcPr>
          <w:p>
            <w:pPr>
              <w:pStyle w:val="Tabla8"/>
              <w:jc w:val="left"/>
            </w:pPr>
            <w:r>
              <w:t xml:space="preserve">9,5</w:t>
            </w:r>
          </w:p>
        </w:tc>
        <w:tc>
          <w:tcPr>
            <w:tcW w:w="1152" w:type="dxa"/>
          </w:tcPr>
          <w:p>
            <w:pPr>
              <w:pStyle w:val="Tabla8"/>
              <w:jc w:val="left"/>
            </w:pPr>
            <w:r>
              <w:t xml:space="preserve">Autónoma relativa</w:t>
            </w:r>
          </w:p>
        </w:tc>
        <w:tc>
          <w:tcPr>
            <w:tcW w:w="1152" w:type="dxa"/>
          </w:tcPr>
          <w:p>
            <w:pPr>
              <w:pStyle w:val="Tabla8"/>
              <w:jc w:val="left"/>
            </w:pPr>
            <w:r>
              <w:t xml:space="preserve">Autónoma relativa</w:t>
            </w:r>
          </w:p>
        </w:tc>
      </w:tr>
      <w:tr>
        <w:trPr>
          <w:cantSplit/>
        </w:trPr>
        <w:tc>
          <w:tcPr>
            <w:tcW w:w="576" w:type="dxa"/>
            <w:shd w:val="clear" w:color="auto" w:fill="F7F7F7"/>
          </w:tcPr>
          <w:p>
            <w:pPr>
              <w:pStyle w:val="Tabla8"/>
              <w:jc w:val="left"/>
            </w:pPr>
            <w:r>
              <w:t xml:space="preserve">V14</w:t>
            </w:r>
          </w:p>
        </w:tc>
        <w:tc>
          <w:tcPr>
            <w:tcW w:w="1810" w:type="dxa"/>
            <w:shd w:val="clear" w:color="auto" w:fill="F7F7F7"/>
          </w:tcPr>
          <w:p>
            <w:pPr>
              <w:pStyle w:val="Tabla8"/>
              <w:jc w:val="left"/>
            </w:pPr>
            <w:r>
              <w:t xml:space="preserve">Personas alertadas</w:t>
            </w:r>
          </w:p>
        </w:tc>
        <w:tc>
          <w:tcPr>
            <w:tcW w:w="1234" w:type="dxa"/>
            <w:shd w:val="clear" w:color="auto" w:fill="F7F7F7"/>
          </w:tcPr>
          <w:p>
            <w:pPr>
              <w:pStyle w:val="Tabla8"/>
              <w:jc w:val="left"/>
            </w:pPr>
            <w:r>
              <w:t xml:space="preserve">2</w:t>
            </w:r>
          </w:p>
        </w:tc>
        <w:tc>
          <w:tcPr>
            <w:tcW w:w="1398" w:type="dxa"/>
            <w:shd w:val="clear" w:color="auto" w:fill="F7F7F7"/>
          </w:tcPr>
          <w:p>
            <w:pPr>
              <w:pStyle w:val="Tabla8"/>
              <w:jc w:val="left"/>
            </w:pPr>
            <w:r>
              <w:t xml:space="preserve">9</w:t>
            </w:r>
          </w:p>
        </w:tc>
        <w:tc>
          <w:tcPr>
            <w:tcW w:w="1234" w:type="dxa"/>
            <w:shd w:val="clear" w:color="auto" w:fill="F7F7F7"/>
          </w:tcPr>
          <w:p>
            <w:pPr>
              <w:pStyle w:val="Tabla8"/>
              <w:jc w:val="left"/>
            </w:pPr>
            <w:r>
              <w:t xml:space="preserve">14</w:t>
            </w:r>
          </w:p>
        </w:tc>
        <w:tc>
          <w:tcPr>
            <w:tcW w:w="1398" w:type="dxa"/>
            <w:shd w:val="clear" w:color="auto" w:fill="F7F7F7"/>
          </w:tcPr>
          <w:p>
            <w:pPr>
              <w:pStyle w:val="Tabla8"/>
              <w:jc w:val="left"/>
            </w:pPr>
            <w:r>
              <w:t xml:space="preserve">3,5</w:t>
            </w:r>
          </w:p>
        </w:tc>
        <w:tc>
          <w:tcPr>
            <w:tcW w:w="1152" w:type="dxa"/>
            <w:shd w:val="clear" w:color="auto" w:fill="F7F7F7"/>
          </w:tcPr>
          <w:p>
            <w:pPr>
              <w:pStyle w:val="Tabla8"/>
              <w:jc w:val="left"/>
            </w:pPr>
            <w:r>
              <w:t xml:space="preserve">Reactiva</w:t>
            </w:r>
          </w:p>
        </w:tc>
        <w:tc>
          <w:tcPr>
            <w:tcW w:w="1152" w:type="dxa"/>
            <w:shd w:val="clear" w:color="auto" w:fill="F7F7F7"/>
          </w:tcPr>
          <w:p>
            <w:pPr>
              <w:pStyle w:val="Tabla8"/>
              <w:jc w:val="left"/>
            </w:pPr>
            <w:r>
              <w:t xml:space="preserve">Reactiva</w:t>
            </w:r>
          </w:p>
        </w:tc>
      </w:tr>
      <w:tr>
        <w:trPr>
          <w:cantSplit/>
        </w:trPr>
        <w:tc>
          <w:tcPr>
            <w:tcW w:w="576" w:type="dxa"/>
          </w:tcPr>
          <w:p>
            <w:pPr>
              <w:pStyle w:val="Tabla8"/>
              <w:keepNext/>
              <w:jc w:val="left"/>
            </w:pPr>
            <w:r>
              <w:t xml:space="preserve">V15</w:t>
            </w:r>
          </w:p>
        </w:tc>
        <w:tc>
          <w:tcPr>
            <w:tcW w:w="1810" w:type="dxa"/>
          </w:tcPr>
          <w:p>
            <w:pPr>
              <w:pStyle w:val="Tabla8"/>
              <w:keepNext/>
              <w:jc w:val="left"/>
            </w:pPr>
            <w:r>
              <w:t xml:space="preserve">Adopción institucional</w:t>
            </w:r>
          </w:p>
        </w:tc>
        <w:tc>
          <w:tcPr>
            <w:tcW w:w="1234" w:type="dxa"/>
          </w:tcPr>
          <w:p>
            <w:pPr>
              <w:pStyle w:val="Tabla8"/>
              <w:keepNext/>
              <w:jc w:val="left"/>
            </w:pPr>
            <w:r>
              <w:t xml:space="preserve">7</w:t>
            </w:r>
          </w:p>
        </w:tc>
        <w:tc>
          <w:tcPr>
            <w:tcW w:w="1398" w:type="dxa"/>
          </w:tcPr>
          <w:p>
            <w:pPr>
              <w:pStyle w:val="Tabla8"/>
              <w:keepNext/>
              <w:jc w:val="left"/>
            </w:pPr>
            <w:r>
              <w:t xml:space="preserve">7</w:t>
            </w:r>
          </w:p>
        </w:tc>
        <w:tc>
          <w:tcPr>
            <w:tcW w:w="1234" w:type="dxa"/>
          </w:tcPr>
          <w:p>
            <w:pPr>
              <w:pStyle w:val="Tabla8"/>
              <w:keepNext/>
              <w:jc w:val="left"/>
            </w:pPr>
            <w:r>
              <w:t xml:space="preserve">4</w:t>
            </w:r>
          </w:p>
        </w:tc>
        <w:tc>
          <w:tcPr>
            <w:tcW w:w="1398" w:type="dxa"/>
          </w:tcPr>
          <w:p>
            <w:pPr>
              <w:pStyle w:val="Tabla8"/>
              <w:keepNext/>
              <w:jc w:val="left"/>
            </w:pPr>
            <w:r>
              <w:t xml:space="preserve">5</w:t>
            </w:r>
          </w:p>
        </w:tc>
        <w:tc>
          <w:tcPr>
            <w:tcW w:w="1152" w:type="dxa"/>
          </w:tcPr>
          <w:p>
            <w:pPr>
              <w:pStyle w:val="Tabla8"/>
              <w:keepNext/>
              <w:jc w:val="left"/>
            </w:pPr>
            <w:r>
              <w:t xml:space="preserve">Crítica</w:t>
            </w:r>
          </w:p>
        </w:tc>
        <w:tc>
          <w:tcPr>
            <w:tcW w:w="1152" w:type="dxa"/>
          </w:tcPr>
          <w:p>
            <w:pPr>
              <w:pStyle w:val="Tabla8"/>
              <w:keepNext/>
              <w:jc w:val="left"/>
            </w:pPr>
            <w:r>
              <w:t xml:space="preserve">Crítica</w:t>
            </w:r>
          </w:p>
        </w:tc>
      </w:tr>
    </w:tbl>
    <w:p>
      <w:pPr>
        <w:pStyle w:val="TablaNota"/>
      </w:pPr>
      <w:r>
        <w:rPr>
          <w:i/>
          <w:iCs/>
        </w:rPr>
        <w:t xml:space="preserve">Nota.</w:t>
      </w:r>
      <w:r>
        <w:t xml:space="preserve"> </w:t>
      </w:r>
      <w:r>
        <w:t xml:space="preserve">Elaboración propia. Los cortes por mediana son 5 para la influencia y 5 para la dependencia; la media de ambos ejes es 5,2. Una variable que iguala un corte queda en la frontera. El rango 1 es el mayor valor y los empates promedian posiciones.</w:t>
      </w:r>
    </w:p>
    <w:p>
      <w:pPr>
        <w:pStyle w:val="BodyText"/>
      </w:pPr>
      <w:r>
        <w:t xml:space="preserve">El contraste con la media cambia la clase de cinco variables. V01 pasa a activa, V07, V10 y V12 pasan a autónomas relativas y V11 pasa a reactiva. Por eso la clase de esas cinco variables depende del corte y no se interpreta como un rol firme. La clasificación vale solo para el escenario de trabajo.</w:t>
      </w:r>
    </w:p>
    <w:bookmarkEnd w:id="35"/>
    <w:bookmarkStart w:id="39" w:name="a.4.4-estabilidad-entre-escenarios"/>
    <w:p>
      <w:pPr>
        <w:pStyle w:val="Heading3"/>
      </w:pPr>
      <w:r>
        <w:t xml:space="preserve">A.4.4 Estabilidad entre escenarios</w:t>
      </w:r>
    </w:p>
    <w:p>
      <w:pPr>
        <w:pStyle w:val="FirstParagraph"/>
      </w:pPr>
      <w:r>
        <w:t xml:space="preserve">La Figura A.3 compara la clase por mediana de cada variable en los cinco escenarios, y la Tabla A.12 la lista. Solo tres variables conservan la clase en los cinco: V05 es activa, V06 es crítica y V14 es reactiva. Las demás cambian al variar los juicios. Esa inestabilidad limita cualquier afirmación sobre el papel de una variable concreta.</w:t>
      </w:r>
    </w:p>
    <w:p>
      <w:pPr>
        <w:pStyle w:val="FiguraRotulo"/>
      </w:pPr>
      <w:bookmarkStart w:id="9034" w:name="rot_Figura_A_3"/>
      <w:r>
        <w:rPr>
          <w:b/>
          <w:bCs/>
        </w:rPr>
        <w:t xml:space="preserve">Figura A.3</w:t>
      </w:r>
      <w:bookmarkEnd w:id="9034"/>
    </w:p>
    <w:p>
      <w:pPr>
        <w:pStyle w:val="FiguraTitulo"/>
      </w:pPr>
      <w:r>
        <w:rPr>
          <w:i/>
          <w:iCs/>
        </w:rPr>
        <w:t xml:space="preserve">Solo V05, V06 y V14 conservan su clase directa en los cinco escenarios</w:t>
      </w:r>
    </w:p>
    <w:p>
      <w:pPr>
        <w:pStyle w:val="BodyText"/>
      </w:pPr>
      <w:r>
        <w:drawing>
          <wp:inline>
            <wp:extent cx="5579999" cy="4352399"/>
            <wp:effectExtent b="0" l="0" r="0" t="0"/>
            <wp:docPr descr="" title="" id="37" name="Picture"/>
            <a:graphic>
              <a:graphicData uri="http://schemas.openxmlformats.org/drawingml/2006/picture">
                <pic:pic>
                  <pic:nvPicPr>
                    <pic:cNvPr descr="/tmp/claude-0/-home-user-docs/8ca5c040-2adb-56b3-8e64-05d4e7e569ed/scratchpad/a2/figs/out/cA_f04.png" id="38" name="Picture"/>
                    <pic:cNvPicPr>
                      <a:picLocks noChangeArrowheads="1" noChangeAspect="1"/>
                    </pic:cNvPicPr>
                  </pic:nvPicPr>
                  <pic:blipFill>
                    <a:blip r:embed="rId36"/>
                    <a:stretch>
                      <a:fillRect/>
                    </a:stretch>
                  </pic:blipFill>
                  <pic:spPr bwMode="auto">
                    <a:xfrm>
                      <a:off x="0" y="0"/>
                      <a:ext cx="5579999" cy="4352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matrices S0 a S4. La clase se calcula con el corte por mediana. El marco grueso marca las variables con clase estable. Software: Python 3 y matplotlib.</w:t>
      </w:r>
    </w:p>
    <w:p>
      <w:pPr>
        <w:pStyle w:val="TablaRotulo"/>
      </w:pPr>
      <w:bookmarkStart w:id="9012" w:name="rot_Tabla_A_12"/>
      <w:r>
        <w:rPr>
          <w:b/>
          <w:bCs/>
        </w:rPr>
        <w:t xml:space="preserve">Tabla A.12</w:t>
      </w:r>
      <w:bookmarkEnd w:id="9012"/>
    </w:p>
    <w:p>
      <w:pPr>
        <w:pStyle w:val="TablaTitulo"/>
      </w:pPr>
      <w:r>
        <w:rPr>
          <w:i/>
          <w:iCs/>
        </w:rPr>
        <w:t xml:space="preserve">Clase directa por mediana de cada variable en los cinco escenarios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81"/>
        <w:gridCol w:w="2075"/>
        <w:gridCol w:w="1244"/>
        <w:gridCol w:w="1244"/>
        <w:gridCol w:w="1244"/>
        <w:gridCol w:w="1244"/>
        <w:gridCol w:w="1244"/>
        <w:gridCol w:w="1078"/>
      </w:tblGrid>
      <w:tr>
        <w:trPr>
          <w:cantSplit/>
          <w:tblHeader w:val="true"/>
          <w:tblHeader/>
        </w:trPr>
        <w:tc>
          <w:tcPr>
            <w:tcW w:w="581" w:type="dxa"/>
            <w:tcBorders>
              <w:bottom w:val="single" w:sz="12" w:space="0" w:color="6699CC"/>
            </w:tcBorders>
            <w:shd w:val="clear" w:color="auto" w:fill="B9D9EB"/>
          </w:tcPr>
          <w:p>
            <w:pPr>
              <w:pStyle w:val="Tabla8"/>
              <w:keepNext/>
              <w:jc w:val="left"/>
            </w:pPr>
            <w:r>
              <w:rPr>
                <w:b/>
              </w:rPr>
              <w:t xml:space="preserve">ID</w:t>
            </w:r>
          </w:p>
        </w:tc>
        <w:tc>
          <w:tcPr>
            <w:tcW w:w="2075" w:type="dxa"/>
            <w:tcBorders>
              <w:bottom w:val="single" w:sz="12" w:space="0" w:color="6699CC"/>
            </w:tcBorders>
            <w:shd w:val="clear" w:color="auto" w:fill="B9D9EB"/>
          </w:tcPr>
          <w:p>
            <w:pPr>
              <w:pStyle w:val="Tabla8"/>
              <w:keepNext/>
              <w:jc w:val="left"/>
            </w:pPr>
            <w:r>
              <w:rPr>
                <w:b/>
              </w:rPr>
              <w:t xml:space="preserve">Variable</w:t>
            </w:r>
          </w:p>
        </w:tc>
        <w:tc>
          <w:tcPr>
            <w:tcW w:w="1244" w:type="dxa"/>
            <w:tcBorders>
              <w:bottom w:val="single" w:sz="12" w:space="0" w:color="6699CC"/>
            </w:tcBorders>
            <w:shd w:val="clear" w:color="auto" w:fill="B9D9EB"/>
          </w:tcPr>
          <w:p>
            <w:pPr>
              <w:pStyle w:val="Tabla8"/>
              <w:keepNext/>
              <w:jc w:val="left"/>
            </w:pPr>
            <w:r>
              <w:rPr>
                <w:b/>
              </w:rPr>
              <w:t xml:space="preserve">S0</w:t>
            </w:r>
          </w:p>
        </w:tc>
        <w:tc>
          <w:tcPr>
            <w:tcW w:w="1244" w:type="dxa"/>
            <w:tcBorders>
              <w:bottom w:val="single" w:sz="12" w:space="0" w:color="6699CC"/>
            </w:tcBorders>
            <w:shd w:val="clear" w:color="auto" w:fill="B9D9EB"/>
          </w:tcPr>
          <w:p>
            <w:pPr>
              <w:pStyle w:val="Tabla8"/>
              <w:keepNext/>
              <w:jc w:val="left"/>
            </w:pPr>
            <w:r>
              <w:rPr>
                <w:b/>
              </w:rPr>
              <w:t xml:space="preserve">S1</w:t>
            </w:r>
          </w:p>
        </w:tc>
        <w:tc>
          <w:tcPr>
            <w:tcW w:w="1244" w:type="dxa"/>
            <w:tcBorders>
              <w:bottom w:val="single" w:sz="12" w:space="0" w:color="6699CC"/>
            </w:tcBorders>
            <w:shd w:val="clear" w:color="auto" w:fill="B9D9EB"/>
          </w:tcPr>
          <w:p>
            <w:pPr>
              <w:pStyle w:val="Tabla8"/>
              <w:keepNext/>
              <w:jc w:val="left"/>
            </w:pPr>
            <w:r>
              <w:rPr>
                <w:b/>
              </w:rPr>
              <w:t xml:space="preserve">S2</w:t>
            </w:r>
          </w:p>
        </w:tc>
        <w:tc>
          <w:tcPr>
            <w:tcW w:w="1244" w:type="dxa"/>
            <w:tcBorders>
              <w:bottom w:val="single" w:sz="12" w:space="0" w:color="6699CC"/>
            </w:tcBorders>
            <w:shd w:val="clear" w:color="auto" w:fill="B9D9EB"/>
          </w:tcPr>
          <w:p>
            <w:pPr>
              <w:pStyle w:val="Tabla8"/>
              <w:keepNext/>
              <w:jc w:val="left"/>
            </w:pPr>
            <w:r>
              <w:rPr>
                <w:b/>
              </w:rPr>
              <w:t xml:space="preserve">S3</w:t>
            </w:r>
          </w:p>
        </w:tc>
        <w:tc>
          <w:tcPr>
            <w:tcW w:w="1244" w:type="dxa"/>
            <w:tcBorders>
              <w:bottom w:val="single" w:sz="12" w:space="0" w:color="6699CC"/>
            </w:tcBorders>
            <w:shd w:val="clear" w:color="auto" w:fill="B9D9EB"/>
          </w:tcPr>
          <w:p>
            <w:pPr>
              <w:pStyle w:val="Tabla8"/>
              <w:keepNext/>
              <w:jc w:val="left"/>
            </w:pPr>
            <w:r>
              <w:rPr>
                <w:b/>
              </w:rPr>
              <w:t xml:space="preserve">S4</w:t>
            </w:r>
          </w:p>
        </w:tc>
        <w:tc>
          <w:tcPr>
            <w:tcW w:w="1078" w:type="dxa"/>
            <w:tcBorders>
              <w:bottom w:val="single" w:sz="12" w:space="0" w:color="6699CC"/>
            </w:tcBorders>
            <w:shd w:val="clear" w:color="auto" w:fill="B9D9EB"/>
          </w:tcPr>
          <w:p>
            <w:pPr>
              <w:pStyle w:val="Tabla8"/>
              <w:keepNext/>
              <w:jc w:val="left"/>
            </w:pPr>
            <w:r>
              <w:rPr>
                <w:b/>
              </w:rPr>
              <w:t xml:space="preserve">Estable</w:t>
            </w:r>
          </w:p>
        </w:tc>
      </w:tr>
      <w:tr>
        <w:trPr>
          <w:cantSplit/>
        </w:trPr>
        <w:tc>
          <w:tcPr>
            <w:tcW w:w="581" w:type="dxa"/>
          </w:tcPr>
          <w:p>
            <w:pPr>
              <w:pStyle w:val="Tabla8"/>
              <w:jc w:val="left"/>
            </w:pPr>
            <w:r>
              <w:t xml:space="preserve">V01</w:t>
            </w:r>
          </w:p>
        </w:tc>
        <w:tc>
          <w:tcPr>
            <w:tcW w:w="2075" w:type="dxa"/>
          </w:tcPr>
          <w:p>
            <w:pPr>
              <w:pStyle w:val="Tabla8"/>
              <w:jc w:val="left"/>
            </w:pPr>
            <w:r>
              <w:t xml:space="preserve">Concentración de PM2,5</w:t>
            </w:r>
          </w:p>
        </w:tc>
        <w:tc>
          <w:tcPr>
            <w:tcW w:w="1244" w:type="dxa"/>
          </w:tcPr>
          <w:p>
            <w:pPr>
              <w:pStyle w:val="Tabla8"/>
              <w:jc w:val="left"/>
            </w:pPr>
            <w:r>
              <w:t xml:space="preserve">Reactiva</w:t>
            </w:r>
          </w:p>
        </w:tc>
        <w:tc>
          <w:tcPr>
            <w:tcW w:w="1244" w:type="dxa"/>
          </w:tcPr>
          <w:p>
            <w:pPr>
              <w:pStyle w:val="Tabla8"/>
              <w:jc w:val="left"/>
            </w:pPr>
            <w:r>
              <w:t xml:space="preserve">Reactiva</w:t>
            </w:r>
          </w:p>
        </w:tc>
        <w:tc>
          <w:tcPr>
            <w:tcW w:w="1244" w:type="dxa"/>
          </w:tcPr>
          <w:p>
            <w:pPr>
              <w:pStyle w:val="Tabla8"/>
              <w:jc w:val="left"/>
            </w:pPr>
            <w:r>
              <w:t xml:space="preserve">Frontera</w:t>
            </w:r>
          </w:p>
        </w:tc>
        <w:tc>
          <w:tcPr>
            <w:tcW w:w="1244" w:type="dxa"/>
          </w:tcPr>
          <w:p>
            <w:pPr>
              <w:pStyle w:val="Tabla8"/>
              <w:jc w:val="left"/>
            </w:pPr>
            <w:r>
              <w:t xml:space="preserve">Crítica</w:t>
            </w:r>
          </w:p>
        </w:tc>
        <w:tc>
          <w:tcPr>
            <w:tcW w:w="1244" w:type="dxa"/>
          </w:tcPr>
          <w:p>
            <w:pPr>
              <w:pStyle w:val="Tabla8"/>
              <w:jc w:val="left"/>
            </w:pPr>
            <w:r>
              <w:t xml:space="preserve">Frontera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V02</w:t>
            </w:r>
          </w:p>
        </w:tc>
        <w:tc>
          <w:tcPr>
            <w:tcW w:w="2075" w:type="dxa"/>
            <w:shd w:val="clear" w:color="auto" w:fill="F7F7F7"/>
          </w:tcPr>
          <w:p>
            <w:pPr>
              <w:pStyle w:val="Tabla8"/>
              <w:jc w:val="left"/>
            </w:pPr>
            <w:r>
              <w:t xml:space="preserve">Concentración de PM10</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V03</w:t>
            </w:r>
          </w:p>
        </w:tc>
        <w:tc>
          <w:tcPr>
            <w:tcW w:w="2075" w:type="dxa"/>
          </w:tcPr>
          <w:p>
            <w:pPr>
              <w:pStyle w:val="Tabla8"/>
              <w:jc w:val="left"/>
            </w:pPr>
            <w:r>
              <w:t xml:space="preserve">Humedad relativa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V04</w:t>
            </w:r>
          </w:p>
        </w:tc>
        <w:tc>
          <w:tcPr>
            <w:tcW w:w="2075" w:type="dxa"/>
            <w:shd w:val="clear" w:color="auto" w:fill="F7F7F7"/>
          </w:tcPr>
          <w:p>
            <w:pPr>
              <w:pStyle w:val="Tabla8"/>
              <w:jc w:val="left"/>
            </w:pPr>
            <w:r>
              <w:t xml:space="preserve">Velocidad del viento</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V05</w:t>
            </w:r>
          </w:p>
        </w:tc>
        <w:tc>
          <w:tcPr>
            <w:tcW w:w="2075" w:type="dxa"/>
          </w:tcPr>
          <w:p>
            <w:pPr>
              <w:pStyle w:val="Tabla8"/>
              <w:jc w:val="left"/>
            </w:pPr>
            <w:r>
              <w:t xml:space="preserve">Volumen de escombros removidos</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078" w:type="dxa"/>
          </w:tcPr>
          <w:p>
            <w:pPr>
              <w:pStyle w:val="Tabla8"/>
              <w:jc w:val="left"/>
            </w:pPr>
            <w:r>
              <w:t xml:space="preserve">Sí</w:t>
            </w:r>
          </w:p>
        </w:tc>
      </w:tr>
      <w:tr>
        <w:trPr>
          <w:cantSplit/>
        </w:trPr>
        <w:tc>
          <w:tcPr>
            <w:tcW w:w="581" w:type="dxa"/>
            <w:shd w:val="clear" w:color="auto" w:fill="F7F7F7"/>
          </w:tcPr>
          <w:p>
            <w:pPr>
              <w:pStyle w:val="Tabla8"/>
              <w:jc w:val="left"/>
            </w:pPr>
            <w:r>
              <w:t xml:space="preserve">V06</w:t>
            </w:r>
          </w:p>
        </w:tc>
        <w:tc>
          <w:tcPr>
            <w:tcW w:w="2075" w:type="dxa"/>
            <w:shd w:val="clear" w:color="auto" w:fill="F7F7F7"/>
          </w:tcPr>
          <w:p>
            <w:pPr>
              <w:pStyle w:val="Tabla8"/>
              <w:jc w:val="left"/>
            </w:pPr>
            <w:r>
              <w:t xml:space="preserve">Error de medición de los nodos</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078" w:type="dxa"/>
            <w:shd w:val="clear" w:color="auto" w:fill="F7F7F7"/>
          </w:tcPr>
          <w:p>
            <w:pPr>
              <w:pStyle w:val="Tabla8"/>
              <w:jc w:val="left"/>
            </w:pPr>
            <w:r>
              <w:t xml:space="preserve">Sí</w:t>
            </w:r>
          </w:p>
        </w:tc>
      </w:tr>
      <w:tr>
        <w:trPr>
          <w:cantSplit/>
        </w:trPr>
        <w:tc>
          <w:tcPr>
            <w:tcW w:w="581" w:type="dxa"/>
          </w:tcPr>
          <w:p>
            <w:pPr>
              <w:pStyle w:val="Tabla8"/>
              <w:jc w:val="left"/>
            </w:pPr>
            <w:r>
              <w:t xml:space="preserve">V07</w:t>
            </w:r>
          </w:p>
        </w:tc>
        <w:tc>
          <w:tcPr>
            <w:tcW w:w="2075" w:type="dxa"/>
          </w:tcPr>
          <w:p>
            <w:pPr>
              <w:pStyle w:val="Tabla8"/>
              <w:jc w:val="left"/>
            </w:pPr>
            <w:r>
              <w:t xml:space="preserve">Frecuencia de calibración</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244" w:type="dxa"/>
          </w:tcPr>
          <w:p>
            <w:pPr>
              <w:pStyle w:val="Tabla8"/>
              <w:jc w:val="left"/>
            </w:pPr>
            <w:r>
              <w:t xml:space="preserve">Autónoma relativa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V08</w:t>
            </w:r>
          </w:p>
        </w:tc>
        <w:tc>
          <w:tcPr>
            <w:tcW w:w="2075" w:type="dxa"/>
            <w:shd w:val="clear" w:color="auto" w:fill="F7F7F7"/>
          </w:tcPr>
          <w:p>
            <w:pPr>
              <w:pStyle w:val="Tabla8"/>
              <w:jc w:val="left"/>
            </w:pPr>
            <w:r>
              <w:t xml:space="preserve">Latencia de datos</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Frontera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V09</w:t>
            </w:r>
          </w:p>
        </w:tc>
        <w:tc>
          <w:tcPr>
            <w:tcW w:w="2075" w:type="dxa"/>
          </w:tcPr>
          <w:p>
            <w:pPr>
              <w:pStyle w:val="Tabla8"/>
              <w:jc w:val="left"/>
            </w:pPr>
            <w:r>
              <w:t xml:space="preserve">Disponibilidad de nodos</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244" w:type="dxa"/>
          </w:tcPr>
          <w:p>
            <w:pPr>
              <w:pStyle w:val="Tabla8"/>
              <w:jc w:val="left"/>
            </w:pPr>
            <w:r>
              <w:t xml:space="preserve">Reactiva</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V10</w:t>
            </w:r>
          </w:p>
        </w:tc>
        <w:tc>
          <w:tcPr>
            <w:tcW w:w="2075" w:type="dxa"/>
            <w:shd w:val="clear" w:color="auto" w:fill="F7F7F7"/>
          </w:tcPr>
          <w:p>
            <w:pPr>
              <w:pStyle w:val="Tabla8"/>
              <w:jc w:val="left"/>
            </w:pPr>
            <w:r>
              <w:t xml:space="preserve">Densidad del gemelo digital</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V11</w:t>
            </w:r>
          </w:p>
        </w:tc>
        <w:tc>
          <w:tcPr>
            <w:tcW w:w="2075" w:type="dxa"/>
          </w:tcPr>
          <w:p>
            <w:pPr>
              <w:pStyle w:val="Tabla8"/>
              <w:jc w:val="left"/>
            </w:pPr>
            <w:r>
              <w:t xml:space="preserve">Índice local de calidad del aire</w:t>
            </w:r>
          </w:p>
        </w:tc>
        <w:tc>
          <w:tcPr>
            <w:tcW w:w="1244" w:type="dxa"/>
          </w:tcPr>
          <w:p>
            <w:pPr>
              <w:pStyle w:val="Tabla8"/>
              <w:jc w:val="left"/>
            </w:pPr>
            <w:r>
              <w:t xml:space="preserve">Crítica</w:t>
            </w:r>
          </w:p>
        </w:tc>
        <w:tc>
          <w:tcPr>
            <w:tcW w:w="1244" w:type="dxa"/>
          </w:tcPr>
          <w:p>
            <w:pPr>
              <w:pStyle w:val="Tabla8"/>
              <w:jc w:val="left"/>
            </w:pPr>
            <w:r>
              <w:t xml:space="preserve">Crítica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244" w:type="dxa"/>
          </w:tcPr>
          <w:p>
            <w:pPr>
              <w:pStyle w:val="Tabla8"/>
              <w:jc w:val="left"/>
            </w:pPr>
            <w:r>
              <w:t xml:space="preserve">Crítica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V12</w:t>
            </w:r>
          </w:p>
        </w:tc>
        <w:tc>
          <w:tcPr>
            <w:tcW w:w="2075" w:type="dxa"/>
            <w:shd w:val="clear" w:color="auto" w:fill="F7F7F7"/>
          </w:tcPr>
          <w:p>
            <w:pPr>
              <w:pStyle w:val="Tabla8"/>
              <w:jc w:val="left"/>
            </w:pPr>
            <w:r>
              <w:t xml:space="preserve">Falsas alarmas</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Reactiva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V13</w:t>
            </w:r>
          </w:p>
        </w:tc>
        <w:tc>
          <w:tcPr>
            <w:tcW w:w="2075" w:type="dxa"/>
          </w:tcPr>
          <w:p>
            <w:pPr>
              <w:pStyle w:val="Tabla8"/>
              <w:jc w:val="left"/>
            </w:pPr>
            <w:r>
              <w:t xml:space="preserve">Anticipación del aviso</w:t>
            </w:r>
          </w:p>
        </w:tc>
        <w:tc>
          <w:tcPr>
            <w:tcW w:w="1244" w:type="dxa"/>
          </w:tcPr>
          <w:p>
            <w:pPr>
              <w:pStyle w:val="Tabla8"/>
              <w:jc w:val="left"/>
            </w:pPr>
            <w:r>
              <w:t xml:space="preserve">Frontera</w:t>
            </w:r>
          </w:p>
        </w:tc>
        <w:tc>
          <w:tcPr>
            <w:tcW w:w="1244" w:type="dxa"/>
          </w:tcPr>
          <w:p>
            <w:pPr>
              <w:pStyle w:val="Tabla8"/>
              <w:jc w:val="left"/>
            </w:pPr>
            <w:r>
              <w:t xml:space="preserve">Autónoma relativa</w:t>
            </w:r>
          </w:p>
        </w:tc>
        <w:tc>
          <w:tcPr>
            <w:tcW w:w="1244" w:type="dxa"/>
          </w:tcPr>
          <w:p>
            <w:pPr>
              <w:pStyle w:val="Tabla8"/>
              <w:jc w:val="left"/>
            </w:pPr>
            <w:r>
              <w:t xml:space="preserve">Autónoma relativa</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V14</w:t>
            </w:r>
          </w:p>
        </w:tc>
        <w:tc>
          <w:tcPr>
            <w:tcW w:w="2075" w:type="dxa"/>
            <w:shd w:val="clear" w:color="auto" w:fill="F7F7F7"/>
          </w:tcPr>
          <w:p>
            <w:pPr>
              <w:pStyle w:val="Tabla8"/>
              <w:jc w:val="left"/>
            </w:pPr>
            <w:r>
              <w:t xml:space="preserve">Personas alertadas</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078" w:type="dxa"/>
            <w:shd w:val="clear" w:color="auto" w:fill="F7F7F7"/>
          </w:tcPr>
          <w:p>
            <w:pPr>
              <w:pStyle w:val="Tabla8"/>
              <w:jc w:val="left"/>
            </w:pPr>
            <w:r>
              <w:t xml:space="preserve">Sí</w:t>
            </w:r>
          </w:p>
        </w:tc>
      </w:tr>
      <w:tr>
        <w:trPr>
          <w:cantSplit/>
        </w:trPr>
        <w:tc>
          <w:tcPr>
            <w:tcW w:w="581" w:type="dxa"/>
          </w:tcPr>
          <w:p>
            <w:pPr>
              <w:pStyle w:val="Tabla8"/>
              <w:keepNext/>
              <w:jc w:val="left"/>
            </w:pPr>
            <w:r>
              <w:t xml:space="preserve">V15</w:t>
            </w:r>
          </w:p>
        </w:tc>
        <w:tc>
          <w:tcPr>
            <w:tcW w:w="2075" w:type="dxa"/>
          </w:tcPr>
          <w:p>
            <w:pPr>
              <w:pStyle w:val="Tabla8"/>
              <w:keepNext/>
              <w:jc w:val="left"/>
            </w:pPr>
            <w:r>
              <w:t xml:space="preserve">Adopción institucional</w:t>
            </w:r>
          </w:p>
        </w:tc>
        <w:tc>
          <w:tcPr>
            <w:tcW w:w="1244" w:type="dxa"/>
          </w:tcPr>
          <w:p>
            <w:pPr>
              <w:pStyle w:val="Tabla8"/>
              <w:keepNext/>
              <w:jc w:val="left"/>
            </w:pPr>
            <w:r>
              <w:t xml:space="preserve">Reactiva</w:t>
            </w:r>
          </w:p>
        </w:tc>
        <w:tc>
          <w:tcPr>
            <w:tcW w:w="1244" w:type="dxa"/>
          </w:tcPr>
          <w:p>
            <w:pPr>
              <w:pStyle w:val="Tabla8"/>
              <w:keepNext/>
              <w:jc w:val="left"/>
            </w:pPr>
            <w:r>
              <w:t xml:space="preserve">Frontera</w:t>
            </w:r>
          </w:p>
        </w:tc>
        <w:tc>
          <w:tcPr>
            <w:tcW w:w="1244" w:type="dxa"/>
          </w:tcPr>
          <w:p>
            <w:pPr>
              <w:pStyle w:val="Tabla8"/>
              <w:keepNext/>
              <w:jc w:val="left"/>
            </w:pPr>
            <w:r>
              <w:t xml:space="preserve">Crítica</w:t>
            </w:r>
          </w:p>
        </w:tc>
        <w:tc>
          <w:tcPr>
            <w:tcW w:w="1244" w:type="dxa"/>
          </w:tcPr>
          <w:p>
            <w:pPr>
              <w:pStyle w:val="Tabla8"/>
              <w:keepNext/>
              <w:jc w:val="left"/>
            </w:pPr>
            <w:r>
              <w:t xml:space="preserve">Frontera</w:t>
            </w:r>
          </w:p>
        </w:tc>
        <w:tc>
          <w:tcPr>
            <w:tcW w:w="1244" w:type="dxa"/>
          </w:tcPr>
          <w:p>
            <w:pPr>
              <w:pStyle w:val="Tabla8"/>
              <w:keepNext/>
              <w:jc w:val="left"/>
            </w:pPr>
            <w:r>
              <w:t xml:space="preserve">Crítica</w:t>
            </w:r>
          </w:p>
        </w:tc>
        <w:tc>
          <w:tcPr>
            <w:tcW w:w="1078" w:type="dxa"/>
          </w:tcPr>
          <w:p>
            <w:pPr>
              <w:pStyle w:val="Tabla8"/>
              <w:keepNext/>
              <w:jc w:val="left"/>
            </w:pPr>
            <w:r>
              <w:t xml:space="preserve">No</w:t>
            </w:r>
          </w:p>
        </w:tc>
      </w:tr>
    </w:tbl>
    <w:p>
      <w:pPr>
        <w:pStyle w:val="TablaNota"/>
      </w:pPr>
      <w:r>
        <w:rPr>
          <w:i/>
          <w:iCs/>
        </w:rPr>
        <w:t xml:space="preserve">Nota.</w:t>
      </w:r>
      <w:r>
        <w:t xml:space="preserve"> </w:t>
      </w:r>
      <w:r>
        <w:t xml:space="preserve">Elaboración propia. Una variable es estable si conserva la clase en los cinco escenarios. Solo lo son V05, V06 y V14. Las demás cambian al variar los juicios, de modo que su clase no es un rol firme.</w:t>
      </w:r>
    </w:p>
    <w:bookmarkEnd w:id="39"/>
    <w:bookmarkStart w:id="40" w:name="a.4.5-vínculos-no-nulos-y-su-respaldo"/>
    <w:p>
      <w:pPr>
        <w:pStyle w:val="Heading3"/>
      </w:pPr>
      <w:r>
        <w:t xml:space="preserve">A.4.5 Vínculos no nulos y su respaldo</w:t>
      </w:r>
    </w:p>
    <w:p>
      <w:pPr>
        <w:pStyle w:val="FirstParagraph"/>
      </w:pPr>
      <w:r>
        <w:t xml:space="preserve">La Tabla A.13 lista los 48 vínculos no nulos de S2 con su peso, su dominio admisible, su signo, su confianza, su mecanismo y su respaldo. Dos vínculos se apoyan en estudios publicados que cita el informe de vigilancia tecnológica: V03→V06 y V04→V01 (Equipo formulador, 2026). Veintisiete se infieren de mecanismos físicos o técnicos conocidos. Once son propuestas del equipo formulador y ocho son supuestos de diseño.</w:t>
      </w:r>
    </w:p>
    <w:p>
      <w:pPr>
        <w:pStyle w:val="BodyText"/>
      </w:pPr>
      <w:r>
        <w:t xml:space="preserve">La confianza es baja en 26 vínculos, media en 21 y alta en uno. El respaldo es secundario o interno en 41 vínculos, de modo que ninguna fuente primaria sustenta por sí sola un valor. Esa limitación se declara en A.11. Los 162 pares restantes tienen peso 0, con la razón de ausencia o de mediación en la ficha.</w:t>
      </w:r>
    </w:p>
    <w:p>
      <w:pPr>
        <w:pStyle w:val="TablaRotulo"/>
      </w:pPr>
      <w:bookmarkStart w:id="9013" w:name="rot_Tabla_A_13"/>
      <w:r>
        <w:rPr>
          <w:b/>
          <w:bCs/>
        </w:rPr>
        <w:t xml:space="preserve">Tabla A.13</w:t>
      </w:r>
      <w:bookmarkEnd w:id="9013"/>
    </w:p>
    <w:p>
      <w:pPr>
        <w:pStyle w:val="TablaTitulo"/>
      </w:pPr>
      <w:r>
        <w:rPr>
          <w:i/>
          <w:iCs/>
        </w:rPr>
        <w:t xml:space="preserve">Los 48 vínculos no nulos de S2, con peso, dominio admisible, signo, confianza, mecanismo y respaldo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664"/>
        <w:gridCol w:w="1078"/>
        <w:gridCol w:w="995"/>
        <w:gridCol w:w="1244"/>
        <w:gridCol w:w="2572"/>
        <w:gridCol w:w="2323"/>
      </w:tblGrid>
      <w:tr>
        <w:trPr>
          <w:cantSplit/>
          <w:tblHeader w:val="true"/>
          <w:tblHeader/>
        </w:trPr>
        <w:tc>
          <w:tcPr>
            <w:tcW w:w="1078" w:type="dxa"/>
            <w:tcBorders>
              <w:bottom w:val="single" w:sz="12" w:space="0" w:color="6699CC"/>
            </w:tcBorders>
            <w:shd w:val="clear" w:color="auto" w:fill="B9D9EB"/>
          </w:tcPr>
          <w:p>
            <w:pPr>
              <w:pStyle w:val="Tabla8"/>
              <w:keepNext/>
              <w:jc w:val="left"/>
            </w:pPr>
            <w:r>
              <w:rPr>
                <w:b/>
              </w:rPr>
              <w:t xml:space="preserve">Vínculo</w:t>
            </w:r>
          </w:p>
        </w:tc>
        <w:tc>
          <w:tcPr>
            <w:tcW w:w="664" w:type="dxa"/>
            <w:tcBorders>
              <w:bottom w:val="single" w:sz="12" w:space="0" w:color="6699CC"/>
            </w:tcBorders>
            <w:shd w:val="clear" w:color="auto" w:fill="B9D9EB"/>
          </w:tcPr>
          <w:p>
            <w:pPr>
              <w:pStyle w:val="Tabla8"/>
              <w:keepNext/>
              <w:jc w:val="left"/>
            </w:pPr>
            <w:r>
              <w:rPr>
                <w:b/>
              </w:rPr>
              <w:t xml:space="preserve">Peso</w:t>
            </w:r>
          </w:p>
        </w:tc>
        <w:tc>
          <w:tcPr>
            <w:tcW w:w="1078" w:type="dxa"/>
            <w:tcBorders>
              <w:bottom w:val="single" w:sz="12" w:space="0" w:color="6699CC"/>
            </w:tcBorders>
            <w:shd w:val="clear" w:color="auto" w:fill="B9D9EB"/>
          </w:tcPr>
          <w:p>
            <w:pPr>
              <w:pStyle w:val="Tabla8"/>
              <w:keepNext/>
              <w:jc w:val="left"/>
            </w:pPr>
            <w:r>
              <w:rPr>
                <w:b/>
              </w:rPr>
              <w:t xml:space="preserve">Dominio</w:t>
            </w:r>
          </w:p>
        </w:tc>
        <w:tc>
          <w:tcPr>
            <w:tcW w:w="995" w:type="dxa"/>
            <w:tcBorders>
              <w:bottom w:val="single" w:sz="12" w:space="0" w:color="6699CC"/>
            </w:tcBorders>
            <w:shd w:val="clear" w:color="auto" w:fill="B9D9EB"/>
          </w:tcPr>
          <w:p>
            <w:pPr>
              <w:pStyle w:val="Tabla8"/>
              <w:keepNext/>
              <w:jc w:val="left"/>
            </w:pPr>
            <w:r>
              <w:rPr>
                <w:b/>
              </w:rPr>
              <w:t xml:space="preserve">Signo</w:t>
            </w:r>
          </w:p>
        </w:tc>
        <w:tc>
          <w:tcPr>
            <w:tcW w:w="1244" w:type="dxa"/>
            <w:tcBorders>
              <w:bottom w:val="single" w:sz="12" w:space="0" w:color="6699CC"/>
            </w:tcBorders>
            <w:shd w:val="clear" w:color="auto" w:fill="B9D9EB"/>
          </w:tcPr>
          <w:p>
            <w:pPr>
              <w:pStyle w:val="Tabla8"/>
              <w:keepNext/>
              <w:jc w:val="left"/>
            </w:pPr>
            <w:r>
              <w:rPr>
                <w:b/>
              </w:rPr>
              <w:t xml:space="preserve">Confianza</w:t>
            </w:r>
          </w:p>
        </w:tc>
        <w:tc>
          <w:tcPr>
            <w:tcW w:w="2572" w:type="dxa"/>
            <w:tcBorders>
              <w:bottom w:val="single" w:sz="12" w:space="0" w:color="6699CC"/>
            </w:tcBorders>
            <w:shd w:val="clear" w:color="auto" w:fill="B9D9EB"/>
          </w:tcPr>
          <w:p>
            <w:pPr>
              <w:pStyle w:val="Tabla8"/>
              <w:keepNext/>
              <w:jc w:val="left"/>
            </w:pPr>
            <w:r>
              <w:rPr>
                <w:b/>
              </w:rPr>
              <w:t xml:space="preserve">Mecanismo propuesto</w:t>
            </w:r>
          </w:p>
        </w:tc>
        <w:tc>
          <w:tcPr>
            <w:tcW w:w="2323" w:type="dxa"/>
            <w:tcBorders>
              <w:bottom w:val="single" w:sz="12" w:space="0" w:color="6699CC"/>
            </w:tcBorders>
            <w:shd w:val="clear" w:color="auto" w:fill="B9D9EB"/>
          </w:tcPr>
          <w:p>
            <w:pPr>
              <w:pStyle w:val="Tabla8"/>
              <w:keepNext/>
              <w:jc w:val="left"/>
            </w:pPr>
            <w:r>
              <w:rPr>
                <w:b/>
              </w:rPr>
              <w:t xml:space="preserve">Respaldo</w:t>
            </w:r>
          </w:p>
        </w:tc>
      </w:tr>
      <w:tr>
        <w:trPr>
          <w:cantSplit/>
        </w:trPr>
        <w:tc>
          <w:tcPr>
            <w:tcW w:w="1078" w:type="dxa"/>
          </w:tcPr>
          <w:p>
            <w:pPr>
              <w:pStyle w:val="Tabla8"/>
              <w:jc w:val="left"/>
            </w:pPr>
            <w:r>
              <w:t xml:space="preserve">V01→V06</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Concentraciones muy altas saturan el contador óptico y elevan el error de coincidencia frente a la referencia gravimétrica.</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V01→V11</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AQHI se calcula a partir de concentraciones ponderadas por riesgo. El PM2,5 entra directamente a la fórmula del índice sin acción humana intermedia.</w:t>
            </w:r>
          </w:p>
        </w:tc>
        <w:tc>
          <w:tcPr>
            <w:tcW w:w="2323" w:type="dxa"/>
            <w:shd w:val="clear" w:color="auto" w:fill="F7F7F7"/>
          </w:tcPr>
          <w:p>
            <w:pPr>
              <w:pStyle w:val="Tabla8"/>
              <w:jc w:val="left"/>
            </w:pPr>
            <w:r>
              <w:t xml:space="preserve">(Equipo formulador, 2026; Liao et al., 2026)</w:t>
            </w:r>
          </w:p>
        </w:tc>
      </w:tr>
      <w:tr>
        <w:trPr>
          <w:cantSplit/>
        </w:trPr>
        <w:tc>
          <w:tcPr>
            <w:tcW w:w="1078" w:type="dxa"/>
          </w:tcPr>
          <w:p>
            <w:pPr>
              <w:pStyle w:val="Tabla8"/>
              <w:jc w:val="left"/>
            </w:pPr>
            <w:r>
              <w:t xml:space="preserve">V01→V14</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bruma visible por PM2,5 alerta a operarios y vecinos sin intervención del sistema y los lleva a protegerse.</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V02→V06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polvo grueso ensucia lentes y entradas de aire del sensor. El canal de PM10 de los sensores de bajo costo tiene eficiencia de captura limitada. Ambos efectos elevan el error sistemático.</w:t>
            </w:r>
          </w:p>
        </w:tc>
        <w:tc>
          <w:tcPr>
            <w:tcW w:w="2323" w:type="dxa"/>
            <w:shd w:val="clear" w:color="auto" w:fill="F7F7F7"/>
          </w:tcPr>
          <w:p>
            <w:pPr>
              <w:pStyle w:val="Tabla8"/>
              <w:jc w:val="left"/>
            </w:pPr>
            <w:r>
              <w:t xml:space="preserve">(Equipo formulador, 2026; Suresh et al., 2025)</w:t>
            </w:r>
          </w:p>
        </w:tc>
      </w:tr>
      <w:tr>
        <w:trPr>
          <w:cantSplit/>
        </w:trPr>
        <w:tc>
          <w:tcPr>
            <w:tcW w:w="1078" w:type="dxa"/>
          </w:tcPr>
          <w:p>
            <w:pPr>
              <w:pStyle w:val="Tabla8"/>
              <w:jc w:val="left"/>
            </w:pPr>
            <w:r>
              <w:t xml:space="preserve">V02→V09</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El polvo grueso se deposita sobre paneles solares y entradas de aire, reduce la carga disponible y obliga a limpiezas que sacan nodos de servicio.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V02→V11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0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Las formulaciones de AQHI con PM10 incorporan el polvo grueso al nivel de peligro. En actividades de demolición el PM10 predomina en la exposición ocupacional.</w:t>
            </w:r>
          </w:p>
        </w:tc>
        <w:tc>
          <w:tcPr>
            <w:tcW w:w="2323" w:type="dxa"/>
            <w:shd w:val="clear" w:color="auto" w:fill="F7F7F7"/>
          </w:tcPr>
          <w:p>
            <w:pPr>
              <w:pStyle w:val="Tabla8"/>
              <w:jc w:val="left"/>
            </w:pPr>
            <w:r>
              <w:t xml:space="preserve">(Equipo formulador, 2026; Liao et al., 2026)</w:t>
            </w:r>
          </w:p>
        </w:tc>
      </w:tr>
      <w:tr>
        <w:trPr>
          <w:cantSplit/>
        </w:trPr>
        <w:tc>
          <w:tcPr>
            <w:tcW w:w="1078" w:type="dxa"/>
          </w:tcPr>
          <w:p>
            <w:pPr>
              <w:pStyle w:val="Tabla8"/>
              <w:jc w:val="left"/>
            </w:pPr>
            <w:r>
              <w:t xml:space="preserve">V02→V14</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nube de polvo grueso visible alerta a las cuadrillas, que se resguardan o usan mascarilla sin esperar el sistema.</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V03→V01</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Mixto</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 humedad modifica el tamaño de las partículas por crecimiento higroscópico y favorece la deposición húmeda. El efecto sobre la masa de PM2,5 tiene signo variable.</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V03→V02</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humedad del aire y del material reduce la resuspensión de polvo y favorece su sedimentación.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V03→V06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crecimiento higroscópico infla el tamaño aparente de las partículas y las gotas dispersan la luz del contador láser. El resultado es un sesgo positivo en la lectura óptica.</w:t>
            </w:r>
          </w:p>
        </w:tc>
        <w:tc>
          <w:tcPr>
            <w:tcW w:w="2323" w:type="dxa"/>
            <w:shd w:val="clear" w:color="auto" w:fill="F7F7F7"/>
          </w:tcPr>
          <w:p>
            <w:pPr>
              <w:pStyle w:val="Tabla8"/>
              <w:jc w:val="left"/>
            </w:pPr>
            <w:r>
              <w:t xml:space="preserve">(Equipo formulador, 2026; Suresh et al., 2025; Bang et al., 2026)</w:t>
            </w:r>
          </w:p>
        </w:tc>
      </w:tr>
      <w:tr>
        <w:trPr>
          <w:cantSplit/>
        </w:trPr>
        <w:tc>
          <w:tcPr>
            <w:tcW w:w="1078" w:type="dxa"/>
          </w:tcPr>
          <w:p>
            <w:pPr>
              <w:pStyle w:val="Tabla8"/>
              <w:jc w:val="left"/>
            </w:pPr>
            <w:r>
              <w:t xml:space="preserve">V03→V09</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 humedad sostenida condensa y corroe carcasas y conectores, y reduce la vida útil de la electrónica de bajo costo.</w:t>
            </w:r>
          </w:p>
        </w:tc>
        <w:tc>
          <w:tcPr>
            <w:tcW w:w="2323" w:type="dxa"/>
          </w:tcPr>
          <w:p>
            <w:pPr>
              <w:pStyle w:val="Tabla8"/>
              <w:jc w:val="left"/>
            </w:pPr>
            <w:r>
              <w:t xml:space="preserve">(Equipo formulador, 2026; Tavella et al., 2026)</w:t>
            </w:r>
          </w:p>
        </w:tc>
      </w:tr>
      <w:tr>
        <w:trPr>
          <w:cantSplit/>
        </w:trPr>
        <w:tc>
          <w:tcPr>
            <w:tcW w:w="1078" w:type="dxa"/>
            <w:shd w:val="clear" w:color="auto" w:fill="F7F7F7"/>
          </w:tcPr>
          <w:p>
            <w:pPr>
              <w:pStyle w:val="Tabla8"/>
              <w:jc w:val="left"/>
            </w:pPr>
            <w:r>
              <w:t xml:space="preserve">V04→V01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viento advecta y dispersa las partículas. Reduce la concentración local de PM2,5 y modula los episodios regionales.</w:t>
            </w:r>
          </w:p>
        </w:tc>
        <w:tc>
          <w:tcPr>
            <w:tcW w:w="2323" w:type="dxa"/>
            <w:shd w:val="clear" w:color="auto" w:fill="F7F7F7"/>
          </w:tcPr>
          <w:p>
            <w:pPr>
              <w:pStyle w:val="Tabla8"/>
              <w:jc w:val="left"/>
            </w:pPr>
            <w:r>
              <w:t xml:space="preserve">(Equipo formulador, 2026; Ayala-Parra et al., 2026)</w:t>
            </w:r>
          </w:p>
        </w:tc>
      </w:tr>
      <w:tr>
        <w:trPr>
          <w:cantSplit/>
        </w:trPr>
        <w:tc>
          <w:tcPr>
            <w:tcW w:w="1078" w:type="dxa"/>
          </w:tcPr>
          <w:p>
            <w:pPr>
              <w:pStyle w:val="Tabla8"/>
              <w:jc w:val="left"/>
            </w:pPr>
            <w:r>
              <w:t xml:space="preserve">V04→V02</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Mixto</w:t>
            </w:r>
          </w:p>
        </w:tc>
        <w:tc>
          <w:tcPr>
            <w:tcW w:w="1244" w:type="dxa"/>
          </w:tcPr>
          <w:p>
            <w:pPr>
              <w:pStyle w:val="Tabla8"/>
              <w:jc w:val="left"/>
            </w:pPr>
            <w:r>
              <w:t xml:space="preserve">Baja</w:t>
            </w:r>
          </w:p>
        </w:tc>
        <w:tc>
          <w:tcPr>
            <w:tcW w:w="2572" w:type="dxa"/>
          </w:tcPr>
          <w:p>
            <w:pPr>
              <w:pStyle w:val="Tabla8"/>
              <w:jc w:val="left"/>
            </w:pPr>
            <w:r>
              <w:t xml:space="preserve">El viento dispersa el polvo, pero también lo resuspende desde superficies expuestas y suma emisión. El signo neto depende de la velocidad.</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V04→V06</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Mixto</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viento modifica el flujo de aire en la entrada del sensor. Cambia la eficiencia de captura de partículas y sesga la lectura.</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V04→V08</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Ráfagas fuertes desalinean antenas y mástiles temporales y elevan la pérdida de paquetes y el retraso de entrega.</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V04→V09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viento fuerte derriba o daña mástiles y carcasas montadas sobre escombros inestables.</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V04→V13</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velocidad del viento determina el tiempo de transporte de una pluma entre la detección aguas arriba y la llegada a receptores. Mayor velocidad reduce el aviso útil.</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V05→V01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demolición, trituración y carga de escombros emiten partículas finas, y la maquinaria diésel suma PM2,5 de combustión.</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V05→V02</w:t>
            </w:r>
          </w:p>
        </w:tc>
        <w:tc>
          <w:tcPr>
            <w:tcW w:w="664" w:type="dxa"/>
          </w:tcPr>
          <w:p>
            <w:pPr>
              <w:pStyle w:val="Tabla8"/>
              <w:jc w:val="left"/>
            </w:pPr>
            <w:r>
              <w:t xml:space="preserve">3</w:t>
            </w:r>
          </w:p>
        </w:tc>
        <w:tc>
          <w:tcPr>
            <w:tcW w:w="1078" w:type="dxa"/>
          </w:tcPr>
          <w:p>
            <w:pPr>
              <w:pStyle w:val="Tabla8"/>
              <w:jc w:val="left"/>
            </w:pPr>
            <w:r>
              <w:t xml:space="preserve">2 a 3</w:t>
            </w:r>
          </w:p>
        </w:tc>
        <w:tc>
          <w:tcPr>
            <w:tcW w:w="995" w:type="dxa"/>
          </w:tcPr>
          <w:p>
            <w:pPr>
              <w:pStyle w:val="Tabla8"/>
              <w:jc w:val="left"/>
            </w:pPr>
            <w:r>
              <w:t xml:space="preserve">+</w:t>
            </w:r>
          </w:p>
        </w:tc>
        <w:tc>
          <w:tcPr>
            <w:tcW w:w="1244" w:type="dxa"/>
          </w:tcPr>
          <w:p>
            <w:pPr>
              <w:pStyle w:val="Tabla8"/>
              <w:jc w:val="left"/>
            </w:pPr>
            <w:r>
              <w:t xml:space="preserve">Alta</w:t>
            </w:r>
          </w:p>
        </w:tc>
        <w:tc>
          <w:tcPr>
            <w:tcW w:w="2572" w:type="dxa"/>
          </w:tcPr>
          <w:p>
            <w:pPr>
              <w:pStyle w:val="Tabla8"/>
              <w:jc w:val="left"/>
            </w:pPr>
            <w:r>
              <w:t xml:space="preserve">La demolición, carga y transporte de escombros resuspenden y generan polvo grueso en proporción directa al volumen movido.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V05→V09</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maquinaria pesada golpea, entierra o desplaza nodos instalados cerca del frente de obra, y el vandalismo aumenta con la actividad.</w:t>
            </w:r>
          </w:p>
        </w:tc>
        <w:tc>
          <w:tcPr>
            <w:tcW w:w="2323" w:type="dxa"/>
            <w:shd w:val="clear" w:color="auto" w:fill="F7F7F7"/>
          </w:tcPr>
          <w:p>
            <w:pPr>
              <w:pStyle w:val="Tabla8"/>
              <w:jc w:val="left"/>
            </w:pPr>
            <w:r>
              <w:t xml:space="preserve">(Equipo formulador, 2026; Ruiz-Carrascal et al., 2026)</w:t>
            </w:r>
          </w:p>
        </w:tc>
      </w:tr>
      <w:tr>
        <w:trPr>
          <w:cantSplit/>
        </w:trPr>
        <w:tc>
          <w:tcPr>
            <w:tcW w:w="1078" w:type="dxa"/>
          </w:tcPr>
          <w:p>
            <w:pPr>
              <w:pStyle w:val="Tabla8"/>
              <w:jc w:val="left"/>
            </w:pPr>
            <w:r>
              <w:t xml:space="preserve">V06→V07</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Un error por encima del umbral dispara el reentrenamiento o la recalibración del modelo de corrección.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V06→V09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En el protocolo por eventos, el ruido y el sesgo generan disparos espurios de transmisión que consumen batería.</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V06→V11</w:t>
            </w:r>
          </w:p>
        </w:tc>
        <w:tc>
          <w:tcPr>
            <w:tcW w:w="664" w:type="dxa"/>
          </w:tcPr>
          <w:p>
            <w:pPr>
              <w:pStyle w:val="Tabla8"/>
              <w:jc w:val="left"/>
            </w:pPr>
            <w:r>
              <w:t xml:space="preserve">3</w:t>
            </w:r>
          </w:p>
        </w:tc>
        <w:tc>
          <w:tcPr>
            <w:tcW w:w="1078" w:type="dxa"/>
          </w:tcPr>
          <w:p>
            <w:pPr>
              <w:pStyle w:val="Tabla8"/>
              <w:jc w:val="left"/>
            </w:pPr>
            <w:r>
              <w:t xml:space="preserve">2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El error del hardware entra al cálculo del índice sin intermediario humano y desplaza su nivel de peligro.</w:t>
            </w:r>
          </w:p>
        </w:tc>
        <w:tc>
          <w:tcPr>
            <w:tcW w:w="2323" w:type="dxa"/>
          </w:tcPr>
          <w:p>
            <w:pPr>
              <w:pStyle w:val="Tabla8"/>
              <w:jc w:val="left"/>
            </w:pPr>
            <w:r>
              <w:t xml:space="preserve">(Equipo formulador, 2026; Liao et al., 2026)</w:t>
            </w:r>
          </w:p>
        </w:tc>
      </w:tr>
      <w:tr>
        <w:trPr>
          <w:cantSplit/>
        </w:trPr>
        <w:tc>
          <w:tcPr>
            <w:tcW w:w="1078" w:type="dxa"/>
            <w:shd w:val="clear" w:color="auto" w:fill="F7F7F7"/>
          </w:tcPr>
          <w:p>
            <w:pPr>
              <w:pStyle w:val="Tabla8"/>
              <w:jc w:val="left"/>
            </w:pPr>
            <w:r>
              <w:t xml:space="preserve">V06→V12</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En el protocolo por eventos, los picos falsos por sesgo o ruido disparan la alerta local antes de agregar el índice.</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V06→V15</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Técnicos y usuarios detectan discrepancias con instrumentos de referencia y restan credibilidad a los datos aunque no haya falsas alarmas.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V07→V06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calibración dinámica con referencia estima el sesgo higroscópico y la deriva, y los resta de la lectura. Reduce el error del sensor.</w:t>
            </w:r>
          </w:p>
        </w:tc>
        <w:tc>
          <w:tcPr>
            <w:tcW w:w="2323" w:type="dxa"/>
            <w:shd w:val="clear" w:color="auto" w:fill="F7F7F7"/>
          </w:tcPr>
          <w:p>
            <w:pPr>
              <w:pStyle w:val="Tabla8"/>
              <w:jc w:val="left"/>
            </w:pPr>
            <w:r>
              <w:t xml:space="preserve">(Equipo formulador, 2026; Bang et al., 2026)</w:t>
            </w:r>
          </w:p>
        </w:tc>
      </w:tr>
      <w:tr>
        <w:trPr>
          <w:cantSplit/>
        </w:trPr>
        <w:tc>
          <w:tcPr>
            <w:tcW w:w="1078" w:type="dxa"/>
          </w:tcPr>
          <w:p>
            <w:pPr>
              <w:pStyle w:val="Tabla8"/>
              <w:jc w:val="left"/>
            </w:pPr>
            <w:r>
              <w:t xml:space="preserve">V07→V08</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El cómputo de calibración y la descarga de pesos usan CPU y ancho de banda y retrasan la emisión de otros paquetes.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V07→V09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calibración consume energía y puede sacar el nodo de línea durante reinicios de software.</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V08→V13</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El retraso de datos resta minutos al tiempo útil de aviso desde la detección hasta el impacto.</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V09→V10</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0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Si V10 mide la resolución efectiva del mapa, la cantidad de nodos activos determina aritméticamente los nodos por km² con datos.</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V09→V15</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Un tablero con huecos por nodos inactivos pierde utilidad percibida. La confiabilidad del servicio sostiene el uso institucional.</w:t>
            </w:r>
          </w:p>
        </w:tc>
        <w:tc>
          <w:tcPr>
            <w:tcW w:w="2323" w:type="dxa"/>
          </w:tcPr>
          <w:p>
            <w:pPr>
              <w:pStyle w:val="Tabla8"/>
              <w:jc w:val="left"/>
            </w:pPr>
            <w:r>
              <w:t xml:space="preserve">(Equipo formulador, 2026; Tavella et al., 2026)</w:t>
            </w:r>
          </w:p>
        </w:tc>
      </w:tr>
      <w:tr>
        <w:trPr>
          <w:cantSplit/>
        </w:trPr>
        <w:tc>
          <w:tcPr>
            <w:tcW w:w="1078" w:type="dxa"/>
            <w:shd w:val="clear" w:color="auto" w:fill="F7F7F7"/>
          </w:tcPr>
          <w:p>
            <w:pPr>
              <w:pStyle w:val="Tabla8"/>
              <w:jc w:val="left"/>
            </w:pPr>
            <w:r>
              <w:t xml:space="preserve">V10→V06</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Una red densa permite validación cruzada entre vecinos y corrección de valores atípicos. Reduce el error del producto de red más que el del sensor individual.</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V10→V11</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Sin definir</w:t>
            </w:r>
          </w:p>
        </w:tc>
        <w:tc>
          <w:tcPr>
            <w:tcW w:w="1244" w:type="dxa"/>
          </w:tcPr>
          <w:p>
            <w:pPr>
              <w:pStyle w:val="Tabla8"/>
              <w:jc w:val="left"/>
            </w:pPr>
            <w:r>
              <w:t xml:space="preserve">Baja</w:t>
            </w:r>
          </w:p>
        </w:tc>
        <w:tc>
          <w:tcPr>
            <w:tcW w:w="2572" w:type="dxa"/>
          </w:tcPr>
          <w:p>
            <w:pPr>
              <w:pStyle w:val="Tabla8"/>
              <w:jc w:val="left"/>
            </w:pPr>
            <w:r>
              <w:t xml:space="preserve">Mayor resolución espacial representa mejor la exposición local y cambia el valor del índice asignado a cada sitio.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V10→V12</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consenso entre nodos vecinos filtra picos espurios antes de emitir una alerta.</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V10→V13</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Una red más densa detecta la pluma aguas arriba y alarga el aviso a los receptores.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V11→V12</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umbral del índice define qué se considera alerta. Umbrales bajos o índices hipersensibles aumentan la proporción de alertas sin superación de umbral real.</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V11→V14</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Un nivel alto activa el protocolo de alerta. La protección efectiva exige que el protocolo exista y se ejecute.</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V11→V15</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Un índice comprensible y útil incentiva el uso del tablero por parte de las alcaldías y la UNGRD.</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V12→V11</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Ante falsas alarmas repetidas, los responsables ajustan a la baja la sensibilidad del índice para evitar pánico y desgaste.</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V12→V14</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Tras falsas alarmas repetidas, cuadrillas y población atienden menos las alertas siguientes y la protección efectiva baja.</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V12→V15</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Las alertas inútiles generan fatiga de alarma y los municipios reducen o suspenden el uso del tablero.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V13→V14</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Más tiempo de aviso permite que más operarios y residentes adopten medidas de protección antes del impacto.</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V14→V15</w:t>
            </w:r>
          </w:p>
        </w:tc>
        <w:tc>
          <w:tcPr>
            <w:tcW w:w="664" w:type="dxa"/>
          </w:tcPr>
          <w:p>
            <w:pPr>
              <w:pStyle w:val="Tabla8"/>
              <w:jc w:val="left"/>
            </w:pPr>
            <w:r>
              <w:t xml:space="preserve">2</w:t>
            </w:r>
          </w:p>
        </w:tc>
        <w:tc>
          <w:tcPr>
            <w:tcW w:w="1078" w:type="dxa"/>
          </w:tcPr>
          <w:p>
            <w:pPr>
              <w:pStyle w:val="Tabla8"/>
              <w:jc w:val="left"/>
            </w:pPr>
            <w:r>
              <w:t xml:space="preserve">1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 protección demostrada de personas legitima el sistema ante las autoridades y sostiene su uso y su financiamiento.</w:t>
            </w:r>
          </w:p>
        </w:tc>
        <w:tc>
          <w:tcPr>
            <w:tcW w:w="2323" w:type="dxa"/>
          </w:tcPr>
          <w:p>
            <w:pPr>
              <w:pStyle w:val="Tabla8"/>
              <w:jc w:val="left"/>
            </w:pPr>
            <w:r>
              <w:t xml:space="preserve">(Equipo formulador, 2026; Ruiz-Carrascal et al., 2026)</w:t>
            </w:r>
          </w:p>
        </w:tc>
      </w:tr>
      <w:tr>
        <w:trPr>
          <w:cantSplit/>
        </w:trPr>
        <w:tc>
          <w:tcPr>
            <w:tcW w:w="1078" w:type="dxa"/>
            <w:shd w:val="clear" w:color="auto" w:fill="F7F7F7"/>
          </w:tcPr>
          <w:p>
            <w:pPr>
              <w:pStyle w:val="Tabla8"/>
              <w:jc w:val="left"/>
            </w:pPr>
            <w:r>
              <w:t xml:space="preserve">V15→V05</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Las autoridades que usan el tablero pueden ordenar rociado, reprogramación o pausas de obra que reducen el volumen removido.</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V15→V07</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Con presupuesto operativo de las alcaldías se sostienen científicos de datos y ciclos de actualización de la calibración.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V15→V09</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adopción institucional legitima el gasto en cuadrillas de mantenimiento que reponen baterías y nodos, y sostiene la disponibilidad.</w:t>
            </w:r>
          </w:p>
        </w:tc>
        <w:tc>
          <w:tcPr>
            <w:tcW w:w="2323" w:type="dxa"/>
            <w:shd w:val="clear" w:color="auto" w:fill="F7F7F7"/>
          </w:tcPr>
          <w:p>
            <w:pPr>
              <w:pStyle w:val="Tabla8"/>
              <w:jc w:val="left"/>
            </w:pPr>
            <w:r>
              <w:t xml:space="preserve">(Equipo formulador, 2026; Tavella et al., 2026)</w:t>
            </w:r>
          </w:p>
        </w:tc>
      </w:tr>
      <w:tr>
        <w:trPr>
          <w:cantSplit/>
        </w:trPr>
        <w:tc>
          <w:tcPr>
            <w:tcW w:w="1078" w:type="dxa"/>
          </w:tcPr>
          <w:p>
            <w:pPr>
              <w:pStyle w:val="Tabla8"/>
              <w:jc w:val="left"/>
            </w:pPr>
            <w:r>
              <w:t xml:space="preserve">V15→V10</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Las entidades que adoptan el sistema pueden financiar nodos adicionales y ampliar la resolución del gemelo.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keepNext/>
              <w:jc w:val="left"/>
            </w:pPr>
            <w:r>
              <w:t xml:space="preserve">V15→V14</w:t>
            </w:r>
          </w:p>
        </w:tc>
        <w:tc>
          <w:tcPr>
            <w:tcW w:w="664" w:type="dxa"/>
            <w:shd w:val="clear" w:color="auto" w:fill="F7F7F7"/>
          </w:tcPr>
          <w:p>
            <w:pPr>
              <w:pStyle w:val="Tabla8"/>
              <w:keepNext/>
              <w:jc w:val="left"/>
            </w:pPr>
            <w:r>
              <w:t xml:space="preserve">2</w:t>
            </w:r>
          </w:p>
        </w:tc>
        <w:tc>
          <w:tcPr>
            <w:tcW w:w="1078" w:type="dxa"/>
            <w:shd w:val="clear" w:color="auto" w:fill="F7F7F7"/>
          </w:tcPr>
          <w:p>
            <w:pPr>
              <w:pStyle w:val="Tabla8"/>
              <w:keepNext/>
              <w:jc w:val="left"/>
            </w:pPr>
            <w:r>
              <w:t xml:space="preserve">1 a 3</w:t>
            </w:r>
          </w:p>
        </w:tc>
        <w:tc>
          <w:tcPr>
            <w:tcW w:w="995" w:type="dxa"/>
            <w:shd w:val="clear" w:color="auto" w:fill="F7F7F7"/>
          </w:tcPr>
          <w:p>
            <w:pPr>
              <w:pStyle w:val="Tabla8"/>
              <w:keepNext/>
              <w:jc w:val="left"/>
            </w:pPr>
            <w:r>
              <w:t xml:space="preserve">+</w:t>
            </w:r>
          </w:p>
        </w:tc>
        <w:tc>
          <w:tcPr>
            <w:tcW w:w="1244" w:type="dxa"/>
            <w:shd w:val="clear" w:color="auto" w:fill="F7F7F7"/>
          </w:tcPr>
          <w:p>
            <w:pPr>
              <w:pStyle w:val="Tabla8"/>
              <w:keepNext/>
              <w:jc w:val="left"/>
            </w:pPr>
            <w:r>
              <w:t xml:space="preserve">Media</w:t>
            </w:r>
          </w:p>
        </w:tc>
        <w:tc>
          <w:tcPr>
            <w:tcW w:w="2572" w:type="dxa"/>
            <w:shd w:val="clear" w:color="auto" w:fill="F7F7F7"/>
          </w:tcPr>
          <w:p>
            <w:pPr>
              <w:pStyle w:val="Tabla8"/>
              <w:keepNext/>
              <w:jc w:val="left"/>
            </w:pPr>
            <w:r>
              <w:t xml:space="preserve">Las instituciones que usan el tablero ejecutan protocolos en el Puesto de Mando Unificado y difunden alertas a cuadrillas y comunidades. Sin ese uso el índice no llega a las personas.</w:t>
            </w:r>
          </w:p>
        </w:tc>
        <w:tc>
          <w:tcPr>
            <w:tcW w:w="2323" w:type="dxa"/>
            <w:shd w:val="clear" w:color="auto" w:fill="F7F7F7"/>
          </w:tcPr>
          <w:p>
            <w:pPr>
              <w:pStyle w:val="Tabla8"/>
              <w:keepNext/>
              <w:jc w:val="left"/>
            </w:pPr>
            <w:r>
              <w:t xml:space="preserve">Razonamiento del equipo formulador</w:t>
            </w:r>
          </w:p>
        </w:tc>
      </w:tr>
    </w:tbl>
    <w:p>
      <w:pPr>
        <w:pStyle w:val="TablaNota"/>
      </w:pPr>
      <w:r>
        <w:rPr>
          <w:i/>
          <w:iCs/>
        </w:rPr>
        <w:t xml:space="preserve">Nota.</w:t>
      </w:r>
      <w:r>
        <w:t xml:space="preserve"> </w:t>
      </w:r>
      <w:r>
        <w:t xml:space="preserve">Elaboración propia con las fichas bidireccionales. El dominio es el conjunto de valores que el equipo formulador considera admisibles. Los 162 pares restantes tienen peso 0, con la razón de ausencia o de mediación declarada en la ficha. Todos los valores son hipótesis de influencia estructural.</w:t>
      </w:r>
    </w:p>
    <w:bookmarkEnd w:id="40"/>
    <w:bookmarkEnd w:id="41"/>
    <w:bookmarkStart w:id="49" w:name="a.5.-análisis-de-micmac"/>
    <w:p>
      <w:pPr>
        <w:pStyle w:val="Heading2"/>
      </w:pPr>
      <w:r>
        <w:t xml:space="preserve">A.5. Análisis de MICMAC</w:t>
      </w:r>
    </w:p>
    <w:p>
      <w:pPr>
        <w:pStyle w:val="FirstParagraph"/>
      </w:pPr>
      <w:r>
        <w:t xml:space="preserve">El método MICMAC eleva la matriz de influencia directa a potencias sucesivas (Godet, 2001). La potencia de orden k suma las influencias que viajan por recorridos de k vínculos. Así revela influencias indirectas que la matriz directa no muestra. Los recorridos miden longitud de caminos y no tiempo ni efectos causales.</w:t>
      </w:r>
    </w:p>
    <w:p>
      <w:pPr>
        <w:pStyle w:val="BodyText"/>
      </w:pPr>
      <w:r>
        <w:t xml:space="preserve">El cálculo usa la misma matriz que el análisis de Vester dentro de cada escenario. No se puntúa de nuevo ni se completa por transitividad. Se calcularon las potencias exactas hasta k = 10. Una segunda implementación en hoja de cálculo reproduce las potencias de A¹ a A⁶ en S0, S1 y S2. Cinco permutaciones simultáneas de filas y columnas dan resultados idénticos.</w:t>
      </w:r>
    </w:p>
    <w:bookmarkStart w:id="45" w:name="a.5.1-influencia-indirecta-en-s2"/>
    <w:p>
      <w:pPr>
        <w:pStyle w:val="Heading3"/>
      </w:pPr>
      <w:r>
        <w:t xml:space="preserve">A.5.1 Influencia indirecta en S2</w:t>
      </w:r>
    </w:p>
    <w:p>
      <w:pPr>
        <w:pStyle w:val="FirstParagraph"/>
      </w:pPr>
      <w:r>
        <w:t xml:space="preserve">La Figura A.4 compara los rangos directos con los indirectos de A¹⁰ en S2, y la Tabla A.14 da los valores y la clase indirecta. Las cinco primeras posiciones de influencia indirecta son V05, V04, V03, V02 y V06. V03 y V05 ganan 3,5 y 3 posiciones frente a la lectura directa. V06 y V15 pierden 3,5 y 2. En dependencia indirecta, V15 pasa del rango 5 al 1.</w:t>
      </w:r>
    </w:p>
    <w:p>
      <w:pPr>
        <w:pStyle w:val="FiguraRotulo"/>
      </w:pPr>
      <w:bookmarkStart w:id="9035" w:name="rot_Figura_A_4"/>
      <w:r>
        <w:rPr>
          <w:b/>
          <w:bCs/>
        </w:rPr>
        <w:t xml:space="preserve">Figura A.4</w:t>
      </w:r>
      <w:bookmarkEnd w:id="9035"/>
    </w:p>
    <w:p>
      <w:pPr>
        <w:pStyle w:val="FiguraTitulo"/>
      </w:pPr>
      <w:r>
        <w:rPr>
          <w:i/>
          <w:iCs/>
        </w:rPr>
        <w:t xml:space="preserve">Al considerar recorridos largos, V05 y V03 ganan posiciones de influencia y V06 y V15 las pierden</w:t>
      </w:r>
    </w:p>
    <w:p>
      <w:pPr>
        <w:pStyle w:val="BodyText"/>
      </w:pPr>
      <w:r>
        <w:drawing>
          <wp:inline>
            <wp:extent cx="5579999" cy="4408199"/>
            <wp:effectExtent b="0" l="0" r="0" t="0"/>
            <wp:docPr descr="" title="" id="43" name="Picture"/>
            <a:graphic>
              <a:graphicData uri="http://schemas.openxmlformats.org/drawingml/2006/picture">
                <pic:pic>
                  <pic:nvPicPr>
                    <pic:cNvPr descr="/tmp/claude-0/-home-user-docs/8ca5c040-2adb-56b3-8e64-05d4e7e569ed/scratchpad/a2/figs/out/cA_f03.png" id="44" name="Picture"/>
                    <pic:cNvPicPr>
                      <a:picLocks noChangeArrowheads="1" noChangeAspect="1"/>
                    </pic:cNvPicPr>
                  </pic:nvPicPr>
                  <pic:blipFill>
                    <a:blip r:embed="rId42"/>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potencias A¹ y A¹⁰ de S2. El rango 1 corresponde a la mayor influencia. Los empates comparten el promedio de sus posiciones. Software: Python 3 y matplotlib.</w:t>
      </w:r>
    </w:p>
    <w:p>
      <w:pPr>
        <w:pStyle w:val="TablaRotulo"/>
      </w:pPr>
      <w:bookmarkStart w:id="9014" w:name="rot_Tabla_A_14"/>
      <w:r>
        <w:rPr>
          <w:b/>
          <w:bCs/>
        </w:rPr>
        <w:t xml:space="preserve">Tabla A.14</w:t>
      </w:r>
      <w:bookmarkEnd w:id="9014"/>
    </w:p>
    <w:p>
      <w:pPr>
        <w:pStyle w:val="TablaTitulo"/>
      </w:pPr>
      <w:r>
        <w:rPr>
          <w:i/>
          <w:iCs/>
        </w:rPr>
        <w:t xml:space="preserve">Rangos directos e indirectos (A¹⁰) de influencia y dependencia en el escenario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1244"/>
        <w:gridCol w:w="1410"/>
        <w:gridCol w:w="1161"/>
        <w:gridCol w:w="1244"/>
        <w:gridCol w:w="1493"/>
        <w:gridCol w:w="1161"/>
        <w:gridCol w:w="1577"/>
      </w:tblGrid>
      <w:tr>
        <w:trPr>
          <w:cantSplit/>
          <w:tblHeader w:val="true"/>
          <w:tblHeader/>
        </w:trPr>
        <w:tc>
          <w:tcPr>
            <w:tcW w:w="664" w:type="dxa"/>
            <w:tcBorders>
              <w:bottom w:val="single" w:sz="12" w:space="0" w:color="6699CC"/>
            </w:tcBorders>
            <w:shd w:val="clear" w:color="auto" w:fill="B9D9EB"/>
          </w:tcPr>
          <w:p>
            <w:pPr>
              <w:pStyle w:val="Tabla8"/>
              <w:keepNext/>
              <w:jc w:val="left"/>
            </w:pPr>
            <w:r>
              <w:rPr>
                <w:b/>
              </w:rPr>
              <w:t xml:space="preserve">ID</w:t>
            </w:r>
          </w:p>
        </w:tc>
        <w:tc>
          <w:tcPr>
            <w:tcW w:w="1244" w:type="dxa"/>
            <w:tcBorders>
              <w:bottom w:val="single" w:sz="12" w:space="0" w:color="6699CC"/>
            </w:tcBorders>
            <w:shd w:val="clear" w:color="auto" w:fill="B9D9EB"/>
          </w:tcPr>
          <w:p>
            <w:pPr>
              <w:pStyle w:val="Tabla8"/>
              <w:keepNext/>
              <w:jc w:val="left"/>
            </w:pPr>
            <w:r>
              <w:rPr>
                <w:b/>
              </w:rPr>
              <w:t xml:space="preserve">Rango I directo</w:t>
            </w:r>
          </w:p>
        </w:tc>
        <w:tc>
          <w:tcPr>
            <w:tcW w:w="1410" w:type="dxa"/>
            <w:tcBorders>
              <w:bottom w:val="single" w:sz="12" w:space="0" w:color="6699CC"/>
            </w:tcBorders>
            <w:shd w:val="clear" w:color="auto" w:fill="B9D9EB"/>
          </w:tcPr>
          <w:p>
            <w:pPr>
              <w:pStyle w:val="Tabla8"/>
              <w:keepNext/>
              <w:jc w:val="left"/>
            </w:pPr>
            <w:r>
              <w:rPr>
                <w:b/>
              </w:rPr>
              <w:t xml:space="preserve">Rango I indirecto</w:t>
            </w:r>
          </w:p>
        </w:tc>
        <w:tc>
          <w:tcPr>
            <w:tcW w:w="1161" w:type="dxa"/>
            <w:tcBorders>
              <w:bottom w:val="single" w:sz="12" w:space="0" w:color="6699CC"/>
            </w:tcBorders>
            <w:shd w:val="clear" w:color="auto" w:fill="B9D9EB"/>
          </w:tcPr>
          <w:p>
            <w:pPr>
              <w:pStyle w:val="Tabla8"/>
              <w:keepNext/>
              <w:jc w:val="left"/>
            </w:pPr>
            <w:r>
              <w:rPr>
                <w:b/>
              </w:rPr>
              <w:t xml:space="preserve">Ascenso I</w:t>
            </w:r>
          </w:p>
        </w:tc>
        <w:tc>
          <w:tcPr>
            <w:tcW w:w="1244" w:type="dxa"/>
            <w:tcBorders>
              <w:bottom w:val="single" w:sz="12" w:space="0" w:color="6699CC"/>
            </w:tcBorders>
            <w:shd w:val="clear" w:color="auto" w:fill="B9D9EB"/>
          </w:tcPr>
          <w:p>
            <w:pPr>
              <w:pStyle w:val="Tabla8"/>
              <w:keepNext/>
              <w:jc w:val="left"/>
            </w:pPr>
            <w:r>
              <w:rPr>
                <w:b/>
              </w:rPr>
              <w:t xml:space="preserve">Rango D directo</w:t>
            </w:r>
          </w:p>
        </w:tc>
        <w:tc>
          <w:tcPr>
            <w:tcW w:w="1493" w:type="dxa"/>
            <w:tcBorders>
              <w:bottom w:val="single" w:sz="12" w:space="0" w:color="6699CC"/>
            </w:tcBorders>
            <w:shd w:val="clear" w:color="auto" w:fill="B9D9EB"/>
          </w:tcPr>
          <w:p>
            <w:pPr>
              <w:pStyle w:val="Tabla8"/>
              <w:keepNext/>
              <w:jc w:val="left"/>
            </w:pPr>
            <w:r>
              <w:rPr>
                <w:b/>
              </w:rPr>
              <w:t xml:space="preserve">Rango D indirecto</w:t>
            </w:r>
          </w:p>
        </w:tc>
        <w:tc>
          <w:tcPr>
            <w:tcW w:w="1161" w:type="dxa"/>
            <w:tcBorders>
              <w:bottom w:val="single" w:sz="12" w:space="0" w:color="6699CC"/>
            </w:tcBorders>
            <w:shd w:val="clear" w:color="auto" w:fill="B9D9EB"/>
          </w:tcPr>
          <w:p>
            <w:pPr>
              <w:pStyle w:val="Tabla8"/>
              <w:keepNext/>
              <w:jc w:val="left"/>
            </w:pPr>
            <w:r>
              <w:rPr>
                <w:b/>
              </w:rPr>
              <w:t xml:space="preserve">Ascenso D</w:t>
            </w:r>
          </w:p>
        </w:tc>
        <w:tc>
          <w:tcPr>
            <w:tcW w:w="1577" w:type="dxa"/>
            <w:tcBorders>
              <w:bottom w:val="single" w:sz="12" w:space="0" w:color="6699CC"/>
            </w:tcBorders>
            <w:shd w:val="clear" w:color="auto" w:fill="B9D9EB"/>
          </w:tcPr>
          <w:p>
            <w:pPr>
              <w:pStyle w:val="Tabla8"/>
              <w:keepNext/>
              <w:jc w:val="left"/>
            </w:pPr>
            <w:r>
              <w:rPr>
                <w:b/>
              </w:rPr>
              <w:t xml:space="preserve">Clase indirecta</w:t>
            </w:r>
          </w:p>
        </w:tc>
      </w:tr>
      <w:tr>
        <w:trPr>
          <w:cantSplit/>
        </w:trPr>
        <w:tc>
          <w:tcPr>
            <w:tcW w:w="664" w:type="dxa"/>
          </w:tcPr>
          <w:p>
            <w:pPr>
              <w:pStyle w:val="Tabla8"/>
              <w:jc w:val="left"/>
            </w:pPr>
            <w:r>
              <w:t xml:space="preserve">V01</w:t>
            </w:r>
          </w:p>
        </w:tc>
        <w:tc>
          <w:tcPr>
            <w:tcW w:w="1244" w:type="dxa"/>
          </w:tcPr>
          <w:p>
            <w:pPr>
              <w:pStyle w:val="Tabla8"/>
              <w:jc w:val="left"/>
            </w:pPr>
            <w:r>
              <w:t xml:space="preserve">6,5</w:t>
            </w:r>
          </w:p>
        </w:tc>
        <w:tc>
          <w:tcPr>
            <w:tcW w:w="1410" w:type="dxa"/>
          </w:tcPr>
          <w:p>
            <w:pPr>
              <w:pStyle w:val="Tabla8"/>
              <w:jc w:val="left"/>
            </w:pPr>
            <w:r>
              <w:t xml:space="preserve">7</w:t>
            </w:r>
          </w:p>
        </w:tc>
        <w:tc>
          <w:tcPr>
            <w:tcW w:w="1161" w:type="dxa"/>
          </w:tcPr>
          <w:p>
            <w:pPr>
              <w:pStyle w:val="Tabla8"/>
              <w:jc w:val="left"/>
            </w:pPr>
            <w:r>
              <w:t xml:space="preserve">−0,5</w:t>
            </w:r>
          </w:p>
        </w:tc>
        <w:tc>
          <w:tcPr>
            <w:tcW w:w="1244" w:type="dxa"/>
          </w:tcPr>
          <w:p>
            <w:pPr>
              <w:pStyle w:val="Tabla8"/>
              <w:jc w:val="left"/>
            </w:pPr>
            <w:r>
              <w:t xml:space="preserve">7,5</w:t>
            </w:r>
          </w:p>
        </w:tc>
        <w:tc>
          <w:tcPr>
            <w:tcW w:w="1493" w:type="dxa"/>
          </w:tcPr>
          <w:p>
            <w:pPr>
              <w:pStyle w:val="Tabla8"/>
              <w:jc w:val="left"/>
            </w:pPr>
            <w:r>
              <w:t xml:space="preserve">12</w:t>
            </w:r>
          </w:p>
        </w:tc>
        <w:tc>
          <w:tcPr>
            <w:tcW w:w="1161" w:type="dxa"/>
          </w:tcPr>
          <w:p>
            <w:pPr>
              <w:pStyle w:val="Tabla8"/>
              <w:jc w:val="left"/>
            </w:pPr>
            <w:r>
              <w:t xml:space="preserve">−4,5</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V02</w:t>
            </w:r>
          </w:p>
        </w:tc>
        <w:tc>
          <w:tcPr>
            <w:tcW w:w="1244" w:type="dxa"/>
            <w:shd w:val="clear" w:color="auto" w:fill="F7F7F7"/>
          </w:tcPr>
          <w:p>
            <w:pPr>
              <w:pStyle w:val="Tabla8"/>
              <w:jc w:val="left"/>
            </w:pPr>
            <w:r>
              <w:t xml:space="preserve">4</w:t>
            </w:r>
          </w:p>
        </w:tc>
        <w:tc>
          <w:tcPr>
            <w:tcW w:w="1410" w:type="dxa"/>
            <w:shd w:val="clear" w:color="auto" w:fill="F7F7F7"/>
          </w:tcPr>
          <w:p>
            <w:pPr>
              <w:pStyle w:val="Tabla8"/>
              <w:jc w:val="left"/>
            </w:pPr>
            <w:r>
              <w:t xml:space="preserve">4</w:t>
            </w:r>
          </w:p>
        </w:tc>
        <w:tc>
          <w:tcPr>
            <w:tcW w:w="1161" w:type="dxa"/>
            <w:shd w:val="clear" w:color="auto" w:fill="F7F7F7"/>
          </w:tcPr>
          <w:p>
            <w:pPr>
              <w:pStyle w:val="Tabla8"/>
              <w:jc w:val="left"/>
            </w:pPr>
            <w:r>
              <w:t xml:space="preserve">0</w:t>
            </w:r>
          </w:p>
        </w:tc>
        <w:tc>
          <w:tcPr>
            <w:tcW w:w="1244" w:type="dxa"/>
            <w:shd w:val="clear" w:color="auto" w:fill="F7F7F7"/>
          </w:tcPr>
          <w:p>
            <w:pPr>
              <w:pStyle w:val="Tabla8"/>
              <w:jc w:val="left"/>
            </w:pPr>
            <w:r>
              <w:t xml:space="preserve">6</w:t>
            </w:r>
          </w:p>
        </w:tc>
        <w:tc>
          <w:tcPr>
            <w:tcW w:w="1493" w:type="dxa"/>
            <w:shd w:val="clear" w:color="auto" w:fill="F7F7F7"/>
          </w:tcPr>
          <w:p>
            <w:pPr>
              <w:pStyle w:val="Tabla8"/>
              <w:jc w:val="left"/>
            </w:pPr>
            <w:r>
              <w:t xml:space="preserve">11</w:t>
            </w:r>
          </w:p>
        </w:tc>
        <w:tc>
          <w:tcPr>
            <w:tcW w:w="1161" w:type="dxa"/>
            <w:shd w:val="clear" w:color="auto" w:fill="F7F7F7"/>
          </w:tcPr>
          <w:p>
            <w:pPr>
              <w:pStyle w:val="Tabla8"/>
              <w:jc w:val="left"/>
            </w:pPr>
            <w:r>
              <w:t xml:space="preserve">−5</w:t>
            </w:r>
          </w:p>
        </w:tc>
        <w:tc>
          <w:tcPr>
            <w:tcW w:w="1577" w:type="dxa"/>
            <w:shd w:val="clear" w:color="auto" w:fill="F7F7F7"/>
          </w:tcPr>
          <w:p>
            <w:pPr>
              <w:pStyle w:val="Tabla8"/>
              <w:jc w:val="left"/>
            </w:pPr>
            <w:r>
              <w:t xml:space="preserve">Activa</w:t>
            </w:r>
          </w:p>
        </w:tc>
      </w:tr>
      <w:tr>
        <w:trPr>
          <w:cantSplit/>
        </w:trPr>
        <w:tc>
          <w:tcPr>
            <w:tcW w:w="664" w:type="dxa"/>
          </w:tcPr>
          <w:p>
            <w:pPr>
              <w:pStyle w:val="Tabla8"/>
              <w:jc w:val="left"/>
            </w:pPr>
            <w:r>
              <w:t xml:space="preserve">V03</w:t>
            </w:r>
          </w:p>
        </w:tc>
        <w:tc>
          <w:tcPr>
            <w:tcW w:w="1244" w:type="dxa"/>
          </w:tcPr>
          <w:p>
            <w:pPr>
              <w:pStyle w:val="Tabla8"/>
              <w:jc w:val="left"/>
            </w:pPr>
            <w:r>
              <w:t xml:space="preserve">6,5</w:t>
            </w:r>
          </w:p>
        </w:tc>
        <w:tc>
          <w:tcPr>
            <w:tcW w:w="1410" w:type="dxa"/>
          </w:tcPr>
          <w:p>
            <w:pPr>
              <w:pStyle w:val="Tabla8"/>
              <w:jc w:val="left"/>
            </w:pPr>
            <w:r>
              <w:t xml:space="preserve">3</w:t>
            </w:r>
          </w:p>
        </w:tc>
        <w:tc>
          <w:tcPr>
            <w:tcW w:w="1161" w:type="dxa"/>
          </w:tcPr>
          <w:p>
            <w:pPr>
              <w:pStyle w:val="Tabla8"/>
              <w:jc w:val="left"/>
            </w:pPr>
            <w:r>
              <w:t xml:space="preserve">3,5</w:t>
            </w:r>
          </w:p>
        </w:tc>
        <w:tc>
          <w:tcPr>
            <w:tcW w:w="1244" w:type="dxa"/>
          </w:tcPr>
          <w:p>
            <w:pPr>
              <w:pStyle w:val="Tabla8"/>
              <w:jc w:val="left"/>
            </w:pPr>
            <w:r>
              <w:t xml:space="preserve">14,5</w:t>
            </w:r>
          </w:p>
        </w:tc>
        <w:tc>
          <w:tcPr>
            <w:tcW w:w="1493" w:type="dxa"/>
          </w:tcPr>
          <w:p>
            <w:pPr>
              <w:pStyle w:val="Tabla8"/>
              <w:jc w:val="left"/>
            </w:pPr>
            <w:r>
              <w:t xml:space="preserve">14,5</w:t>
            </w:r>
          </w:p>
        </w:tc>
        <w:tc>
          <w:tcPr>
            <w:tcW w:w="1161" w:type="dxa"/>
          </w:tcPr>
          <w:p>
            <w:pPr>
              <w:pStyle w:val="Tabla8"/>
              <w:jc w:val="left"/>
            </w:pPr>
            <w:r>
              <w:t xml:space="preserve">0</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V04</w:t>
            </w:r>
          </w:p>
        </w:tc>
        <w:tc>
          <w:tcPr>
            <w:tcW w:w="1244" w:type="dxa"/>
            <w:shd w:val="clear" w:color="auto" w:fill="F7F7F7"/>
          </w:tcPr>
          <w:p>
            <w:pPr>
              <w:pStyle w:val="Tabla8"/>
              <w:jc w:val="left"/>
            </w:pPr>
            <w:r>
              <w:t xml:space="preserve">1,5</w:t>
            </w:r>
          </w:p>
        </w:tc>
        <w:tc>
          <w:tcPr>
            <w:tcW w:w="1410" w:type="dxa"/>
            <w:shd w:val="clear" w:color="auto" w:fill="F7F7F7"/>
          </w:tcPr>
          <w:p>
            <w:pPr>
              <w:pStyle w:val="Tabla8"/>
              <w:jc w:val="left"/>
            </w:pPr>
            <w:r>
              <w:t xml:space="preserve">2</w:t>
            </w:r>
          </w:p>
        </w:tc>
        <w:tc>
          <w:tcPr>
            <w:tcW w:w="1161" w:type="dxa"/>
            <w:shd w:val="clear" w:color="auto" w:fill="F7F7F7"/>
          </w:tcPr>
          <w:p>
            <w:pPr>
              <w:pStyle w:val="Tabla8"/>
              <w:jc w:val="left"/>
            </w:pPr>
            <w:r>
              <w:t xml:space="preserve">−0,5</w:t>
            </w:r>
          </w:p>
        </w:tc>
        <w:tc>
          <w:tcPr>
            <w:tcW w:w="1244" w:type="dxa"/>
            <w:shd w:val="clear" w:color="auto" w:fill="F7F7F7"/>
          </w:tcPr>
          <w:p>
            <w:pPr>
              <w:pStyle w:val="Tabla8"/>
              <w:jc w:val="left"/>
            </w:pPr>
            <w:r>
              <w:t xml:space="preserve">14,5</w:t>
            </w:r>
          </w:p>
        </w:tc>
        <w:tc>
          <w:tcPr>
            <w:tcW w:w="1493" w:type="dxa"/>
            <w:shd w:val="clear" w:color="auto" w:fill="F7F7F7"/>
          </w:tcPr>
          <w:p>
            <w:pPr>
              <w:pStyle w:val="Tabla8"/>
              <w:jc w:val="left"/>
            </w:pPr>
            <w:r>
              <w:t xml:space="preserve">14,5</w:t>
            </w:r>
          </w:p>
        </w:tc>
        <w:tc>
          <w:tcPr>
            <w:tcW w:w="1161" w:type="dxa"/>
            <w:shd w:val="clear" w:color="auto" w:fill="F7F7F7"/>
          </w:tcPr>
          <w:p>
            <w:pPr>
              <w:pStyle w:val="Tabla8"/>
              <w:jc w:val="left"/>
            </w:pPr>
            <w:r>
              <w:t xml:space="preserve">0</w:t>
            </w:r>
          </w:p>
        </w:tc>
        <w:tc>
          <w:tcPr>
            <w:tcW w:w="1577" w:type="dxa"/>
            <w:shd w:val="clear" w:color="auto" w:fill="F7F7F7"/>
          </w:tcPr>
          <w:p>
            <w:pPr>
              <w:pStyle w:val="Tabla8"/>
              <w:jc w:val="left"/>
            </w:pPr>
            <w:r>
              <w:t xml:space="preserve">Activa</w:t>
            </w:r>
          </w:p>
        </w:tc>
      </w:tr>
      <w:tr>
        <w:trPr>
          <w:cantSplit/>
        </w:trPr>
        <w:tc>
          <w:tcPr>
            <w:tcW w:w="664" w:type="dxa"/>
          </w:tcPr>
          <w:p>
            <w:pPr>
              <w:pStyle w:val="Tabla8"/>
              <w:jc w:val="left"/>
            </w:pPr>
            <w:r>
              <w:t xml:space="preserve">V05</w:t>
            </w:r>
          </w:p>
        </w:tc>
        <w:tc>
          <w:tcPr>
            <w:tcW w:w="1244" w:type="dxa"/>
          </w:tcPr>
          <w:p>
            <w:pPr>
              <w:pStyle w:val="Tabla8"/>
              <w:jc w:val="left"/>
            </w:pPr>
            <w:r>
              <w:t xml:space="preserve">4</w:t>
            </w:r>
          </w:p>
        </w:tc>
        <w:tc>
          <w:tcPr>
            <w:tcW w:w="1410" w:type="dxa"/>
          </w:tcPr>
          <w:p>
            <w:pPr>
              <w:pStyle w:val="Tabla8"/>
              <w:jc w:val="left"/>
            </w:pPr>
            <w:r>
              <w:t xml:space="preserve">1</w:t>
            </w:r>
          </w:p>
        </w:tc>
        <w:tc>
          <w:tcPr>
            <w:tcW w:w="1161" w:type="dxa"/>
          </w:tcPr>
          <w:p>
            <w:pPr>
              <w:pStyle w:val="Tabla8"/>
              <w:jc w:val="left"/>
            </w:pPr>
            <w:r>
              <w:t xml:space="preserve">3</w:t>
            </w:r>
          </w:p>
        </w:tc>
        <w:tc>
          <w:tcPr>
            <w:tcW w:w="1244" w:type="dxa"/>
          </w:tcPr>
          <w:p>
            <w:pPr>
              <w:pStyle w:val="Tabla8"/>
              <w:jc w:val="left"/>
            </w:pPr>
            <w:r>
              <w:t xml:space="preserve">13</w:t>
            </w:r>
          </w:p>
        </w:tc>
        <w:tc>
          <w:tcPr>
            <w:tcW w:w="1493" w:type="dxa"/>
          </w:tcPr>
          <w:p>
            <w:pPr>
              <w:pStyle w:val="Tabla8"/>
              <w:jc w:val="left"/>
            </w:pPr>
            <w:r>
              <w:t xml:space="preserve">9</w:t>
            </w:r>
          </w:p>
        </w:tc>
        <w:tc>
          <w:tcPr>
            <w:tcW w:w="1161" w:type="dxa"/>
          </w:tcPr>
          <w:p>
            <w:pPr>
              <w:pStyle w:val="Tabla8"/>
              <w:jc w:val="left"/>
            </w:pPr>
            <w:r>
              <w:t xml:space="preserve">4</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V06</w:t>
            </w:r>
          </w:p>
        </w:tc>
        <w:tc>
          <w:tcPr>
            <w:tcW w:w="1244" w:type="dxa"/>
            <w:shd w:val="clear" w:color="auto" w:fill="F7F7F7"/>
          </w:tcPr>
          <w:p>
            <w:pPr>
              <w:pStyle w:val="Tabla8"/>
              <w:jc w:val="left"/>
            </w:pPr>
            <w:r>
              <w:t xml:space="preserve">1,5</w:t>
            </w:r>
          </w:p>
        </w:tc>
        <w:tc>
          <w:tcPr>
            <w:tcW w:w="1410" w:type="dxa"/>
            <w:shd w:val="clear" w:color="auto" w:fill="F7F7F7"/>
          </w:tcPr>
          <w:p>
            <w:pPr>
              <w:pStyle w:val="Tabla8"/>
              <w:jc w:val="left"/>
            </w:pPr>
            <w:r>
              <w:t xml:space="preserve">5</w:t>
            </w:r>
          </w:p>
        </w:tc>
        <w:tc>
          <w:tcPr>
            <w:tcW w:w="1161" w:type="dxa"/>
            <w:shd w:val="clear" w:color="auto" w:fill="F7F7F7"/>
          </w:tcPr>
          <w:p>
            <w:pPr>
              <w:pStyle w:val="Tabla8"/>
              <w:jc w:val="left"/>
            </w:pPr>
            <w:r>
              <w:t xml:space="preserve">−3,5</w:t>
            </w:r>
          </w:p>
        </w:tc>
        <w:tc>
          <w:tcPr>
            <w:tcW w:w="1244" w:type="dxa"/>
            <w:shd w:val="clear" w:color="auto" w:fill="F7F7F7"/>
          </w:tcPr>
          <w:p>
            <w:pPr>
              <w:pStyle w:val="Tabla8"/>
              <w:jc w:val="left"/>
            </w:pPr>
            <w:r>
              <w:t xml:space="preserve">1</w:t>
            </w:r>
          </w:p>
        </w:tc>
        <w:tc>
          <w:tcPr>
            <w:tcW w:w="1493" w:type="dxa"/>
            <w:shd w:val="clear" w:color="auto" w:fill="F7F7F7"/>
          </w:tcPr>
          <w:p>
            <w:pPr>
              <w:pStyle w:val="Tabla8"/>
              <w:jc w:val="left"/>
            </w:pPr>
            <w:r>
              <w:t xml:space="preserve">7</w:t>
            </w:r>
          </w:p>
        </w:tc>
        <w:tc>
          <w:tcPr>
            <w:tcW w:w="1161" w:type="dxa"/>
            <w:shd w:val="clear" w:color="auto" w:fill="F7F7F7"/>
          </w:tcPr>
          <w:p>
            <w:pPr>
              <w:pStyle w:val="Tabla8"/>
              <w:jc w:val="left"/>
            </w:pPr>
            <w:r>
              <w:t xml:space="preserve">−6</w:t>
            </w:r>
          </w:p>
        </w:tc>
        <w:tc>
          <w:tcPr>
            <w:tcW w:w="1577" w:type="dxa"/>
            <w:shd w:val="clear" w:color="auto" w:fill="F7F7F7"/>
          </w:tcPr>
          <w:p>
            <w:pPr>
              <w:pStyle w:val="Tabla8"/>
              <w:jc w:val="left"/>
            </w:pPr>
            <w:r>
              <w:t xml:space="preserve">Crítica</w:t>
            </w:r>
          </w:p>
        </w:tc>
      </w:tr>
      <w:tr>
        <w:trPr>
          <w:cantSplit/>
        </w:trPr>
        <w:tc>
          <w:tcPr>
            <w:tcW w:w="664" w:type="dxa"/>
          </w:tcPr>
          <w:p>
            <w:pPr>
              <w:pStyle w:val="Tabla8"/>
              <w:jc w:val="left"/>
            </w:pPr>
            <w:r>
              <w:t xml:space="preserve">V07</w:t>
            </w:r>
          </w:p>
        </w:tc>
        <w:tc>
          <w:tcPr>
            <w:tcW w:w="1244" w:type="dxa"/>
          </w:tcPr>
          <w:p>
            <w:pPr>
              <w:pStyle w:val="Tabla8"/>
              <w:jc w:val="left"/>
            </w:pPr>
            <w:r>
              <w:t xml:space="preserve">9</w:t>
            </w:r>
          </w:p>
        </w:tc>
        <w:tc>
          <w:tcPr>
            <w:tcW w:w="1410" w:type="dxa"/>
          </w:tcPr>
          <w:p>
            <w:pPr>
              <w:pStyle w:val="Tabla8"/>
              <w:jc w:val="left"/>
            </w:pPr>
            <w:r>
              <w:t xml:space="preserve">8</w:t>
            </w:r>
          </w:p>
        </w:tc>
        <w:tc>
          <w:tcPr>
            <w:tcW w:w="1161" w:type="dxa"/>
          </w:tcPr>
          <w:p>
            <w:pPr>
              <w:pStyle w:val="Tabla8"/>
              <w:jc w:val="left"/>
            </w:pPr>
            <w:r>
              <w:t xml:space="preserve">1</w:t>
            </w:r>
          </w:p>
        </w:tc>
        <w:tc>
          <w:tcPr>
            <w:tcW w:w="1244" w:type="dxa"/>
          </w:tcPr>
          <w:p>
            <w:pPr>
              <w:pStyle w:val="Tabla8"/>
              <w:jc w:val="left"/>
            </w:pPr>
            <w:r>
              <w:t xml:space="preserve">11,5</w:t>
            </w:r>
          </w:p>
        </w:tc>
        <w:tc>
          <w:tcPr>
            <w:tcW w:w="1493" w:type="dxa"/>
          </w:tcPr>
          <w:p>
            <w:pPr>
              <w:pStyle w:val="Tabla8"/>
              <w:jc w:val="left"/>
            </w:pPr>
            <w:r>
              <w:t xml:space="preserve">8</w:t>
            </w:r>
          </w:p>
        </w:tc>
        <w:tc>
          <w:tcPr>
            <w:tcW w:w="1161" w:type="dxa"/>
          </w:tcPr>
          <w:p>
            <w:pPr>
              <w:pStyle w:val="Tabla8"/>
              <w:jc w:val="left"/>
            </w:pPr>
            <w:r>
              <w:t xml:space="preserve">3,5</w:t>
            </w:r>
          </w:p>
        </w:tc>
        <w:tc>
          <w:tcPr>
            <w:tcW w:w="1577" w:type="dxa"/>
          </w:tcPr>
          <w:p>
            <w:pPr>
              <w:pStyle w:val="Tabla8"/>
              <w:jc w:val="left"/>
            </w:pPr>
            <w:r>
              <w:t xml:space="preserve">Frontera</w:t>
            </w:r>
          </w:p>
        </w:tc>
      </w:tr>
      <w:tr>
        <w:trPr>
          <w:cantSplit/>
        </w:trPr>
        <w:tc>
          <w:tcPr>
            <w:tcW w:w="664" w:type="dxa"/>
            <w:shd w:val="clear" w:color="auto" w:fill="F7F7F7"/>
          </w:tcPr>
          <w:p>
            <w:pPr>
              <w:pStyle w:val="Tabla8"/>
              <w:jc w:val="left"/>
            </w:pPr>
            <w:r>
              <w:t xml:space="preserve">V08</w:t>
            </w:r>
          </w:p>
        </w:tc>
        <w:tc>
          <w:tcPr>
            <w:tcW w:w="1244" w:type="dxa"/>
            <w:shd w:val="clear" w:color="auto" w:fill="F7F7F7"/>
          </w:tcPr>
          <w:p>
            <w:pPr>
              <w:pStyle w:val="Tabla8"/>
              <w:jc w:val="left"/>
            </w:pPr>
            <w:r>
              <w:t xml:space="preserve">14</w:t>
            </w:r>
          </w:p>
        </w:tc>
        <w:tc>
          <w:tcPr>
            <w:tcW w:w="1410" w:type="dxa"/>
            <w:shd w:val="clear" w:color="auto" w:fill="F7F7F7"/>
          </w:tcPr>
          <w:p>
            <w:pPr>
              <w:pStyle w:val="Tabla8"/>
              <w:jc w:val="left"/>
            </w:pPr>
            <w:r>
              <w:t xml:space="preserve">15</w:t>
            </w:r>
          </w:p>
        </w:tc>
        <w:tc>
          <w:tcPr>
            <w:tcW w:w="1161" w:type="dxa"/>
            <w:shd w:val="clear" w:color="auto" w:fill="F7F7F7"/>
          </w:tcPr>
          <w:p>
            <w:pPr>
              <w:pStyle w:val="Tabla8"/>
              <w:jc w:val="left"/>
            </w:pPr>
            <w:r>
              <w:t xml:space="preserve">−1</w:t>
            </w:r>
          </w:p>
        </w:tc>
        <w:tc>
          <w:tcPr>
            <w:tcW w:w="1244" w:type="dxa"/>
            <w:shd w:val="clear" w:color="auto" w:fill="F7F7F7"/>
          </w:tcPr>
          <w:p>
            <w:pPr>
              <w:pStyle w:val="Tabla8"/>
              <w:jc w:val="left"/>
            </w:pPr>
            <w:r>
              <w:t xml:space="preserve">11,5</w:t>
            </w:r>
          </w:p>
        </w:tc>
        <w:tc>
          <w:tcPr>
            <w:tcW w:w="1493" w:type="dxa"/>
            <w:shd w:val="clear" w:color="auto" w:fill="F7F7F7"/>
          </w:tcPr>
          <w:p>
            <w:pPr>
              <w:pStyle w:val="Tabla8"/>
              <w:jc w:val="left"/>
            </w:pPr>
            <w:r>
              <w:t xml:space="preserve">13</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Autónoma relativa</w:t>
            </w:r>
          </w:p>
        </w:tc>
      </w:tr>
      <w:tr>
        <w:trPr>
          <w:cantSplit/>
        </w:trPr>
        <w:tc>
          <w:tcPr>
            <w:tcW w:w="664" w:type="dxa"/>
          </w:tcPr>
          <w:p>
            <w:pPr>
              <w:pStyle w:val="Tabla8"/>
              <w:jc w:val="left"/>
            </w:pPr>
            <w:r>
              <w:t xml:space="preserve">V09</w:t>
            </w:r>
          </w:p>
        </w:tc>
        <w:tc>
          <w:tcPr>
            <w:tcW w:w="1244" w:type="dxa"/>
          </w:tcPr>
          <w:p>
            <w:pPr>
              <w:pStyle w:val="Tabla8"/>
              <w:jc w:val="left"/>
            </w:pPr>
            <w:r>
              <w:t xml:space="preserve">11,5</w:t>
            </w:r>
          </w:p>
        </w:tc>
        <w:tc>
          <w:tcPr>
            <w:tcW w:w="1410" w:type="dxa"/>
          </w:tcPr>
          <w:p>
            <w:pPr>
              <w:pStyle w:val="Tabla8"/>
              <w:jc w:val="left"/>
            </w:pPr>
            <w:r>
              <w:t xml:space="preserve">12</w:t>
            </w:r>
          </w:p>
        </w:tc>
        <w:tc>
          <w:tcPr>
            <w:tcW w:w="1161" w:type="dxa"/>
          </w:tcPr>
          <w:p>
            <w:pPr>
              <w:pStyle w:val="Tabla8"/>
              <w:jc w:val="left"/>
            </w:pPr>
            <w:r>
              <w:t xml:space="preserve">−0,5</w:t>
            </w:r>
          </w:p>
        </w:tc>
        <w:tc>
          <w:tcPr>
            <w:tcW w:w="1244" w:type="dxa"/>
          </w:tcPr>
          <w:p>
            <w:pPr>
              <w:pStyle w:val="Tabla8"/>
              <w:jc w:val="left"/>
            </w:pPr>
            <w:r>
              <w:t xml:space="preserve">3,5</w:t>
            </w:r>
          </w:p>
        </w:tc>
        <w:tc>
          <w:tcPr>
            <w:tcW w:w="1493" w:type="dxa"/>
          </w:tcPr>
          <w:p>
            <w:pPr>
              <w:pStyle w:val="Tabla8"/>
              <w:jc w:val="left"/>
            </w:pPr>
            <w:r>
              <w:t xml:space="preserve">4</w:t>
            </w:r>
          </w:p>
        </w:tc>
        <w:tc>
          <w:tcPr>
            <w:tcW w:w="1161" w:type="dxa"/>
          </w:tcPr>
          <w:p>
            <w:pPr>
              <w:pStyle w:val="Tabla8"/>
              <w:jc w:val="left"/>
            </w:pPr>
            <w:r>
              <w:t xml:space="preserve">−0,5</w:t>
            </w:r>
          </w:p>
        </w:tc>
        <w:tc>
          <w:tcPr>
            <w:tcW w:w="1577" w:type="dxa"/>
          </w:tcPr>
          <w:p>
            <w:pPr>
              <w:pStyle w:val="Tabla8"/>
              <w:jc w:val="left"/>
            </w:pPr>
            <w:r>
              <w:t xml:space="preserve">Reactiva</w:t>
            </w:r>
          </w:p>
        </w:tc>
      </w:tr>
      <w:tr>
        <w:trPr>
          <w:cantSplit/>
        </w:trPr>
        <w:tc>
          <w:tcPr>
            <w:tcW w:w="664" w:type="dxa"/>
            <w:shd w:val="clear" w:color="auto" w:fill="F7F7F7"/>
          </w:tcPr>
          <w:p>
            <w:pPr>
              <w:pStyle w:val="Tabla8"/>
              <w:jc w:val="left"/>
            </w:pPr>
            <w:r>
              <w:t xml:space="preserve">V10</w:t>
            </w:r>
          </w:p>
        </w:tc>
        <w:tc>
          <w:tcPr>
            <w:tcW w:w="1244" w:type="dxa"/>
            <w:shd w:val="clear" w:color="auto" w:fill="F7F7F7"/>
          </w:tcPr>
          <w:p>
            <w:pPr>
              <w:pStyle w:val="Tabla8"/>
              <w:jc w:val="left"/>
            </w:pPr>
            <w:r>
              <w:t xml:space="preserve">9</w:t>
            </w:r>
          </w:p>
        </w:tc>
        <w:tc>
          <w:tcPr>
            <w:tcW w:w="1410" w:type="dxa"/>
            <w:shd w:val="clear" w:color="auto" w:fill="F7F7F7"/>
          </w:tcPr>
          <w:p>
            <w:pPr>
              <w:pStyle w:val="Tabla8"/>
              <w:jc w:val="left"/>
            </w:pPr>
            <w:r>
              <w:t xml:space="preserve">9</w:t>
            </w:r>
          </w:p>
        </w:tc>
        <w:tc>
          <w:tcPr>
            <w:tcW w:w="1161" w:type="dxa"/>
            <w:shd w:val="clear" w:color="auto" w:fill="F7F7F7"/>
          </w:tcPr>
          <w:p>
            <w:pPr>
              <w:pStyle w:val="Tabla8"/>
              <w:jc w:val="left"/>
            </w:pPr>
            <w:r>
              <w:t xml:space="preserve">0</w:t>
            </w:r>
          </w:p>
        </w:tc>
        <w:tc>
          <w:tcPr>
            <w:tcW w:w="1244" w:type="dxa"/>
            <w:shd w:val="clear" w:color="auto" w:fill="F7F7F7"/>
          </w:tcPr>
          <w:p>
            <w:pPr>
              <w:pStyle w:val="Tabla8"/>
              <w:jc w:val="left"/>
            </w:pPr>
            <w:r>
              <w:t xml:space="preserve">9,5</w:t>
            </w:r>
          </w:p>
        </w:tc>
        <w:tc>
          <w:tcPr>
            <w:tcW w:w="1493" w:type="dxa"/>
            <w:shd w:val="clear" w:color="auto" w:fill="F7F7F7"/>
          </w:tcPr>
          <w:p>
            <w:pPr>
              <w:pStyle w:val="Tabla8"/>
              <w:jc w:val="left"/>
            </w:pPr>
            <w:r>
              <w:t xml:space="preserve">5</w:t>
            </w:r>
          </w:p>
        </w:tc>
        <w:tc>
          <w:tcPr>
            <w:tcW w:w="1161" w:type="dxa"/>
            <w:shd w:val="clear" w:color="auto" w:fill="F7F7F7"/>
          </w:tcPr>
          <w:p>
            <w:pPr>
              <w:pStyle w:val="Tabla8"/>
              <w:jc w:val="left"/>
            </w:pPr>
            <w:r>
              <w:t xml:space="preserve">4,5</w:t>
            </w:r>
          </w:p>
        </w:tc>
        <w:tc>
          <w:tcPr>
            <w:tcW w:w="1577" w:type="dxa"/>
            <w:shd w:val="clear" w:color="auto" w:fill="F7F7F7"/>
          </w:tcPr>
          <w:p>
            <w:pPr>
              <w:pStyle w:val="Tabla8"/>
              <w:jc w:val="left"/>
            </w:pPr>
            <w:r>
              <w:t xml:space="preserve">Reactiva</w:t>
            </w:r>
          </w:p>
        </w:tc>
      </w:tr>
      <w:tr>
        <w:trPr>
          <w:cantSplit/>
        </w:trPr>
        <w:tc>
          <w:tcPr>
            <w:tcW w:w="664" w:type="dxa"/>
          </w:tcPr>
          <w:p>
            <w:pPr>
              <w:pStyle w:val="Tabla8"/>
              <w:jc w:val="left"/>
            </w:pPr>
            <w:r>
              <w:t xml:space="preserve">V11</w:t>
            </w:r>
          </w:p>
        </w:tc>
        <w:tc>
          <w:tcPr>
            <w:tcW w:w="1244" w:type="dxa"/>
          </w:tcPr>
          <w:p>
            <w:pPr>
              <w:pStyle w:val="Tabla8"/>
              <w:jc w:val="left"/>
            </w:pPr>
            <w:r>
              <w:t xml:space="preserve">9</w:t>
            </w:r>
          </w:p>
        </w:tc>
        <w:tc>
          <w:tcPr>
            <w:tcW w:w="1410" w:type="dxa"/>
          </w:tcPr>
          <w:p>
            <w:pPr>
              <w:pStyle w:val="Tabla8"/>
              <w:jc w:val="left"/>
            </w:pPr>
            <w:r>
              <w:t xml:space="preserve">10</w:t>
            </w:r>
          </w:p>
        </w:tc>
        <w:tc>
          <w:tcPr>
            <w:tcW w:w="1161" w:type="dxa"/>
          </w:tcPr>
          <w:p>
            <w:pPr>
              <w:pStyle w:val="Tabla8"/>
              <w:jc w:val="left"/>
            </w:pPr>
            <w:r>
              <w:t xml:space="preserve">−1</w:t>
            </w:r>
          </w:p>
        </w:tc>
        <w:tc>
          <w:tcPr>
            <w:tcW w:w="1244" w:type="dxa"/>
          </w:tcPr>
          <w:p>
            <w:pPr>
              <w:pStyle w:val="Tabla8"/>
              <w:jc w:val="left"/>
            </w:pPr>
            <w:r>
              <w:t xml:space="preserve">2</w:t>
            </w:r>
          </w:p>
        </w:tc>
        <w:tc>
          <w:tcPr>
            <w:tcW w:w="1493" w:type="dxa"/>
          </w:tcPr>
          <w:p>
            <w:pPr>
              <w:pStyle w:val="Tabla8"/>
              <w:jc w:val="left"/>
            </w:pPr>
            <w:r>
              <w:t xml:space="preserve">3</w:t>
            </w:r>
          </w:p>
        </w:tc>
        <w:tc>
          <w:tcPr>
            <w:tcW w:w="1161" w:type="dxa"/>
          </w:tcPr>
          <w:p>
            <w:pPr>
              <w:pStyle w:val="Tabla8"/>
              <w:jc w:val="left"/>
            </w:pPr>
            <w:r>
              <w:t xml:space="preserve">−1</w:t>
            </w:r>
          </w:p>
        </w:tc>
        <w:tc>
          <w:tcPr>
            <w:tcW w:w="1577" w:type="dxa"/>
          </w:tcPr>
          <w:p>
            <w:pPr>
              <w:pStyle w:val="Tabla8"/>
              <w:jc w:val="left"/>
            </w:pPr>
            <w:r>
              <w:t xml:space="preserve">Reactiva</w:t>
            </w:r>
          </w:p>
        </w:tc>
      </w:tr>
      <w:tr>
        <w:trPr>
          <w:cantSplit/>
        </w:trPr>
        <w:tc>
          <w:tcPr>
            <w:tcW w:w="664" w:type="dxa"/>
            <w:shd w:val="clear" w:color="auto" w:fill="F7F7F7"/>
          </w:tcPr>
          <w:p>
            <w:pPr>
              <w:pStyle w:val="Tabla8"/>
              <w:jc w:val="left"/>
            </w:pPr>
            <w:r>
              <w:t xml:space="preserve">V12</w:t>
            </w:r>
          </w:p>
        </w:tc>
        <w:tc>
          <w:tcPr>
            <w:tcW w:w="1244" w:type="dxa"/>
            <w:shd w:val="clear" w:color="auto" w:fill="F7F7F7"/>
          </w:tcPr>
          <w:p>
            <w:pPr>
              <w:pStyle w:val="Tabla8"/>
              <w:jc w:val="left"/>
            </w:pPr>
            <w:r>
              <w:t xml:space="preserve">11,5</w:t>
            </w:r>
          </w:p>
        </w:tc>
        <w:tc>
          <w:tcPr>
            <w:tcW w:w="1410" w:type="dxa"/>
            <w:shd w:val="clear" w:color="auto" w:fill="F7F7F7"/>
          </w:tcPr>
          <w:p>
            <w:pPr>
              <w:pStyle w:val="Tabla8"/>
              <w:jc w:val="left"/>
            </w:pPr>
            <w:r>
              <w:t xml:space="preserve">11</w:t>
            </w:r>
          </w:p>
        </w:tc>
        <w:tc>
          <w:tcPr>
            <w:tcW w:w="1161" w:type="dxa"/>
            <w:shd w:val="clear" w:color="auto" w:fill="F7F7F7"/>
          </w:tcPr>
          <w:p>
            <w:pPr>
              <w:pStyle w:val="Tabla8"/>
              <w:jc w:val="left"/>
            </w:pPr>
            <w:r>
              <w:t xml:space="preserve">0,5</w:t>
            </w:r>
          </w:p>
        </w:tc>
        <w:tc>
          <w:tcPr>
            <w:tcW w:w="1244" w:type="dxa"/>
            <w:shd w:val="clear" w:color="auto" w:fill="F7F7F7"/>
          </w:tcPr>
          <w:p>
            <w:pPr>
              <w:pStyle w:val="Tabla8"/>
              <w:jc w:val="left"/>
            </w:pPr>
            <w:r>
              <w:t xml:space="preserve">7,5</w:t>
            </w:r>
          </w:p>
        </w:tc>
        <w:tc>
          <w:tcPr>
            <w:tcW w:w="1493" w:type="dxa"/>
            <w:shd w:val="clear" w:color="auto" w:fill="F7F7F7"/>
          </w:tcPr>
          <w:p>
            <w:pPr>
              <w:pStyle w:val="Tabla8"/>
              <w:jc w:val="left"/>
            </w:pPr>
            <w:r>
              <w:t xml:space="preserve">6</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Reactiva</w:t>
            </w:r>
          </w:p>
        </w:tc>
      </w:tr>
      <w:tr>
        <w:trPr>
          <w:cantSplit/>
        </w:trPr>
        <w:tc>
          <w:tcPr>
            <w:tcW w:w="664" w:type="dxa"/>
          </w:tcPr>
          <w:p>
            <w:pPr>
              <w:pStyle w:val="Tabla8"/>
              <w:jc w:val="left"/>
            </w:pPr>
            <w:r>
              <w:t xml:space="preserve">V13</w:t>
            </w:r>
          </w:p>
        </w:tc>
        <w:tc>
          <w:tcPr>
            <w:tcW w:w="1244" w:type="dxa"/>
          </w:tcPr>
          <w:p>
            <w:pPr>
              <w:pStyle w:val="Tabla8"/>
              <w:jc w:val="left"/>
            </w:pPr>
            <w:r>
              <w:t xml:space="preserve">14</w:t>
            </w:r>
          </w:p>
        </w:tc>
        <w:tc>
          <w:tcPr>
            <w:tcW w:w="1410" w:type="dxa"/>
          </w:tcPr>
          <w:p>
            <w:pPr>
              <w:pStyle w:val="Tabla8"/>
              <w:jc w:val="left"/>
            </w:pPr>
            <w:r>
              <w:t xml:space="preserve">14</w:t>
            </w:r>
          </w:p>
        </w:tc>
        <w:tc>
          <w:tcPr>
            <w:tcW w:w="1161" w:type="dxa"/>
          </w:tcPr>
          <w:p>
            <w:pPr>
              <w:pStyle w:val="Tabla8"/>
              <w:jc w:val="left"/>
            </w:pPr>
            <w:r>
              <w:t xml:space="preserve">0</w:t>
            </w:r>
          </w:p>
        </w:tc>
        <w:tc>
          <w:tcPr>
            <w:tcW w:w="1244" w:type="dxa"/>
          </w:tcPr>
          <w:p>
            <w:pPr>
              <w:pStyle w:val="Tabla8"/>
              <w:jc w:val="left"/>
            </w:pPr>
            <w:r>
              <w:t xml:space="preserve">9,5</w:t>
            </w:r>
          </w:p>
        </w:tc>
        <w:tc>
          <w:tcPr>
            <w:tcW w:w="1493" w:type="dxa"/>
          </w:tcPr>
          <w:p>
            <w:pPr>
              <w:pStyle w:val="Tabla8"/>
              <w:jc w:val="left"/>
            </w:pPr>
            <w:r>
              <w:t xml:space="preserve">10</w:t>
            </w:r>
          </w:p>
        </w:tc>
        <w:tc>
          <w:tcPr>
            <w:tcW w:w="1161" w:type="dxa"/>
          </w:tcPr>
          <w:p>
            <w:pPr>
              <w:pStyle w:val="Tabla8"/>
              <w:jc w:val="left"/>
            </w:pPr>
            <w:r>
              <w:t xml:space="preserve">−0,5</w:t>
            </w:r>
          </w:p>
        </w:tc>
        <w:tc>
          <w:tcPr>
            <w:tcW w:w="1577" w:type="dxa"/>
          </w:tcPr>
          <w:p>
            <w:pPr>
              <w:pStyle w:val="Tabla8"/>
              <w:jc w:val="left"/>
            </w:pPr>
            <w:r>
              <w:t xml:space="preserve">Autónoma relativa</w:t>
            </w:r>
          </w:p>
        </w:tc>
      </w:tr>
      <w:tr>
        <w:trPr>
          <w:cantSplit/>
        </w:trPr>
        <w:tc>
          <w:tcPr>
            <w:tcW w:w="664" w:type="dxa"/>
            <w:shd w:val="clear" w:color="auto" w:fill="F7F7F7"/>
          </w:tcPr>
          <w:p>
            <w:pPr>
              <w:pStyle w:val="Tabla8"/>
              <w:jc w:val="left"/>
            </w:pPr>
            <w:r>
              <w:t xml:space="preserve">V14</w:t>
            </w:r>
          </w:p>
        </w:tc>
        <w:tc>
          <w:tcPr>
            <w:tcW w:w="1244" w:type="dxa"/>
            <w:shd w:val="clear" w:color="auto" w:fill="F7F7F7"/>
          </w:tcPr>
          <w:p>
            <w:pPr>
              <w:pStyle w:val="Tabla8"/>
              <w:jc w:val="left"/>
            </w:pPr>
            <w:r>
              <w:t xml:space="preserve">14</w:t>
            </w:r>
          </w:p>
        </w:tc>
        <w:tc>
          <w:tcPr>
            <w:tcW w:w="1410" w:type="dxa"/>
            <w:shd w:val="clear" w:color="auto" w:fill="F7F7F7"/>
          </w:tcPr>
          <w:p>
            <w:pPr>
              <w:pStyle w:val="Tabla8"/>
              <w:jc w:val="left"/>
            </w:pPr>
            <w:r>
              <w:t xml:space="preserve">13</w:t>
            </w:r>
          </w:p>
        </w:tc>
        <w:tc>
          <w:tcPr>
            <w:tcW w:w="1161" w:type="dxa"/>
            <w:shd w:val="clear" w:color="auto" w:fill="F7F7F7"/>
          </w:tcPr>
          <w:p>
            <w:pPr>
              <w:pStyle w:val="Tabla8"/>
              <w:jc w:val="left"/>
            </w:pPr>
            <w:r>
              <w:t xml:space="preserve">1</w:t>
            </w:r>
          </w:p>
        </w:tc>
        <w:tc>
          <w:tcPr>
            <w:tcW w:w="1244" w:type="dxa"/>
            <w:shd w:val="clear" w:color="auto" w:fill="F7F7F7"/>
          </w:tcPr>
          <w:p>
            <w:pPr>
              <w:pStyle w:val="Tabla8"/>
              <w:jc w:val="left"/>
            </w:pPr>
            <w:r>
              <w:t xml:space="preserve">3,5</w:t>
            </w:r>
          </w:p>
        </w:tc>
        <w:tc>
          <w:tcPr>
            <w:tcW w:w="1493" w:type="dxa"/>
            <w:shd w:val="clear" w:color="auto" w:fill="F7F7F7"/>
          </w:tcPr>
          <w:p>
            <w:pPr>
              <w:pStyle w:val="Tabla8"/>
              <w:jc w:val="left"/>
            </w:pPr>
            <w:r>
              <w:t xml:space="preserve">2</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Reactiva</w:t>
            </w:r>
          </w:p>
        </w:tc>
      </w:tr>
      <w:tr>
        <w:trPr>
          <w:cantSplit/>
        </w:trPr>
        <w:tc>
          <w:tcPr>
            <w:tcW w:w="664" w:type="dxa"/>
          </w:tcPr>
          <w:p>
            <w:pPr>
              <w:pStyle w:val="Tabla8"/>
              <w:keepNext/>
              <w:jc w:val="left"/>
            </w:pPr>
            <w:r>
              <w:t xml:space="preserve">V15</w:t>
            </w:r>
          </w:p>
        </w:tc>
        <w:tc>
          <w:tcPr>
            <w:tcW w:w="1244" w:type="dxa"/>
          </w:tcPr>
          <w:p>
            <w:pPr>
              <w:pStyle w:val="Tabla8"/>
              <w:keepNext/>
              <w:jc w:val="left"/>
            </w:pPr>
            <w:r>
              <w:t xml:space="preserve">4</w:t>
            </w:r>
          </w:p>
        </w:tc>
        <w:tc>
          <w:tcPr>
            <w:tcW w:w="1410" w:type="dxa"/>
          </w:tcPr>
          <w:p>
            <w:pPr>
              <w:pStyle w:val="Tabla8"/>
              <w:keepNext/>
              <w:jc w:val="left"/>
            </w:pPr>
            <w:r>
              <w:t xml:space="preserve">6</w:t>
            </w:r>
          </w:p>
        </w:tc>
        <w:tc>
          <w:tcPr>
            <w:tcW w:w="1161" w:type="dxa"/>
          </w:tcPr>
          <w:p>
            <w:pPr>
              <w:pStyle w:val="Tabla8"/>
              <w:keepNext/>
              <w:jc w:val="left"/>
            </w:pPr>
            <w:r>
              <w:t xml:space="preserve">−2</w:t>
            </w:r>
          </w:p>
        </w:tc>
        <w:tc>
          <w:tcPr>
            <w:tcW w:w="1244" w:type="dxa"/>
          </w:tcPr>
          <w:p>
            <w:pPr>
              <w:pStyle w:val="Tabla8"/>
              <w:keepNext/>
              <w:jc w:val="left"/>
            </w:pPr>
            <w:r>
              <w:t xml:space="preserve">5</w:t>
            </w:r>
          </w:p>
        </w:tc>
        <w:tc>
          <w:tcPr>
            <w:tcW w:w="1493" w:type="dxa"/>
          </w:tcPr>
          <w:p>
            <w:pPr>
              <w:pStyle w:val="Tabla8"/>
              <w:keepNext/>
              <w:jc w:val="left"/>
            </w:pPr>
            <w:r>
              <w:t xml:space="preserve">1</w:t>
            </w:r>
          </w:p>
        </w:tc>
        <w:tc>
          <w:tcPr>
            <w:tcW w:w="1161" w:type="dxa"/>
          </w:tcPr>
          <w:p>
            <w:pPr>
              <w:pStyle w:val="Tabla8"/>
              <w:keepNext/>
              <w:jc w:val="left"/>
            </w:pPr>
            <w:r>
              <w:t xml:space="preserve">4</w:t>
            </w:r>
          </w:p>
        </w:tc>
        <w:tc>
          <w:tcPr>
            <w:tcW w:w="1577" w:type="dxa"/>
          </w:tcPr>
          <w:p>
            <w:pPr>
              <w:pStyle w:val="Tabla8"/>
              <w:keepNext/>
              <w:jc w:val="left"/>
            </w:pPr>
            <w:r>
              <w:t xml:space="preserve">Crítica</w:t>
            </w:r>
          </w:p>
        </w:tc>
      </w:tr>
    </w:tbl>
    <w:p>
      <w:pPr>
        <w:pStyle w:val="TablaNota"/>
      </w:pPr>
      <w:r>
        <w:rPr>
          <w:i/>
          <w:iCs/>
        </w:rPr>
        <w:t xml:space="preserve">Nota.</w:t>
      </w:r>
      <w:r>
        <w:t xml:space="preserve"> </w:t>
      </w:r>
      <w:r>
        <w:t xml:space="preserve">Elaboración propia. El ascenso es el rango directo menos el indirecto; un valor positivo indica que la variable gana posición al considerar recorridos largos. Los recorridos miden longitud de caminos y no tiempo ni efecto causal.</w:t>
      </w:r>
    </w:p>
    <w:p>
      <w:pPr>
        <w:pStyle w:val="BodyText"/>
      </w:pPr>
      <w:r>
        <w:t xml:space="preserve">Dos variables califican como candidatas a variable oculta con un umbral de ganancia de dos o tres posiciones: V03 y V05. Ninguna lo hace con un umbral de cuatro. Ambas son exógenas o poco controlables, reciben poca influencia y alimentan cadenas largas. Su ascenso describe el origen de los recorridos y no una palanca de intervención.</w:t>
      </w:r>
    </w:p>
    <w:bookmarkEnd w:id="45"/>
    <w:bookmarkStart w:id="46" w:name="Xa9472eada3eec23750011bef45bce65f44ed444"/>
    <w:p>
      <w:pPr>
        <w:pStyle w:val="Heading3"/>
      </w:pPr>
      <w:r>
        <w:t xml:space="preserve">A.5.2 Estabilidad de las potencias y rangos por escenario</w:t>
      </w:r>
    </w:p>
    <w:p>
      <w:pPr>
        <w:pStyle w:val="FirstParagraph"/>
      </w:pPr>
      <w:r>
        <w:t xml:space="preserve">La Tabla A.15 muestra el rango indirecto de cada variable en los cinco escenarios. V05 ocupa el primer lugar en S1, S2 y S3. V06 ocupa el cuarto, quinto, séptimo y segundo lugar en S1, S2, S3 y S4. En S1, S2 y S4 las potencias no se estabilizan hasta k = 10. En S0, que no tiene ciclos, los caminos se extinguen en A⁷. En S3 se observa periodicidad. La estabilidad observada no demuestra convergencia dinámica.</w:t>
      </w:r>
    </w:p>
    <w:p>
      <w:pPr>
        <w:pStyle w:val="TablaRotulo"/>
      </w:pPr>
      <w:bookmarkStart w:id="9015" w:name="rot_Tabla_A_15"/>
      <w:r>
        <w:rPr>
          <w:b/>
          <w:bCs/>
        </w:rPr>
        <w:t xml:space="preserve">Tabla A.15</w:t>
      </w:r>
      <w:bookmarkEnd w:id="9015"/>
    </w:p>
    <w:p>
      <w:pPr>
        <w:pStyle w:val="TablaTitulo"/>
      </w:pPr>
      <w:r>
        <w:rPr>
          <w:i/>
          <w:iCs/>
        </w:rPr>
        <w:t xml:space="preserve">Rango de influencia indirecta de cada variable en los cinco escenarios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6"/>
        <w:gridCol w:w="3346"/>
        <w:gridCol w:w="1088"/>
        <w:gridCol w:w="1171"/>
        <w:gridCol w:w="1171"/>
        <w:gridCol w:w="1171"/>
        <w:gridCol w:w="1171"/>
      </w:tblGrid>
      <w:tr>
        <w:trPr>
          <w:cantSplit/>
          <w:tblHeader w:val="true"/>
          <w:tblHeader/>
        </w:trPr>
        <w:tc>
          <w:tcPr>
            <w:tcW w:w="836" w:type="dxa"/>
            <w:tcBorders>
              <w:bottom w:val="single" w:sz="12" w:space="0" w:color="6699CC"/>
            </w:tcBorders>
            <w:shd w:val="clear" w:color="auto" w:fill="B9D9EB"/>
          </w:tcPr>
          <w:p>
            <w:pPr>
              <w:pStyle w:val="Tabla8"/>
              <w:keepNext/>
              <w:jc w:val="left"/>
            </w:pPr>
            <w:r>
              <w:rPr>
                <w:b/>
              </w:rPr>
              <w:t xml:space="preserve">ID</w:t>
            </w:r>
          </w:p>
        </w:tc>
        <w:tc>
          <w:tcPr>
            <w:tcW w:w="3346" w:type="dxa"/>
            <w:tcBorders>
              <w:bottom w:val="single" w:sz="12" w:space="0" w:color="6699CC"/>
            </w:tcBorders>
            <w:shd w:val="clear" w:color="auto" w:fill="B9D9EB"/>
          </w:tcPr>
          <w:p>
            <w:pPr>
              <w:pStyle w:val="Tabla8"/>
              <w:keepNext/>
              <w:jc w:val="left"/>
            </w:pPr>
            <w:r>
              <w:rPr>
                <w:b/>
              </w:rPr>
              <w:t xml:space="preserve">Variable</w:t>
            </w:r>
          </w:p>
        </w:tc>
        <w:tc>
          <w:tcPr>
            <w:tcW w:w="1088" w:type="dxa"/>
            <w:tcBorders>
              <w:bottom w:val="single" w:sz="12" w:space="0" w:color="6699CC"/>
            </w:tcBorders>
            <w:shd w:val="clear" w:color="auto" w:fill="B9D9EB"/>
          </w:tcPr>
          <w:p>
            <w:pPr>
              <w:pStyle w:val="Tabla8"/>
              <w:keepNext/>
              <w:jc w:val="left"/>
            </w:pPr>
            <w:r>
              <w:rPr>
                <w:b/>
              </w:rPr>
              <w:t xml:space="preserve">S0 (A⁶)</w:t>
            </w:r>
          </w:p>
        </w:tc>
        <w:tc>
          <w:tcPr>
            <w:tcW w:w="1171" w:type="dxa"/>
            <w:tcBorders>
              <w:bottom w:val="single" w:sz="12" w:space="0" w:color="6699CC"/>
            </w:tcBorders>
            <w:shd w:val="clear" w:color="auto" w:fill="B9D9EB"/>
          </w:tcPr>
          <w:p>
            <w:pPr>
              <w:pStyle w:val="Tabla8"/>
              <w:keepNext/>
              <w:jc w:val="left"/>
            </w:pPr>
            <w:r>
              <w:rPr>
                <w:b/>
              </w:rPr>
              <w:t xml:space="preserve">S1 (A¹⁰)</w:t>
            </w:r>
          </w:p>
        </w:tc>
        <w:tc>
          <w:tcPr>
            <w:tcW w:w="1171" w:type="dxa"/>
            <w:tcBorders>
              <w:bottom w:val="single" w:sz="12" w:space="0" w:color="6699CC"/>
            </w:tcBorders>
            <w:shd w:val="clear" w:color="auto" w:fill="B9D9EB"/>
          </w:tcPr>
          <w:p>
            <w:pPr>
              <w:pStyle w:val="Tabla8"/>
              <w:keepNext/>
              <w:jc w:val="left"/>
            </w:pPr>
            <w:r>
              <w:rPr>
                <w:b/>
              </w:rPr>
              <w:t xml:space="preserve">S2 (A¹⁰)</w:t>
            </w:r>
          </w:p>
        </w:tc>
        <w:tc>
          <w:tcPr>
            <w:tcW w:w="1171" w:type="dxa"/>
            <w:tcBorders>
              <w:bottom w:val="single" w:sz="12" w:space="0" w:color="6699CC"/>
            </w:tcBorders>
            <w:shd w:val="clear" w:color="auto" w:fill="B9D9EB"/>
          </w:tcPr>
          <w:p>
            <w:pPr>
              <w:pStyle w:val="Tabla8"/>
              <w:keepNext/>
              <w:jc w:val="left"/>
            </w:pPr>
            <w:r>
              <w:rPr>
                <w:b/>
              </w:rPr>
              <w:t xml:space="preserve">S3 (A¹⁰)</w:t>
            </w:r>
          </w:p>
        </w:tc>
        <w:tc>
          <w:tcPr>
            <w:tcW w:w="1171" w:type="dxa"/>
            <w:tcBorders>
              <w:bottom w:val="single" w:sz="12" w:space="0" w:color="6699CC"/>
            </w:tcBorders>
            <w:shd w:val="clear" w:color="auto" w:fill="B9D9EB"/>
          </w:tcPr>
          <w:p>
            <w:pPr>
              <w:pStyle w:val="Tabla8"/>
              <w:keepNext/>
              <w:jc w:val="left"/>
            </w:pPr>
            <w:r>
              <w:rPr>
                <w:b/>
              </w:rPr>
              <w:t xml:space="preserve">S4 (A¹⁰)</w:t>
            </w:r>
          </w:p>
        </w:tc>
      </w:tr>
      <w:tr>
        <w:trPr>
          <w:cantSplit/>
        </w:trPr>
        <w:tc>
          <w:tcPr>
            <w:tcW w:w="836" w:type="dxa"/>
          </w:tcPr>
          <w:p>
            <w:pPr>
              <w:pStyle w:val="Tabla8"/>
              <w:jc w:val="left"/>
            </w:pPr>
            <w:r>
              <w:t xml:space="preserve">V01</w:t>
            </w:r>
          </w:p>
        </w:tc>
        <w:tc>
          <w:tcPr>
            <w:tcW w:w="3346" w:type="dxa"/>
          </w:tcPr>
          <w:p>
            <w:pPr>
              <w:pStyle w:val="Tabla8"/>
              <w:jc w:val="left"/>
            </w:pPr>
            <w:r>
              <w:t xml:space="preserve">Concentración de PM2,5</w:t>
            </w:r>
          </w:p>
        </w:tc>
        <w:tc>
          <w:tcPr>
            <w:tcW w:w="1088" w:type="dxa"/>
          </w:tcPr>
          <w:p>
            <w:pPr>
              <w:pStyle w:val="Tabla8"/>
              <w:jc w:val="left"/>
            </w:pPr>
            <w:r>
              <w:t xml:space="preserve">8,5</w:t>
            </w:r>
          </w:p>
        </w:tc>
        <w:tc>
          <w:tcPr>
            <w:tcW w:w="1171" w:type="dxa"/>
          </w:tcPr>
          <w:p>
            <w:pPr>
              <w:pStyle w:val="Tabla8"/>
              <w:jc w:val="left"/>
            </w:pPr>
            <w:r>
              <w:t xml:space="preserve">13</w:t>
            </w:r>
          </w:p>
        </w:tc>
        <w:tc>
          <w:tcPr>
            <w:tcW w:w="1171" w:type="dxa"/>
          </w:tcPr>
          <w:p>
            <w:pPr>
              <w:pStyle w:val="Tabla8"/>
              <w:jc w:val="left"/>
            </w:pPr>
            <w:r>
              <w:t xml:space="preserve">7</w:t>
            </w:r>
          </w:p>
        </w:tc>
        <w:tc>
          <w:tcPr>
            <w:tcW w:w="1171" w:type="dxa"/>
          </w:tcPr>
          <w:p>
            <w:pPr>
              <w:pStyle w:val="Tabla8"/>
              <w:jc w:val="left"/>
            </w:pPr>
            <w:r>
              <w:t xml:space="preserve">3</w:t>
            </w:r>
          </w:p>
        </w:tc>
        <w:tc>
          <w:tcPr>
            <w:tcW w:w="1171" w:type="dxa"/>
          </w:tcPr>
          <w:p>
            <w:pPr>
              <w:pStyle w:val="Tabla8"/>
              <w:jc w:val="left"/>
            </w:pPr>
            <w:r>
              <w:t xml:space="preserve">8</w:t>
            </w:r>
          </w:p>
        </w:tc>
      </w:tr>
      <w:tr>
        <w:trPr>
          <w:cantSplit/>
        </w:trPr>
        <w:tc>
          <w:tcPr>
            <w:tcW w:w="836" w:type="dxa"/>
            <w:shd w:val="clear" w:color="auto" w:fill="F7F7F7"/>
          </w:tcPr>
          <w:p>
            <w:pPr>
              <w:pStyle w:val="Tabla8"/>
              <w:jc w:val="left"/>
            </w:pPr>
            <w:r>
              <w:t xml:space="preserve">V02</w:t>
            </w:r>
          </w:p>
        </w:tc>
        <w:tc>
          <w:tcPr>
            <w:tcW w:w="3346" w:type="dxa"/>
            <w:shd w:val="clear" w:color="auto" w:fill="F7F7F7"/>
          </w:tcPr>
          <w:p>
            <w:pPr>
              <w:pStyle w:val="Tabla8"/>
              <w:jc w:val="left"/>
            </w:pPr>
            <w:r>
              <w:t xml:space="preserve">Concentración de PM10</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9</w:t>
            </w:r>
          </w:p>
        </w:tc>
        <w:tc>
          <w:tcPr>
            <w:tcW w:w="1171" w:type="dxa"/>
            <w:shd w:val="clear" w:color="auto" w:fill="F7F7F7"/>
          </w:tcPr>
          <w:p>
            <w:pPr>
              <w:pStyle w:val="Tabla8"/>
              <w:jc w:val="left"/>
            </w:pPr>
            <w:r>
              <w:t xml:space="preserve">4</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7</w:t>
            </w:r>
          </w:p>
        </w:tc>
      </w:tr>
      <w:tr>
        <w:trPr>
          <w:cantSplit/>
        </w:trPr>
        <w:tc>
          <w:tcPr>
            <w:tcW w:w="836" w:type="dxa"/>
          </w:tcPr>
          <w:p>
            <w:pPr>
              <w:pStyle w:val="Tabla8"/>
              <w:jc w:val="left"/>
            </w:pPr>
            <w:r>
              <w:t xml:space="preserve">V03</w:t>
            </w:r>
          </w:p>
        </w:tc>
        <w:tc>
          <w:tcPr>
            <w:tcW w:w="3346" w:type="dxa"/>
          </w:tcPr>
          <w:p>
            <w:pPr>
              <w:pStyle w:val="Tabla8"/>
              <w:jc w:val="left"/>
            </w:pPr>
            <w:r>
              <w:t xml:space="preserve">Humedad relativa</w:t>
            </w:r>
          </w:p>
        </w:tc>
        <w:tc>
          <w:tcPr>
            <w:tcW w:w="1088" w:type="dxa"/>
          </w:tcPr>
          <w:p>
            <w:pPr>
              <w:pStyle w:val="Tabla8"/>
              <w:jc w:val="left"/>
            </w:pPr>
            <w:r>
              <w:t xml:space="preserve">8,5</w:t>
            </w:r>
          </w:p>
        </w:tc>
        <w:tc>
          <w:tcPr>
            <w:tcW w:w="1171" w:type="dxa"/>
          </w:tcPr>
          <w:p>
            <w:pPr>
              <w:pStyle w:val="Tabla8"/>
              <w:jc w:val="left"/>
            </w:pPr>
            <w:r>
              <w:t xml:space="preserve">2</w:t>
            </w:r>
          </w:p>
        </w:tc>
        <w:tc>
          <w:tcPr>
            <w:tcW w:w="1171" w:type="dxa"/>
          </w:tcPr>
          <w:p>
            <w:pPr>
              <w:pStyle w:val="Tabla8"/>
              <w:jc w:val="left"/>
            </w:pPr>
            <w:r>
              <w:t xml:space="preserve">3</w:t>
            </w:r>
          </w:p>
        </w:tc>
        <w:tc>
          <w:tcPr>
            <w:tcW w:w="1171" w:type="dxa"/>
          </w:tcPr>
          <w:p>
            <w:pPr>
              <w:pStyle w:val="Tabla8"/>
              <w:jc w:val="left"/>
            </w:pPr>
            <w:r>
              <w:t xml:space="preserve">5</w:t>
            </w:r>
          </w:p>
        </w:tc>
        <w:tc>
          <w:tcPr>
            <w:tcW w:w="1171" w:type="dxa"/>
          </w:tcPr>
          <w:p>
            <w:pPr>
              <w:pStyle w:val="Tabla8"/>
              <w:jc w:val="left"/>
            </w:pPr>
            <w:r>
              <w:t xml:space="preserve">4</w:t>
            </w:r>
          </w:p>
        </w:tc>
      </w:tr>
      <w:tr>
        <w:trPr>
          <w:cantSplit/>
        </w:trPr>
        <w:tc>
          <w:tcPr>
            <w:tcW w:w="836" w:type="dxa"/>
            <w:shd w:val="clear" w:color="auto" w:fill="F7F7F7"/>
          </w:tcPr>
          <w:p>
            <w:pPr>
              <w:pStyle w:val="Tabla8"/>
              <w:jc w:val="left"/>
            </w:pPr>
            <w:r>
              <w:t xml:space="preserve">V04</w:t>
            </w:r>
          </w:p>
        </w:tc>
        <w:tc>
          <w:tcPr>
            <w:tcW w:w="3346" w:type="dxa"/>
            <w:shd w:val="clear" w:color="auto" w:fill="F7F7F7"/>
          </w:tcPr>
          <w:p>
            <w:pPr>
              <w:pStyle w:val="Tabla8"/>
              <w:jc w:val="left"/>
            </w:pPr>
            <w:r>
              <w:t xml:space="preserve">Velocidad del viento</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7</w:t>
            </w:r>
          </w:p>
        </w:tc>
        <w:tc>
          <w:tcPr>
            <w:tcW w:w="1171" w:type="dxa"/>
            <w:shd w:val="clear" w:color="auto" w:fill="F7F7F7"/>
          </w:tcPr>
          <w:p>
            <w:pPr>
              <w:pStyle w:val="Tabla8"/>
              <w:jc w:val="left"/>
            </w:pPr>
            <w:r>
              <w:t xml:space="preserve">2</w:t>
            </w:r>
          </w:p>
        </w:tc>
        <w:tc>
          <w:tcPr>
            <w:tcW w:w="1171" w:type="dxa"/>
            <w:shd w:val="clear" w:color="auto" w:fill="F7F7F7"/>
          </w:tcPr>
          <w:p>
            <w:pPr>
              <w:pStyle w:val="Tabla8"/>
              <w:jc w:val="left"/>
            </w:pPr>
            <w:r>
              <w:t xml:space="preserve">2</w:t>
            </w:r>
          </w:p>
        </w:tc>
        <w:tc>
          <w:tcPr>
            <w:tcW w:w="1171" w:type="dxa"/>
            <w:shd w:val="clear" w:color="auto" w:fill="F7F7F7"/>
          </w:tcPr>
          <w:p>
            <w:pPr>
              <w:pStyle w:val="Tabla8"/>
              <w:jc w:val="left"/>
            </w:pPr>
            <w:r>
              <w:t xml:space="preserve">1</w:t>
            </w:r>
          </w:p>
        </w:tc>
      </w:tr>
      <w:tr>
        <w:trPr>
          <w:cantSplit/>
        </w:trPr>
        <w:tc>
          <w:tcPr>
            <w:tcW w:w="836" w:type="dxa"/>
          </w:tcPr>
          <w:p>
            <w:pPr>
              <w:pStyle w:val="Tabla8"/>
              <w:jc w:val="left"/>
            </w:pPr>
            <w:r>
              <w:t xml:space="preserve">V05</w:t>
            </w:r>
          </w:p>
        </w:tc>
        <w:tc>
          <w:tcPr>
            <w:tcW w:w="3346" w:type="dxa"/>
          </w:tcPr>
          <w:p>
            <w:pPr>
              <w:pStyle w:val="Tabla8"/>
              <w:jc w:val="left"/>
            </w:pPr>
            <w:r>
              <w:t xml:space="preserve">Volumen de escombros removidos</w:t>
            </w:r>
          </w:p>
        </w:tc>
        <w:tc>
          <w:tcPr>
            <w:tcW w:w="1088" w:type="dxa"/>
          </w:tcPr>
          <w:p>
            <w:pPr>
              <w:pStyle w:val="Tabla8"/>
              <w:jc w:val="left"/>
            </w:pPr>
            <w:r>
              <w:t xml:space="preserve">8,5</w:t>
            </w:r>
          </w:p>
        </w:tc>
        <w:tc>
          <w:tcPr>
            <w:tcW w:w="1171" w:type="dxa"/>
          </w:tcPr>
          <w:p>
            <w:pPr>
              <w:pStyle w:val="Tabla8"/>
              <w:jc w:val="left"/>
            </w:pPr>
            <w:r>
              <w:t xml:space="preserve">1</w:t>
            </w:r>
          </w:p>
        </w:tc>
        <w:tc>
          <w:tcPr>
            <w:tcW w:w="1171" w:type="dxa"/>
          </w:tcPr>
          <w:p>
            <w:pPr>
              <w:pStyle w:val="Tabla8"/>
              <w:jc w:val="left"/>
            </w:pPr>
            <w:r>
              <w:t xml:space="preserve">1</w:t>
            </w:r>
          </w:p>
        </w:tc>
        <w:tc>
          <w:tcPr>
            <w:tcW w:w="1171" w:type="dxa"/>
          </w:tcPr>
          <w:p>
            <w:pPr>
              <w:pStyle w:val="Tabla8"/>
              <w:jc w:val="left"/>
            </w:pPr>
            <w:r>
              <w:t xml:space="preserve">1</w:t>
            </w:r>
          </w:p>
        </w:tc>
        <w:tc>
          <w:tcPr>
            <w:tcW w:w="1171" w:type="dxa"/>
          </w:tcPr>
          <w:p>
            <w:pPr>
              <w:pStyle w:val="Tabla8"/>
              <w:jc w:val="left"/>
            </w:pPr>
            <w:r>
              <w:t xml:space="preserve">3</w:t>
            </w:r>
          </w:p>
        </w:tc>
      </w:tr>
      <w:tr>
        <w:trPr>
          <w:cantSplit/>
        </w:trPr>
        <w:tc>
          <w:tcPr>
            <w:tcW w:w="836" w:type="dxa"/>
            <w:shd w:val="clear" w:color="auto" w:fill="F7F7F7"/>
          </w:tcPr>
          <w:p>
            <w:pPr>
              <w:pStyle w:val="Tabla8"/>
              <w:jc w:val="left"/>
            </w:pPr>
            <w:r>
              <w:t xml:space="preserve">V06</w:t>
            </w:r>
          </w:p>
        </w:tc>
        <w:tc>
          <w:tcPr>
            <w:tcW w:w="3346" w:type="dxa"/>
            <w:shd w:val="clear" w:color="auto" w:fill="F7F7F7"/>
          </w:tcPr>
          <w:p>
            <w:pPr>
              <w:pStyle w:val="Tabla8"/>
              <w:jc w:val="left"/>
            </w:pPr>
            <w:r>
              <w:t xml:space="preserve">Error de medición de los nodos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4</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7</w:t>
            </w:r>
          </w:p>
        </w:tc>
        <w:tc>
          <w:tcPr>
            <w:tcW w:w="1171" w:type="dxa"/>
            <w:shd w:val="clear" w:color="auto" w:fill="F7F7F7"/>
          </w:tcPr>
          <w:p>
            <w:pPr>
              <w:pStyle w:val="Tabla8"/>
              <w:jc w:val="left"/>
            </w:pPr>
            <w:r>
              <w:t xml:space="preserve">2</w:t>
            </w:r>
          </w:p>
        </w:tc>
      </w:tr>
      <w:tr>
        <w:trPr>
          <w:cantSplit/>
        </w:trPr>
        <w:tc>
          <w:tcPr>
            <w:tcW w:w="836" w:type="dxa"/>
          </w:tcPr>
          <w:p>
            <w:pPr>
              <w:pStyle w:val="Tabla8"/>
              <w:jc w:val="left"/>
            </w:pPr>
            <w:r>
              <w:t xml:space="preserve">V07</w:t>
            </w:r>
          </w:p>
        </w:tc>
        <w:tc>
          <w:tcPr>
            <w:tcW w:w="3346" w:type="dxa"/>
          </w:tcPr>
          <w:p>
            <w:pPr>
              <w:pStyle w:val="Tabla8"/>
              <w:jc w:val="left"/>
            </w:pPr>
            <w:r>
              <w:t xml:space="preserve">Frecuencia de calibración</w:t>
            </w:r>
          </w:p>
        </w:tc>
        <w:tc>
          <w:tcPr>
            <w:tcW w:w="1088" w:type="dxa"/>
          </w:tcPr>
          <w:p>
            <w:pPr>
              <w:pStyle w:val="Tabla8"/>
              <w:jc w:val="left"/>
            </w:pPr>
            <w:r>
              <w:t xml:space="preserve">1</w:t>
            </w:r>
          </w:p>
        </w:tc>
        <w:tc>
          <w:tcPr>
            <w:tcW w:w="1171" w:type="dxa"/>
          </w:tcPr>
          <w:p>
            <w:pPr>
              <w:pStyle w:val="Tabla8"/>
              <w:jc w:val="left"/>
            </w:pPr>
            <w:r>
              <w:t xml:space="preserve">3</w:t>
            </w:r>
          </w:p>
        </w:tc>
        <w:tc>
          <w:tcPr>
            <w:tcW w:w="1171" w:type="dxa"/>
          </w:tcPr>
          <w:p>
            <w:pPr>
              <w:pStyle w:val="Tabla8"/>
              <w:jc w:val="left"/>
            </w:pPr>
            <w:r>
              <w:t xml:space="preserve">8</w:t>
            </w:r>
          </w:p>
        </w:tc>
        <w:tc>
          <w:tcPr>
            <w:tcW w:w="1171" w:type="dxa"/>
          </w:tcPr>
          <w:p>
            <w:pPr>
              <w:pStyle w:val="Tabla8"/>
              <w:jc w:val="left"/>
            </w:pPr>
            <w:r>
              <w:t xml:space="preserve">5</w:t>
            </w:r>
          </w:p>
        </w:tc>
        <w:tc>
          <w:tcPr>
            <w:tcW w:w="1171" w:type="dxa"/>
          </w:tcPr>
          <w:p>
            <w:pPr>
              <w:pStyle w:val="Tabla8"/>
              <w:jc w:val="left"/>
            </w:pPr>
            <w:r>
              <w:t xml:space="preserve">9</w:t>
            </w:r>
          </w:p>
        </w:tc>
      </w:tr>
      <w:tr>
        <w:trPr>
          <w:cantSplit/>
        </w:trPr>
        <w:tc>
          <w:tcPr>
            <w:tcW w:w="836" w:type="dxa"/>
            <w:shd w:val="clear" w:color="auto" w:fill="F7F7F7"/>
          </w:tcPr>
          <w:p>
            <w:pPr>
              <w:pStyle w:val="Tabla8"/>
              <w:jc w:val="left"/>
            </w:pPr>
            <w:r>
              <w:t xml:space="preserve">V08</w:t>
            </w:r>
          </w:p>
        </w:tc>
        <w:tc>
          <w:tcPr>
            <w:tcW w:w="3346" w:type="dxa"/>
            <w:shd w:val="clear" w:color="auto" w:fill="F7F7F7"/>
          </w:tcPr>
          <w:p>
            <w:pPr>
              <w:pStyle w:val="Tabla8"/>
              <w:jc w:val="left"/>
            </w:pPr>
            <w:r>
              <w:t xml:space="preserve">Latencia de datos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12</w:t>
            </w:r>
          </w:p>
        </w:tc>
        <w:tc>
          <w:tcPr>
            <w:tcW w:w="1171" w:type="dxa"/>
            <w:shd w:val="clear" w:color="auto" w:fill="F7F7F7"/>
          </w:tcPr>
          <w:p>
            <w:pPr>
              <w:pStyle w:val="Tabla8"/>
              <w:jc w:val="left"/>
            </w:pPr>
            <w:r>
              <w:t xml:space="preserve">15</w:t>
            </w:r>
          </w:p>
        </w:tc>
        <w:tc>
          <w:tcPr>
            <w:tcW w:w="1171" w:type="dxa"/>
            <w:shd w:val="clear" w:color="auto" w:fill="F7F7F7"/>
          </w:tcPr>
          <w:p>
            <w:pPr>
              <w:pStyle w:val="Tabla8"/>
              <w:jc w:val="left"/>
            </w:pPr>
            <w:r>
              <w:t xml:space="preserve">8,5</w:t>
            </w:r>
          </w:p>
        </w:tc>
        <w:tc>
          <w:tcPr>
            <w:tcW w:w="1171" w:type="dxa"/>
            <w:shd w:val="clear" w:color="auto" w:fill="F7F7F7"/>
          </w:tcPr>
          <w:p>
            <w:pPr>
              <w:pStyle w:val="Tabla8"/>
              <w:jc w:val="left"/>
            </w:pPr>
            <w:r>
              <w:t xml:space="preserve">12</w:t>
            </w:r>
          </w:p>
        </w:tc>
      </w:tr>
      <w:tr>
        <w:trPr>
          <w:cantSplit/>
        </w:trPr>
        <w:tc>
          <w:tcPr>
            <w:tcW w:w="836" w:type="dxa"/>
          </w:tcPr>
          <w:p>
            <w:pPr>
              <w:pStyle w:val="Tabla8"/>
              <w:jc w:val="left"/>
            </w:pPr>
            <w:r>
              <w:t xml:space="preserve">V09</w:t>
            </w:r>
          </w:p>
        </w:tc>
        <w:tc>
          <w:tcPr>
            <w:tcW w:w="3346" w:type="dxa"/>
          </w:tcPr>
          <w:p>
            <w:pPr>
              <w:pStyle w:val="Tabla8"/>
              <w:jc w:val="left"/>
            </w:pPr>
            <w:r>
              <w:t xml:space="preserve">Disponibilidad de nodos</w:t>
            </w:r>
          </w:p>
        </w:tc>
        <w:tc>
          <w:tcPr>
            <w:tcW w:w="1088" w:type="dxa"/>
          </w:tcPr>
          <w:p>
            <w:pPr>
              <w:pStyle w:val="Tabla8"/>
              <w:jc w:val="left"/>
            </w:pPr>
            <w:r>
              <w:t xml:space="preserve">8,5</w:t>
            </w:r>
          </w:p>
        </w:tc>
        <w:tc>
          <w:tcPr>
            <w:tcW w:w="1171" w:type="dxa"/>
          </w:tcPr>
          <w:p>
            <w:pPr>
              <w:pStyle w:val="Tabla8"/>
              <w:jc w:val="left"/>
            </w:pPr>
            <w:r>
              <w:t xml:space="preserve">10</w:t>
            </w:r>
          </w:p>
        </w:tc>
        <w:tc>
          <w:tcPr>
            <w:tcW w:w="1171" w:type="dxa"/>
          </w:tcPr>
          <w:p>
            <w:pPr>
              <w:pStyle w:val="Tabla8"/>
              <w:jc w:val="left"/>
            </w:pPr>
            <w:r>
              <w:t xml:space="preserve">12</w:t>
            </w:r>
          </w:p>
        </w:tc>
        <w:tc>
          <w:tcPr>
            <w:tcW w:w="1171" w:type="dxa"/>
          </w:tcPr>
          <w:p>
            <w:pPr>
              <w:pStyle w:val="Tabla8"/>
              <w:jc w:val="left"/>
            </w:pPr>
            <w:r>
              <w:t xml:space="preserve">15</w:t>
            </w:r>
          </w:p>
        </w:tc>
        <w:tc>
          <w:tcPr>
            <w:tcW w:w="1171" w:type="dxa"/>
          </w:tcPr>
          <w:p>
            <w:pPr>
              <w:pStyle w:val="Tabla8"/>
              <w:jc w:val="left"/>
            </w:pPr>
            <w:r>
              <w:t xml:space="preserve">13</w:t>
            </w:r>
          </w:p>
        </w:tc>
      </w:tr>
      <w:tr>
        <w:trPr>
          <w:cantSplit/>
        </w:trPr>
        <w:tc>
          <w:tcPr>
            <w:tcW w:w="836" w:type="dxa"/>
            <w:shd w:val="clear" w:color="auto" w:fill="F7F7F7"/>
          </w:tcPr>
          <w:p>
            <w:pPr>
              <w:pStyle w:val="Tabla8"/>
              <w:jc w:val="left"/>
            </w:pPr>
            <w:r>
              <w:t xml:space="preserve">V10</w:t>
            </w:r>
          </w:p>
        </w:tc>
        <w:tc>
          <w:tcPr>
            <w:tcW w:w="3346" w:type="dxa"/>
            <w:shd w:val="clear" w:color="auto" w:fill="F7F7F7"/>
          </w:tcPr>
          <w:p>
            <w:pPr>
              <w:pStyle w:val="Tabla8"/>
              <w:jc w:val="left"/>
            </w:pPr>
            <w:r>
              <w:t xml:space="preserve">Densidad del gemelo digital</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9</w:t>
            </w:r>
          </w:p>
        </w:tc>
        <w:tc>
          <w:tcPr>
            <w:tcW w:w="1171" w:type="dxa"/>
            <w:shd w:val="clear" w:color="auto" w:fill="F7F7F7"/>
          </w:tcPr>
          <w:p>
            <w:pPr>
              <w:pStyle w:val="Tabla8"/>
              <w:jc w:val="left"/>
            </w:pPr>
            <w:r>
              <w:t xml:space="preserve">8,5</w:t>
            </w:r>
          </w:p>
        </w:tc>
        <w:tc>
          <w:tcPr>
            <w:tcW w:w="1171" w:type="dxa"/>
            <w:shd w:val="clear" w:color="auto" w:fill="F7F7F7"/>
          </w:tcPr>
          <w:p>
            <w:pPr>
              <w:pStyle w:val="Tabla8"/>
              <w:jc w:val="left"/>
            </w:pPr>
            <w:r>
              <w:t xml:space="preserve">6</w:t>
            </w:r>
          </w:p>
        </w:tc>
      </w:tr>
      <w:tr>
        <w:trPr>
          <w:cantSplit/>
        </w:trPr>
        <w:tc>
          <w:tcPr>
            <w:tcW w:w="836" w:type="dxa"/>
          </w:tcPr>
          <w:p>
            <w:pPr>
              <w:pStyle w:val="Tabla8"/>
              <w:jc w:val="left"/>
            </w:pPr>
            <w:r>
              <w:t xml:space="preserve">V11</w:t>
            </w:r>
          </w:p>
        </w:tc>
        <w:tc>
          <w:tcPr>
            <w:tcW w:w="3346" w:type="dxa"/>
          </w:tcPr>
          <w:p>
            <w:pPr>
              <w:pStyle w:val="Tabla8"/>
              <w:jc w:val="left"/>
            </w:pPr>
            <w:r>
              <w:t xml:space="preserve">Índice local de calidad del aire</w:t>
            </w:r>
          </w:p>
        </w:tc>
        <w:tc>
          <w:tcPr>
            <w:tcW w:w="1088" w:type="dxa"/>
          </w:tcPr>
          <w:p>
            <w:pPr>
              <w:pStyle w:val="Tabla8"/>
              <w:jc w:val="left"/>
            </w:pPr>
            <w:r>
              <w:t xml:space="preserve">8,5</w:t>
            </w:r>
          </w:p>
        </w:tc>
        <w:tc>
          <w:tcPr>
            <w:tcW w:w="1171" w:type="dxa"/>
          </w:tcPr>
          <w:p>
            <w:pPr>
              <w:pStyle w:val="Tabla8"/>
              <w:jc w:val="left"/>
            </w:pPr>
            <w:r>
              <w:t xml:space="preserve">11</w:t>
            </w:r>
          </w:p>
        </w:tc>
        <w:tc>
          <w:tcPr>
            <w:tcW w:w="1171" w:type="dxa"/>
          </w:tcPr>
          <w:p>
            <w:pPr>
              <w:pStyle w:val="Tabla8"/>
              <w:jc w:val="left"/>
            </w:pPr>
            <w:r>
              <w:t xml:space="preserve">10</w:t>
            </w:r>
          </w:p>
        </w:tc>
        <w:tc>
          <w:tcPr>
            <w:tcW w:w="1171" w:type="dxa"/>
          </w:tcPr>
          <w:p>
            <w:pPr>
              <w:pStyle w:val="Tabla8"/>
              <w:jc w:val="left"/>
            </w:pPr>
            <w:r>
              <w:t xml:space="preserve">11,5</w:t>
            </w:r>
          </w:p>
        </w:tc>
        <w:tc>
          <w:tcPr>
            <w:tcW w:w="1171" w:type="dxa"/>
          </w:tcPr>
          <w:p>
            <w:pPr>
              <w:pStyle w:val="Tabla8"/>
              <w:jc w:val="left"/>
            </w:pPr>
            <w:r>
              <w:t xml:space="preserve">10</w:t>
            </w:r>
          </w:p>
        </w:tc>
      </w:tr>
      <w:tr>
        <w:trPr>
          <w:cantSplit/>
        </w:trPr>
        <w:tc>
          <w:tcPr>
            <w:tcW w:w="836" w:type="dxa"/>
            <w:shd w:val="clear" w:color="auto" w:fill="F7F7F7"/>
          </w:tcPr>
          <w:p>
            <w:pPr>
              <w:pStyle w:val="Tabla8"/>
              <w:jc w:val="left"/>
            </w:pPr>
            <w:r>
              <w:t xml:space="preserve">V12</w:t>
            </w:r>
          </w:p>
        </w:tc>
        <w:tc>
          <w:tcPr>
            <w:tcW w:w="3346" w:type="dxa"/>
            <w:shd w:val="clear" w:color="auto" w:fill="F7F7F7"/>
          </w:tcPr>
          <w:p>
            <w:pPr>
              <w:pStyle w:val="Tabla8"/>
              <w:jc w:val="left"/>
            </w:pPr>
            <w:r>
              <w:t xml:space="preserve">Falsas alarmas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8</w:t>
            </w:r>
          </w:p>
        </w:tc>
        <w:tc>
          <w:tcPr>
            <w:tcW w:w="1171" w:type="dxa"/>
            <w:shd w:val="clear" w:color="auto" w:fill="F7F7F7"/>
          </w:tcPr>
          <w:p>
            <w:pPr>
              <w:pStyle w:val="Tabla8"/>
              <w:jc w:val="left"/>
            </w:pPr>
            <w:r>
              <w:t xml:space="preserve">11</w:t>
            </w:r>
          </w:p>
        </w:tc>
        <w:tc>
          <w:tcPr>
            <w:tcW w:w="1171" w:type="dxa"/>
            <w:shd w:val="clear" w:color="auto" w:fill="F7F7F7"/>
          </w:tcPr>
          <w:p>
            <w:pPr>
              <w:pStyle w:val="Tabla8"/>
              <w:jc w:val="left"/>
            </w:pPr>
            <w:r>
              <w:t xml:space="preserve">11,5</w:t>
            </w:r>
          </w:p>
        </w:tc>
        <w:tc>
          <w:tcPr>
            <w:tcW w:w="1171" w:type="dxa"/>
            <w:shd w:val="clear" w:color="auto" w:fill="F7F7F7"/>
          </w:tcPr>
          <w:p>
            <w:pPr>
              <w:pStyle w:val="Tabla8"/>
              <w:jc w:val="left"/>
            </w:pPr>
            <w:r>
              <w:t xml:space="preserve">11</w:t>
            </w:r>
          </w:p>
        </w:tc>
      </w:tr>
      <w:tr>
        <w:trPr>
          <w:cantSplit/>
        </w:trPr>
        <w:tc>
          <w:tcPr>
            <w:tcW w:w="836" w:type="dxa"/>
          </w:tcPr>
          <w:p>
            <w:pPr>
              <w:pStyle w:val="Tabla8"/>
              <w:jc w:val="left"/>
            </w:pPr>
            <w:r>
              <w:t xml:space="preserve">V13</w:t>
            </w:r>
          </w:p>
        </w:tc>
        <w:tc>
          <w:tcPr>
            <w:tcW w:w="3346" w:type="dxa"/>
          </w:tcPr>
          <w:p>
            <w:pPr>
              <w:pStyle w:val="Tabla8"/>
              <w:jc w:val="left"/>
            </w:pPr>
            <w:r>
              <w:t xml:space="preserve">Anticipación del aviso</w:t>
            </w:r>
          </w:p>
        </w:tc>
        <w:tc>
          <w:tcPr>
            <w:tcW w:w="1088" w:type="dxa"/>
          </w:tcPr>
          <w:p>
            <w:pPr>
              <w:pStyle w:val="Tabla8"/>
              <w:jc w:val="left"/>
            </w:pPr>
            <w:r>
              <w:t xml:space="preserve">8,5</w:t>
            </w:r>
          </w:p>
        </w:tc>
        <w:tc>
          <w:tcPr>
            <w:tcW w:w="1171" w:type="dxa"/>
          </w:tcPr>
          <w:p>
            <w:pPr>
              <w:pStyle w:val="Tabla8"/>
              <w:jc w:val="left"/>
            </w:pPr>
            <w:r>
              <w:t xml:space="preserve">15</w:t>
            </w:r>
          </w:p>
        </w:tc>
        <w:tc>
          <w:tcPr>
            <w:tcW w:w="1171" w:type="dxa"/>
          </w:tcPr>
          <w:p>
            <w:pPr>
              <w:pStyle w:val="Tabla8"/>
              <w:jc w:val="left"/>
            </w:pPr>
            <w:r>
              <w:t xml:space="preserve">14</w:t>
            </w:r>
          </w:p>
        </w:tc>
        <w:tc>
          <w:tcPr>
            <w:tcW w:w="1171" w:type="dxa"/>
          </w:tcPr>
          <w:p>
            <w:pPr>
              <w:pStyle w:val="Tabla8"/>
              <w:jc w:val="left"/>
            </w:pPr>
            <w:r>
              <w:t xml:space="preserve">11,5</w:t>
            </w:r>
          </w:p>
        </w:tc>
        <w:tc>
          <w:tcPr>
            <w:tcW w:w="1171" w:type="dxa"/>
          </w:tcPr>
          <w:p>
            <w:pPr>
              <w:pStyle w:val="Tabla8"/>
              <w:jc w:val="left"/>
            </w:pPr>
            <w:r>
              <w:t xml:space="preserve">15</w:t>
            </w:r>
          </w:p>
        </w:tc>
      </w:tr>
      <w:tr>
        <w:trPr>
          <w:cantSplit/>
        </w:trPr>
        <w:tc>
          <w:tcPr>
            <w:tcW w:w="836" w:type="dxa"/>
            <w:shd w:val="clear" w:color="auto" w:fill="F7F7F7"/>
          </w:tcPr>
          <w:p>
            <w:pPr>
              <w:pStyle w:val="Tabla8"/>
              <w:jc w:val="left"/>
            </w:pPr>
            <w:r>
              <w:t xml:space="preserve">V14</w:t>
            </w:r>
          </w:p>
        </w:tc>
        <w:tc>
          <w:tcPr>
            <w:tcW w:w="3346" w:type="dxa"/>
            <w:shd w:val="clear" w:color="auto" w:fill="F7F7F7"/>
          </w:tcPr>
          <w:p>
            <w:pPr>
              <w:pStyle w:val="Tabla8"/>
              <w:jc w:val="left"/>
            </w:pPr>
            <w:r>
              <w:t xml:space="preserve">Personas alertadas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14</w:t>
            </w:r>
          </w:p>
        </w:tc>
        <w:tc>
          <w:tcPr>
            <w:tcW w:w="1171" w:type="dxa"/>
            <w:shd w:val="clear" w:color="auto" w:fill="F7F7F7"/>
          </w:tcPr>
          <w:p>
            <w:pPr>
              <w:pStyle w:val="Tabla8"/>
              <w:jc w:val="left"/>
            </w:pPr>
            <w:r>
              <w:t xml:space="preserve">13</w:t>
            </w:r>
          </w:p>
        </w:tc>
        <w:tc>
          <w:tcPr>
            <w:tcW w:w="1171" w:type="dxa"/>
            <w:shd w:val="clear" w:color="auto" w:fill="F7F7F7"/>
          </w:tcPr>
          <w:p>
            <w:pPr>
              <w:pStyle w:val="Tabla8"/>
              <w:jc w:val="left"/>
            </w:pPr>
            <w:r>
              <w:t xml:space="preserve">11,5</w:t>
            </w:r>
          </w:p>
        </w:tc>
        <w:tc>
          <w:tcPr>
            <w:tcW w:w="1171" w:type="dxa"/>
            <w:shd w:val="clear" w:color="auto" w:fill="F7F7F7"/>
          </w:tcPr>
          <w:p>
            <w:pPr>
              <w:pStyle w:val="Tabla8"/>
              <w:jc w:val="left"/>
            </w:pPr>
            <w:r>
              <w:t xml:space="preserve">14</w:t>
            </w:r>
          </w:p>
        </w:tc>
      </w:tr>
      <w:tr>
        <w:trPr>
          <w:cantSplit/>
        </w:trPr>
        <w:tc>
          <w:tcPr>
            <w:tcW w:w="836" w:type="dxa"/>
          </w:tcPr>
          <w:p>
            <w:pPr>
              <w:pStyle w:val="Tabla8"/>
              <w:keepNext/>
              <w:jc w:val="left"/>
            </w:pPr>
            <w:r>
              <w:t xml:space="preserve">V15</w:t>
            </w:r>
          </w:p>
        </w:tc>
        <w:tc>
          <w:tcPr>
            <w:tcW w:w="3346" w:type="dxa"/>
          </w:tcPr>
          <w:p>
            <w:pPr>
              <w:pStyle w:val="Tabla8"/>
              <w:keepNext/>
              <w:jc w:val="left"/>
            </w:pPr>
            <w:r>
              <w:t xml:space="preserve">Adopción institucional</w:t>
            </w:r>
          </w:p>
        </w:tc>
        <w:tc>
          <w:tcPr>
            <w:tcW w:w="1088" w:type="dxa"/>
          </w:tcPr>
          <w:p>
            <w:pPr>
              <w:pStyle w:val="Tabla8"/>
              <w:keepNext/>
              <w:jc w:val="left"/>
            </w:pPr>
            <w:r>
              <w:t xml:space="preserve">8,5</w:t>
            </w:r>
          </w:p>
        </w:tc>
        <w:tc>
          <w:tcPr>
            <w:tcW w:w="1171" w:type="dxa"/>
          </w:tcPr>
          <w:p>
            <w:pPr>
              <w:pStyle w:val="Tabla8"/>
              <w:keepNext/>
              <w:jc w:val="left"/>
            </w:pPr>
            <w:r>
              <w:t xml:space="preserve">6</w:t>
            </w:r>
          </w:p>
        </w:tc>
        <w:tc>
          <w:tcPr>
            <w:tcW w:w="1171" w:type="dxa"/>
          </w:tcPr>
          <w:p>
            <w:pPr>
              <w:pStyle w:val="Tabla8"/>
              <w:keepNext/>
              <w:jc w:val="left"/>
            </w:pPr>
            <w:r>
              <w:t xml:space="preserve">6</w:t>
            </w:r>
          </w:p>
        </w:tc>
        <w:tc>
          <w:tcPr>
            <w:tcW w:w="1171" w:type="dxa"/>
          </w:tcPr>
          <w:p>
            <w:pPr>
              <w:pStyle w:val="Tabla8"/>
              <w:keepNext/>
              <w:jc w:val="left"/>
            </w:pPr>
            <w:r>
              <w:t xml:space="preserve">14</w:t>
            </w:r>
          </w:p>
        </w:tc>
        <w:tc>
          <w:tcPr>
            <w:tcW w:w="1171" w:type="dxa"/>
          </w:tcPr>
          <w:p>
            <w:pPr>
              <w:pStyle w:val="Tabla8"/>
              <w:keepNext/>
              <w:jc w:val="left"/>
            </w:pPr>
            <w:r>
              <w:t xml:space="preserve">5</w:t>
            </w:r>
          </w:p>
        </w:tc>
      </w:tr>
    </w:tbl>
    <w:p>
      <w:pPr>
        <w:pStyle w:val="TablaNota"/>
      </w:pPr>
      <w:r>
        <w:rPr>
          <w:i/>
          <w:iCs/>
        </w:rPr>
        <w:t xml:space="preserve">Nota.</w:t>
      </w:r>
      <w:r>
        <w:t xml:space="preserve"> </w:t>
      </w:r>
      <w:r>
        <w:t xml:space="preserve">Elaboración propia. En S0 solo V07 tiene influencia positiva en A⁶ y las demás empatan en 8,5, de modo que no hay ranking. El rango 1 es la mayor influencia indirecta.</w:t>
      </w:r>
    </w:p>
    <w:bookmarkEnd w:id="46"/>
    <w:bookmarkStart w:id="47" w:name="a.5.3-ciclos-y-retroalimentación"/>
    <w:p>
      <w:pPr>
        <w:pStyle w:val="Heading3"/>
      </w:pPr>
      <w:r>
        <w:t xml:space="preserve">A.5.3 Ciclos y retroalimentación</w:t>
      </w:r>
    </w:p>
    <w:p>
      <w:pPr>
        <w:pStyle w:val="FirstParagraph"/>
      </w:pPr>
      <w:r>
        <w:t xml:space="preserve">S2 contiene 144 ciclos simples de hasta siete vínculos. La Tabla A.16 muestra las variables que más aparecen. 140 ciclos contienen V15. Los ciclos de dos vínculos son V06↔V07, V09↔V15, V11↔V12 y V14↔V15.</w:t>
      </w:r>
    </w:p>
    <w:p>
      <w:pPr>
        <w:pStyle w:val="TablaRotulo"/>
      </w:pPr>
      <w:bookmarkStart w:id="9016" w:name="rot_Tabla_A_16"/>
      <w:r>
        <w:rPr>
          <w:b/>
          <w:bCs/>
        </w:rPr>
        <w:t xml:space="preserve">Tabla A.16</w:t>
      </w:r>
      <w:bookmarkEnd w:id="9016"/>
    </w:p>
    <w:p>
      <w:pPr>
        <w:pStyle w:val="TablaTitulo"/>
      </w:pPr>
      <w:r>
        <w:rPr>
          <w:i/>
          <w:iCs/>
        </w:rPr>
        <w:t xml:space="preserve">Participación de las variables más frecuentes en los 144 ciclos simples de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3900"/>
        <w:gridCol w:w="2488"/>
        <w:gridCol w:w="2571"/>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ID</w:t>
            </w:r>
          </w:p>
        </w:tc>
        <w:tc>
          <w:tcPr>
            <w:tcW w:w="3900" w:type="dxa"/>
            <w:tcBorders>
              <w:bottom w:val="single" w:sz="12" w:space="0" w:color="6699CC"/>
            </w:tcBorders>
            <w:shd w:val="clear" w:color="auto" w:fill="B9D9EB"/>
          </w:tcPr>
          <w:p>
            <w:pPr>
              <w:pStyle w:val="Tabla9"/>
              <w:keepNext/>
              <w:jc w:val="left"/>
            </w:pPr>
            <w:r>
              <w:rPr>
                <w:b/>
              </w:rPr>
              <w:t xml:space="preserve">Variable</w:t>
            </w:r>
          </w:p>
        </w:tc>
        <w:tc>
          <w:tcPr>
            <w:tcW w:w="2488" w:type="dxa"/>
            <w:tcBorders>
              <w:bottom w:val="single" w:sz="12" w:space="0" w:color="6699CC"/>
            </w:tcBorders>
            <w:shd w:val="clear" w:color="auto" w:fill="B9D9EB"/>
          </w:tcPr>
          <w:p>
            <w:pPr>
              <w:pStyle w:val="Tabla9"/>
              <w:keepNext/>
              <w:jc w:val="left"/>
            </w:pPr>
            <w:r>
              <w:rPr>
                <w:b/>
              </w:rPr>
              <w:t xml:space="preserve">Ciclos que la contienen</w:t>
            </w:r>
          </w:p>
        </w:tc>
        <w:tc>
          <w:tcPr>
            <w:tcW w:w="2571" w:type="dxa"/>
            <w:tcBorders>
              <w:bottom w:val="single" w:sz="12" w:space="0" w:color="6699CC"/>
            </w:tcBorders>
            <w:shd w:val="clear" w:color="auto" w:fill="B9D9EB"/>
          </w:tcPr>
          <w:p>
            <w:pPr>
              <w:pStyle w:val="Tabla9"/>
              <w:keepNext/>
              <w:jc w:val="left"/>
            </w:pPr>
            <w:r>
              <w:rPr>
                <w:b/>
              </w:rPr>
              <w:t xml:space="preserve">Proporción de ciclos</w:t>
            </w:r>
          </w:p>
        </w:tc>
      </w:tr>
      <w:tr>
        <w:trPr>
          <w:cantSplit/>
        </w:trPr>
        <w:tc>
          <w:tcPr>
            <w:tcW w:w="995" w:type="dxa"/>
          </w:tcPr>
          <w:p>
            <w:pPr>
              <w:pStyle w:val="Tabla9"/>
              <w:jc w:val="left"/>
            </w:pPr>
            <w:r>
              <w:t xml:space="preserve">V15</w:t>
            </w:r>
          </w:p>
        </w:tc>
        <w:tc>
          <w:tcPr>
            <w:tcW w:w="3900" w:type="dxa"/>
          </w:tcPr>
          <w:p>
            <w:pPr>
              <w:pStyle w:val="Tabla9"/>
              <w:jc w:val="left"/>
            </w:pPr>
            <w:r>
              <w:t xml:space="preserve">Adopción institucional</w:t>
            </w:r>
          </w:p>
        </w:tc>
        <w:tc>
          <w:tcPr>
            <w:tcW w:w="2488" w:type="dxa"/>
          </w:tcPr>
          <w:p>
            <w:pPr>
              <w:pStyle w:val="Tabla9"/>
              <w:jc w:val="left"/>
            </w:pPr>
            <w:r>
              <w:t xml:space="preserve">140</w:t>
            </w:r>
          </w:p>
        </w:tc>
        <w:tc>
          <w:tcPr>
            <w:tcW w:w="2571" w:type="dxa"/>
          </w:tcPr>
          <w:p>
            <w:pPr>
              <w:pStyle w:val="Tabla9"/>
              <w:jc w:val="left"/>
            </w:pPr>
            <w:r>
              <w:t xml:space="preserve">97,2 %</w:t>
            </w:r>
          </w:p>
        </w:tc>
      </w:tr>
      <w:tr>
        <w:trPr>
          <w:cantSplit/>
        </w:trPr>
        <w:tc>
          <w:tcPr>
            <w:tcW w:w="995" w:type="dxa"/>
            <w:shd w:val="clear" w:color="auto" w:fill="F7F7F7"/>
          </w:tcPr>
          <w:p>
            <w:pPr>
              <w:pStyle w:val="Tabla9"/>
              <w:jc w:val="left"/>
            </w:pPr>
            <w:r>
              <w:t xml:space="preserve">V10</w:t>
            </w:r>
          </w:p>
        </w:tc>
        <w:tc>
          <w:tcPr>
            <w:tcW w:w="3900" w:type="dxa"/>
            <w:shd w:val="clear" w:color="auto" w:fill="F7F7F7"/>
          </w:tcPr>
          <w:p>
            <w:pPr>
              <w:pStyle w:val="Tabla9"/>
              <w:jc w:val="left"/>
            </w:pPr>
            <w:r>
              <w:t xml:space="preserve">Densidad del gemelo digital</w:t>
            </w:r>
          </w:p>
        </w:tc>
        <w:tc>
          <w:tcPr>
            <w:tcW w:w="2488" w:type="dxa"/>
            <w:shd w:val="clear" w:color="auto" w:fill="F7F7F7"/>
          </w:tcPr>
          <w:p>
            <w:pPr>
              <w:pStyle w:val="Tabla9"/>
              <w:jc w:val="left"/>
            </w:pPr>
            <w:r>
              <w:t xml:space="preserve">94</w:t>
            </w:r>
          </w:p>
        </w:tc>
        <w:tc>
          <w:tcPr>
            <w:tcW w:w="2571" w:type="dxa"/>
            <w:shd w:val="clear" w:color="auto" w:fill="F7F7F7"/>
          </w:tcPr>
          <w:p>
            <w:pPr>
              <w:pStyle w:val="Tabla9"/>
              <w:jc w:val="left"/>
            </w:pPr>
            <w:r>
              <w:t xml:space="preserve">65,3 %</w:t>
            </w:r>
          </w:p>
        </w:tc>
      </w:tr>
      <w:tr>
        <w:trPr>
          <w:cantSplit/>
        </w:trPr>
        <w:tc>
          <w:tcPr>
            <w:tcW w:w="995" w:type="dxa"/>
          </w:tcPr>
          <w:p>
            <w:pPr>
              <w:pStyle w:val="Tabla9"/>
              <w:jc w:val="left"/>
            </w:pPr>
            <w:r>
              <w:t xml:space="preserve">V06</w:t>
            </w:r>
          </w:p>
        </w:tc>
        <w:tc>
          <w:tcPr>
            <w:tcW w:w="3900" w:type="dxa"/>
          </w:tcPr>
          <w:p>
            <w:pPr>
              <w:pStyle w:val="Tabla9"/>
              <w:jc w:val="left"/>
            </w:pPr>
            <w:r>
              <w:t xml:space="preserve">Error de medición de los nodos</w:t>
            </w:r>
          </w:p>
        </w:tc>
        <w:tc>
          <w:tcPr>
            <w:tcW w:w="2488" w:type="dxa"/>
          </w:tcPr>
          <w:p>
            <w:pPr>
              <w:pStyle w:val="Tabla9"/>
              <w:jc w:val="left"/>
            </w:pPr>
            <w:r>
              <w:t xml:space="preserve">84</w:t>
            </w:r>
          </w:p>
        </w:tc>
        <w:tc>
          <w:tcPr>
            <w:tcW w:w="2571" w:type="dxa"/>
          </w:tcPr>
          <w:p>
            <w:pPr>
              <w:pStyle w:val="Tabla9"/>
              <w:jc w:val="left"/>
            </w:pPr>
            <w:r>
              <w:t xml:space="preserve">58,3 %</w:t>
            </w:r>
          </w:p>
        </w:tc>
      </w:tr>
      <w:tr>
        <w:trPr>
          <w:cantSplit/>
        </w:trPr>
        <w:tc>
          <w:tcPr>
            <w:tcW w:w="995" w:type="dxa"/>
            <w:shd w:val="clear" w:color="auto" w:fill="F7F7F7"/>
          </w:tcPr>
          <w:p>
            <w:pPr>
              <w:pStyle w:val="Tabla9"/>
              <w:keepNext/>
              <w:jc w:val="left"/>
            </w:pPr>
            <w:r>
              <w:t xml:space="preserve">V09</w:t>
            </w:r>
          </w:p>
        </w:tc>
        <w:tc>
          <w:tcPr>
            <w:tcW w:w="3900" w:type="dxa"/>
            <w:shd w:val="clear" w:color="auto" w:fill="F7F7F7"/>
          </w:tcPr>
          <w:p>
            <w:pPr>
              <w:pStyle w:val="Tabla9"/>
              <w:keepNext/>
              <w:jc w:val="left"/>
            </w:pPr>
            <w:r>
              <w:t xml:space="preserve">Disponibilidad de nodos</w:t>
            </w:r>
          </w:p>
        </w:tc>
        <w:tc>
          <w:tcPr>
            <w:tcW w:w="2488" w:type="dxa"/>
            <w:shd w:val="clear" w:color="auto" w:fill="F7F7F7"/>
          </w:tcPr>
          <w:p>
            <w:pPr>
              <w:pStyle w:val="Tabla9"/>
              <w:keepNext/>
              <w:jc w:val="left"/>
            </w:pPr>
            <w:r>
              <w:t xml:space="preserve">84</w:t>
            </w:r>
          </w:p>
        </w:tc>
        <w:tc>
          <w:tcPr>
            <w:tcW w:w="2571" w:type="dxa"/>
            <w:shd w:val="clear" w:color="auto" w:fill="F7F7F7"/>
          </w:tcPr>
          <w:p>
            <w:pPr>
              <w:pStyle w:val="Tabla9"/>
              <w:keepNext/>
              <w:jc w:val="left"/>
            </w:pPr>
            <w:r>
              <w:t xml:space="preserve">58,3 %</w:t>
            </w:r>
          </w:p>
        </w:tc>
      </w:tr>
    </w:tbl>
    <w:p>
      <w:pPr>
        <w:pStyle w:val="TablaNota"/>
      </w:pPr>
      <w:r>
        <w:rPr>
          <w:i/>
          <w:iCs/>
        </w:rPr>
        <w:t xml:space="preserve">Nota.</w:t>
      </w:r>
      <w:r>
        <w:t xml:space="preserve"> </w:t>
      </w:r>
      <w:r>
        <w:t xml:space="preserve">Elaboración propia. Se cuentan los ciclos simples de hasta siete vínculos del escenario S2. Los ciclos de dos vínculos son V06↔V07, V09↔V15, V11↔V12 y V14↔V15.</w:t>
      </w:r>
    </w:p>
    <w:p>
      <w:pPr>
        <w:pStyle w:val="BodyText"/>
      </w:pPr>
      <w:r>
        <w:t xml:space="preserve">La componente fuertemente conexa mayor reúne 13 variables. V03 y V04 quedan fuera porque no reciben influencia. De los 105 pares, 4 tienen vínculos en ambos sentidos, 40 tienen un solo vínculo y 61 no tienen vínculo. Tres de los cuatro pares recíprocos tienen valores distintos según el sentido. La concentración de ciclos en V15 resulta de sus cinco vínculos de salida y sus cinco de entrada. Depende de esas fichas y de sus dominios admisibles.</w:t>
      </w:r>
    </w:p>
    <w:bookmarkEnd w:id="47"/>
    <w:bookmarkStart w:id="48" w:name="a.5.4-rutas-explicativas"/>
    <w:p>
      <w:pPr>
        <w:pStyle w:val="Heading3"/>
      </w:pPr>
      <w:r>
        <w:t xml:space="preserve">A.5.4 Rutas explicativas</w:t>
      </w:r>
    </w:p>
    <w:p>
      <w:pPr>
        <w:pStyle w:val="FirstParagraph"/>
      </w:pPr>
      <w:r>
        <w:t xml:space="preserve">La Tabla A.17 lista, para pares seleccionados, la ruta simple de mayor producto de pesos. El producto es un índice ordinal de intensidad y no un efecto estimado. La ruta V05 → V02 → V06 → V11 → V12 → V15 explica por qué la remoción de escombros encabeza la influencia indirecta. Alcanza el resultado institucional por la cadena de medición y de índice. La ruta V15 → V05 → V02 → V06 muestra el único camino por el que el uso institucional retroalimenta la fuente.</w:t>
      </w:r>
    </w:p>
    <w:p>
      <w:pPr>
        <w:pStyle w:val="TablaRotulo"/>
      </w:pPr>
      <w:bookmarkStart w:id="9017" w:name="rot_Tabla_A_17"/>
      <w:r>
        <w:rPr>
          <w:b/>
          <w:bCs/>
        </w:rPr>
        <w:t xml:space="preserve">Tabla A.17</w:t>
      </w:r>
      <w:bookmarkEnd w:id="9017"/>
    </w:p>
    <w:p>
      <w:pPr>
        <w:pStyle w:val="TablaTitulo"/>
      </w:pPr>
      <w:r>
        <w:rPr>
          <w:i/>
          <w:iCs/>
        </w:rPr>
        <w:t xml:space="preserve">Ruta simple más intensa entre pares seleccionados de variables en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44"/>
        <w:gridCol w:w="4607"/>
        <w:gridCol w:w="2303"/>
      </w:tblGrid>
      <w:tr>
        <w:trPr>
          <w:cantSplit/>
          <w:tblHeader w:val="true"/>
          <w:tblHeader/>
        </w:trPr>
        <w:tc>
          <w:tcPr>
            <w:tcW w:w="3044" w:type="dxa"/>
            <w:tcBorders>
              <w:bottom w:val="single" w:sz="12" w:space="0" w:color="6699CC"/>
            </w:tcBorders>
            <w:shd w:val="clear" w:color="auto" w:fill="B9D9EB"/>
          </w:tcPr>
          <w:p>
            <w:pPr>
              <w:pStyle w:val="Tabla9"/>
              <w:keepNext/>
              <w:jc w:val="left"/>
            </w:pPr>
            <w:r>
              <w:rPr>
                <w:b/>
              </w:rPr>
              <w:t xml:space="preserve">Origen→Destino</w:t>
            </w:r>
          </w:p>
        </w:tc>
        <w:tc>
          <w:tcPr>
            <w:tcW w:w="4607" w:type="dxa"/>
            <w:tcBorders>
              <w:bottom w:val="single" w:sz="12" w:space="0" w:color="6699CC"/>
            </w:tcBorders>
            <w:shd w:val="clear" w:color="auto" w:fill="B9D9EB"/>
          </w:tcPr>
          <w:p>
            <w:pPr>
              <w:pStyle w:val="Tabla9"/>
              <w:keepNext/>
              <w:jc w:val="left"/>
            </w:pPr>
            <w:r>
              <w:rPr>
                <w:b/>
              </w:rPr>
              <w:t xml:space="preserve">Ruta de mayor producto de pesos</w:t>
            </w:r>
          </w:p>
        </w:tc>
        <w:tc>
          <w:tcPr>
            <w:tcW w:w="2303" w:type="dxa"/>
            <w:tcBorders>
              <w:bottom w:val="single" w:sz="12" w:space="0" w:color="6699CC"/>
            </w:tcBorders>
            <w:shd w:val="clear" w:color="auto" w:fill="B9D9EB"/>
          </w:tcPr>
          <w:p>
            <w:pPr>
              <w:pStyle w:val="Tabla9"/>
              <w:keepNext/>
              <w:jc w:val="left"/>
            </w:pPr>
            <w:r>
              <w:rPr>
                <w:b/>
              </w:rPr>
              <w:t xml:space="preserve">Producto de pesos</w:t>
            </w:r>
          </w:p>
        </w:tc>
      </w:tr>
      <w:tr>
        <w:trPr>
          <w:cantSplit/>
        </w:trPr>
        <w:tc>
          <w:tcPr>
            <w:tcW w:w="3044" w:type="dxa"/>
          </w:tcPr>
          <w:p>
            <w:pPr>
              <w:pStyle w:val="Tabla9"/>
              <w:jc w:val="left"/>
            </w:pPr>
            <w:r>
              <w:t xml:space="preserve">V05→V14</w:t>
            </w:r>
          </w:p>
        </w:tc>
        <w:tc>
          <w:tcPr>
            <w:tcW w:w="4607" w:type="dxa"/>
          </w:tcPr>
          <w:p>
            <w:pPr>
              <w:pStyle w:val="Tabla9"/>
              <w:jc w:val="left"/>
            </w:pPr>
            <w:r>
              <w:t xml:space="preserve">V05 → V02 → V06 → V11 → V12 → V15 → V14</w:t>
            </w:r>
          </w:p>
        </w:tc>
        <w:tc>
          <w:tcPr>
            <w:tcW w:w="2303" w:type="dxa"/>
          </w:tcPr>
          <w:p>
            <w:pPr>
              <w:pStyle w:val="Tabla9"/>
              <w:jc w:val="left"/>
            </w:pPr>
            <w:r>
              <w:t xml:space="preserve">216</w:t>
            </w:r>
          </w:p>
        </w:tc>
      </w:tr>
      <w:tr>
        <w:trPr>
          <w:cantSplit/>
        </w:trPr>
        <w:tc>
          <w:tcPr>
            <w:tcW w:w="3044" w:type="dxa"/>
            <w:shd w:val="clear" w:color="auto" w:fill="F7F7F7"/>
          </w:tcPr>
          <w:p>
            <w:pPr>
              <w:pStyle w:val="Tabla9"/>
              <w:jc w:val="left"/>
            </w:pPr>
            <w:r>
              <w:t xml:space="preserve">V05→V15</w:t>
            </w:r>
          </w:p>
        </w:tc>
        <w:tc>
          <w:tcPr>
            <w:tcW w:w="4607" w:type="dxa"/>
            <w:shd w:val="clear" w:color="auto" w:fill="F7F7F7"/>
          </w:tcPr>
          <w:p>
            <w:pPr>
              <w:pStyle w:val="Tabla9"/>
              <w:jc w:val="left"/>
            </w:pPr>
            <w:r>
              <w:t xml:space="preserve">V05 → V02 → V06 → V11 → V12 → V15</w:t>
            </w:r>
          </w:p>
        </w:tc>
        <w:tc>
          <w:tcPr>
            <w:tcW w:w="2303" w:type="dxa"/>
            <w:shd w:val="clear" w:color="auto" w:fill="F7F7F7"/>
          </w:tcPr>
          <w:p>
            <w:pPr>
              <w:pStyle w:val="Tabla9"/>
              <w:jc w:val="left"/>
            </w:pPr>
            <w:r>
              <w:t xml:space="preserve">108</w:t>
            </w:r>
          </w:p>
        </w:tc>
      </w:tr>
      <w:tr>
        <w:trPr>
          <w:cantSplit/>
        </w:trPr>
        <w:tc>
          <w:tcPr>
            <w:tcW w:w="3044" w:type="dxa"/>
          </w:tcPr>
          <w:p>
            <w:pPr>
              <w:pStyle w:val="Tabla9"/>
              <w:jc w:val="left"/>
            </w:pPr>
            <w:r>
              <w:t xml:space="preserve">V03→V11</w:t>
            </w:r>
          </w:p>
        </w:tc>
        <w:tc>
          <w:tcPr>
            <w:tcW w:w="4607" w:type="dxa"/>
          </w:tcPr>
          <w:p>
            <w:pPr>
              <w:pStyle w:val="Tabla9"/>
              <w:jc w:val="left"/>
            </w:pPr>
            <w:r>
              <w:t xml:space="preserve">V03 → V06 → V12 → V15 → V09 → V10 → V11</w:t>
            </w:r>
          </w:p>
        </w:tc>
        <w:tc>
          <w:tcPr>
            <w:tcW w:w="2303" w:type="dxa"/>
          </w:tcPr>
          <w:p>
            <w:pPr>
              <w:pStyle w:val="Tabla9"/>
              <w:jc w:val="left"/>
            </w:pPr>
            <w:r>
              <w:t xml:space="preserve">144</w:t>
            </w:r>
          </w:p>
        </w:tc>
      </w:tr>
      <w:tr>
        <w:trPr>
          <w:cantSplit/>
        </w:trPr>
        <w:tc>
          <w:tcPr>
            <w:tcW w:w="3044" w:type="dxa"/>
            <w:shd w:val="clear" w:color="auto" w:fill="F7F7F7"/>
          </w:tcPr>
          <w:p>
            <w:pPr>
              <w:pStyle w:val="Tabla9"/>
              <w:jc w:val="left"/>
            </w:pPr>
            <w:r>
              <w:t xml:space="preserve">V04→V11</w:t>
            </w:r>
          </w:p>
        </w:tc>
        <w:tc>
          <w:tcPr>
            <w:tcW w:w="4607" w:type="dxa"/>
            <w:shd w:val="clear" w:color="auto" w:fill="F7F7F7"/>
          </w:tcPr>
          <w:p>
            <w:pPr>
              <w:pStyle w:val="Tabla9"/>
              <w:jc w:val="left"/>
            </w:pPr>
            <w:r>
              <w:t xml:space="preserve">V04 → V02 → V06 → V15 → V09 → V10 → V11</w:t>
            </w:r>
          </w:p>
        </w:tc>
        <w:tc>
          <w:tcPr>
            <w:tcW w:w="2303" w:type="dxa"/>
            <w:shd w:val="clear" w:color="auto" w:fill="F7F7F7"/>
          </w:tcPr>
          <w:p>
            <w:pPr>
              <w:pStyle w:val="Tabla9"/>
              <w:jc w:val="left"/>
            </w:pPr>
            <w:r>
              <w:t xml:space="preserve">72</w:t>
            </w:r>
          </w:p>
        </w:tc>
      </w:tr>
      <w:tr>
        <w:trPr>
          <w:cantSplit/>
        </w:trPr>
        <w:tc>
          <w:tcPr>
            <w:tcW w:w="3044" w:type="dxa"/>
          </w:tcPr>
          <w:p>
            <w:pPr>
              <w:pStyle w:val="Tabla9"/>
              <w:jc w:val="left"/>
            </w:pPr>
            <w:r>
              <w:t xml:space="preserve">V07→V14</w:t>
            </w:r>
          </w:p>
        </w:tc>
        <w:tc>
          <w:tcPr>
            <w:tcW w:w="4607" w:type="dxa"/>
          </w:tcPr>
          <w:p>
            <w:pPr>
              <w:pStyle w:val="Tabla9"/>
              <w:jc w:val="left"/>
            </w:pPr>
            <w:r>
              <w:t xml:space="preserve">V07 → V06 → V11 → V12 → V15 → V14</w:t>
            </w:r>
          </w:p>
        </w:tc>
        <w:tc>
          <w:tcPr>
            <w:tcW w:w="2303" w:type="dxa"/>
          </w:tcPr>
          <w:p>
            <w:pPr>
              <w:pStyle w:val="Tabla9"/>
              <w:jc w:val="left"/>
            </w:pPr>
            <w:r>
              <w:t xml:space="preserve">72</w:t>
            </w:r>
          </w:p>
        </w:tc>
      </w:tr>
      <w:tr>
        <w:trPr>
          <w:cantSplit/>
        </w:trPr>
        <w:tc>
          <w:tcPr>
            <w:tcW w:w="3044" w:type="dxa"/>
            <w:shd w:val="clear" w:color="auto" w:fill="F7F7F7"/>
          </w:tcPr>
          <w:p>
            <w:pPr>
              <w:pStyle w:val="Tabla9"/>
              <w:jc w:val="left"/>
            </w:pPr>
            <w:r>
              <w:t xml:space="preserve">V07→V15</w:t>
            </w:r>
          </w:p>
        </w:tc>
        <w:tc>
          <w:tcPr>
            <w:tcW w:w="4607" w:type="dxa"/>
            <w:shd w:val="clear" w:color="auto" w:fill="F7F7F7"/>
          </w:tcPr>
          <w:p>
            <w:pPr>
              <w:pStyle w:val="Tabla9"/>
              <w:jc w:val="left"/>
            </w:pPr>
            <w:r>
              <w:t xml:space="preserve">V07 → V06 → V09 → V10 → V11 → V12 → V15</w:t>
            </w:r>
          </w:p>
        </w:tc>
        <w:tc>
          <w:tcPr>
            <w:tcW w:w="2303" w:type="dxa"/>
            <w:shd w:val="clear" w:color="auto" w:fill="F7F7F7"/>
          </w:tcPr>
          <w:p>
            <w:pPr>
              <w:pStyle w:val="Tabla9"/>
              <w:jc w:val="left"/>
            </w:pPr>
            <w:r>
              <w:t xml:space="preserve">72</w:t>
            </w:r>
          </w:p>
        </w:tc>
      </w:tr>
      <w:tr>
        <w:trPr>
          <w:cantSplit/>
        </w:trPr>
        <w:tc>
          <w:tcPr>
            <w:tcW w:w="3044" w:type="dxa"/>
          </w:tcPr>
          <w:p>
            <w:pPr>
              <w:pStyle w:val="Tabla9"/>
              <w:jc w:val="left"/>
            </w:pPr>
            <w:r>
              <w:t xml:space="preserve">V15→V06</w:t>
            </w:r>
          </w:p>
        </w:tc>
        <w:tc>
          <w:tcPr>
            <w:tcW w:w="4607" w:type="dxa"/>
          </w:tcPr>
          <w:p>
            <w:pPr>
              <w:pStyle w:val="Tabla9"/>
              <w:jc w:val="left"/>
            </w:pPr>
            <w:r>
              <w:t xml:space="preserve">V15 → V05 → V02 → V06</w:t>
            </w:r>
          </w:p>
        </w:tc>
        <w:tc>
          <w:tcPr>
            <w:tcW w:w="2303" w:type="dxa"/>
          </w:tcPr>
          <w:p>
            <w:pPr>
              <w:pStyle w:val="Tabla9"/>
              <w:jc w:val="left"/>
            </w:pPr>
            <w:r>
              <w:t xml:space="preserve">9</w:t>
            </w:r>
          </w:p>
        </w:tc>
      </w:tr>
      <w:tr>
        <w:trPr>
          <w:cantSplit/>
        </w:trPr>
        <w:tc>
          <w:tcPr>
            <w:tcW w:w="3044" w:type="dxa"/>
            <w:shd w:val="clear" w:color="auto" w:fill="F7F7F7"/>
          </w:tcPr>
          <w:p>
            <w:pPr>
              <w:pStyle w:val="Tabla9"/>
              <w:jc w:val="left"/>
            </w:pPr>
            <w:r>
              <w:t xml:space="preserve">V15→V11</w:t>
            </w:r>
          </w:p>
        </w:tc>
        <w:tc>
          <w:tcPr>
            <w:tcW w:w="4607" w:type="dxa"/>
            <w:shd w:val="clear" w:color="auto" w:fill="F7F7F7"/>
          </w:tcPr>
          <w:p>
            <w:pPr>
              <w:pStyle w:val="Tabla9"/>
              <w:jc w:val="left"/>
            </w:pPr>
            <w:r>
              <w:t xml:space="preserve">V15 → V05 → V02 → V06 → V09 → V10 → V11</w:t>
            </w:r>
          </w:p>
        </w:tc>
        <w:tc>
          <w:tcPr>
            <w:tcW w:w="2303" w:type="dxa"/>
            <w:shd w:val="clear" w:color="auto" w:fill="F7F7F7"/>
          </w:tcPr>
          <w:p>
            <w:pPr>
              <w:pStyle w:val="Tabla9"/>
              <w:jc w:val="left"/>
            </w:pPr>
            <w:r>
              <w:t xml:space="preserve">54</w:t>
            </w:r>
          </w:p>
        </w:tc>
      </w:tr>
      <w:tr>
        <w:trPr>
          <w:cantSplit/>
        </w:trPr>
        <w:tc>
          <w:tcPr>
            <w:tcW w:w="3044" w:type="dxa"/>
          </w:tcPr>
          <w:p>
            <w:pPr>
              <w:pStyle w:val="Tabla9"/>
              <w:jc w:val="left"/>
            </w:pPr>
            <w:r>
              <w:t xml:space="preserve">V09→V14</w:t>
            </w:r>
          </w:p>
        </w:tc>
        <w:tc>
          <w:tcPr>
            <w:tcW w:w="4607" w:type="dxa"/>
          </w:tcPr>
          <w:p>
            <w:pPr>
              <w:pStyle w:val="Tabla9"/>
              <w:jc w:val="left"/>
            </w:pPr>
            <w:r>
              <w:t xml:space="preserve">V09 → V10 → V06 → V11 → V12 → V15 → V14</w:t>
            </w:r>
          </w:p>
        </w:tc>
        <w:tc>
          <w:tcPr>
            <w:tcW w:w="2303" w:type="dxa"/>
          </w:tcPr>
          <w:p>
            <w:pPr>
              <w:pStyle w:val="Tabla9"/>
              <w:jc w:val="left"/>
            </w:pPr>
            <w:r>
              <w:t xml:space="preserve">72</w:t>
            </w:r>
          </w:p>
        </w:tc>
      </w:tr>
      <w:tr>
        <w:trPr>
          <w:cantSplit/>
        </w:trPr>
        <w:tc>
          <w:tcPr>
            <w:tcW w:w="3044" w:type="dxa"/>
            <w:shd w:val="clear" w:color="auto" w:fill="F7F7F7"/>
          </w:tcPr>
          <w:p>
            <w:pPr>
              <w:pStyle w:val="Tabla9"/>
              <w:jc w:val="left"/>
            </w:pPr>
            <w:r>
              <w:t xml:space="preserve">V10→V15</w:t>
            </w:r>
          </w:p>
        </w:tc>
        <w:tc>
          <w:tcPr>
            <w:tcW w:w="4607" w:type="dxa"/>
            <w:shd w:val="clear" w:color="auto" w:fill="F7F7F7"/>
          </w:tcPr>
          <w:p>
            <w:pPr>
              <w:pStyle w:val="Tabla9"/>
              <w:jc w:val="left"/>
            </w:pPr>
            <w:r>
              <w:t xml:space="preserve">V10 → V06 → V11 → V12 → V15</w:t>
            </w:r>
          </w:p>
        </w:tc>
        <w:tc>
          <w:tcPr>
            <w:tcW w:w="2303" w:type="dxa"/>
            <w:shd w:val="clear" w:color="auto" w:fill="F7F7F7"/>
          </w:tcPr>
          <w:p>
            <w:pPr>
              <w:pStyle w:val="Tabla9"/>
              <w:jc w:val="left"/>
            </w:pPr>
            <w:r>
              <w:t xml:space="preserve">12</w:t>
            </w:r>
          </w:p>
        </w:tc>
      </w:tr>
      <w:tr>
        <w:trPr>
          <w:cantSplit/>
        </w:trPr>
        <w:tc>
          <w:tcPr>
            <w:tcW w:w="3044" w:type="dxa"/>
          </w:tcPr>
          <w:p>
            <w:pPr>
              <w:pStyle w:val="Tabla9"/>
              <w:keepNext/>
              <w:jc w:val="left"/>
            </w:pPr>
            <w:r>
              <w:t xml:space="preserve">V02→V15</w:t>
            </w:r>
          </w:p>
        </w:tc>
        <w:tc>
          <w:tcPr>
            <w:tcW w:w="4607" w:type="dxa"/>
          </w:tcPr>
          <w:p>
            <w:pPr>
              <w:pStyle w:val="Tabla9"/>
              <w:keepNext/>
              <w:jc w:val="left"/>
            </w:pPr>
            <w:r>
              <w:t xml:space="preserve">V02 → V06 → V09 → V10 → V11 → V12 → V15</w:t>
            </w:r>
          </w:p>
        </w:tc>
        <w:tc>
          <w:tcPr>
            <w:tcW w:w="2303" w:type="dxa"/>
          </w:tcPr>
          <w:p>
            <w:pPr>
              <w:pStyle w:val="Tabla9"/>
              <w:keepNext/>
              <w:jc w:val="left"/>
            </w:pPr>
            <w:r>
              <w:t xml:space="preserve">72</w:t>
            </w:r>
          </w:p>
        </w:tc>
      </w:tr>
    </w:tbl>
    <w:p>
      <w:pPr>
        <w:pStyle w:val="TablaNota"/>
      </w:pPr>
      <w:r>
        <w:rPr>
          <w:i/>
          <w:iCs/>
        </w:rPr>
        <w:t xml:space="preserve">Nota.</w:t>
      </w:r>
      <w:r>
        <w:t xml:space="preserve"> </w:t>
      </w:r>
      <w:r>
        <w:t xml:space="preserve">Elaboración propia. El producto de pesos es un índice ordinal de intensidad y no un efecto estimado. Se consideran rutas de hasta cinco vínculos intermedios.</w:t>
      </w:r>
    </w:p>
    <w:bookmarkEnd w:id="48"/>
    <w:bookmarkEnd w:id="49"/>
    <w:bookmarkStart w:id="52" w:name="Xf96941892620a3453aafe9cc869a0289d7149c8"/>
    <w:p>
      <w:pPr>
        <w:pStyle w:val="Heading2"/>
      </w:pPr>
      <w:r>
        <w:t xml:space="preserve">A.6. Sensibilidad del análisis estructural</w:t>
      </w:r>
    </w:p>
    <w:bookmarkStart w:id="50" w:name="Xa71321136de0ad74dc95a885e68e2a404c09a73"/>
    <w:p>
      <w:pPr>
        <w:pStyle w:val="Heading3"/>
      </w:pPr>
      <w:r>
        <w:t xml:space="preserve">A.6.1 Perturbación de un vínculo a la vez</w:t>
      </w:r>
    </w:p>
    <w:p>
      <w:pPr>
        <w:pStyle w:val="FirstParagraph"/>
      </w:pPr>
      <w:r>
        <w:t xml:space="preserve">El análisis evalúa 87 cambios de un solo valor dentro del dominio admisible de cada vínculo incierto. La Tabla A.18 lista los vínculos cuyo cambio altera las tres primeras posiciones de influencia indirecta o la clase indirecta de alguna variable. De los 87 cambios, 37 alteran la clase directa de alguna variable. El mayor desplazamiento de rango es 4,5 en el plano directo y 4 en el indirecto. No se asignan probabilidades a estos cambios.</w:t>
      </w:r>
    </w:p>
    <w:p>
      <w:pPr>
        <w:pStyle w:val="TablaRotulo"/>
      </w:pPr>
      <w:bookmarkStart w:id="9018" w:name="rot_Tabla_A_18"/>
      <w:r>
        <w:rPr>
          <w:b/>
          <w:bCs/>
        </w:rPr>
        <w:t xml:space="preserve">Tabla A.18</w:t>
      </w:r>
      <w:bookmarkEnd w:id="9018"/>
    </w:p>
    <w:p>
      <w:pPr>
        <w:pStyle w:val="TablaTitulo"/>
      </w:pPr>
      <w:r>
        <w:rPr>
          <w:i/>
          <w:iCs/>
        </w:rPr>
        <w:t xml:space="preserve">Vínculos cuyo cambio de un valor altera las tres primeras posiciones o la clase indirecta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16"/>
        <w:gridCol w:w="1398"/>
        <w:gridCol w:w="1481"/>
        <w:gridCol w:w="1646"/>
        <w:gridCol w:w="2467"/>
        <w:gridCol w:w="1646"/>
      </w:tblGrid>
      <w:tr>
        <w:trPr>
          <w:cantSplit/>
          <w:tblHeader w:val="true"/>
          <w:tblHeader/>
        </w:trPr>
        <w:tc>
          <w:tcPr>
            <w:tcW w:w="1316" w:type="dxa"/>
            <w:tcBorders>
              <w:bottom w:val="single" w:sz="12" w:space="0" w:color="6699CC"/>
            </w:tcBorders>
            <w:shd w:val="clear" w:color="auto" w:fill="B9D9EB"/>
          </w:tcPr>
          <w:p>
            <w:pPr>
              <w:pStyle w:val="Tabla9"/>
              <w:keepNext/>
              <w:jc w:val="left"/>
            </w:pPr>
            <w:r>
              <w:rPr>
                <w:b/>
              </w:rPr>
              <w:t xml:space="preserve">Vínculo</w:t>
            </w:r>
          </w:p>
        </w:tc>
        <w:tc>
          <w:tcPr>
            <w:tcW w:w="1398" w:type="dxa"/>
            <w:tcBorders>
              <w:bottom w:val="single" w:sz="12" w:space="0" w:color="6699CC"/>
            </w:tcBorders>
            <w:shd w:val="clear" w:color="auto" w:fill="B9D9EB"/>
          </w:tcPr>
          <w:p>
            <w:pPr>
              <w:pStyle w:val="Tabla9"/>
              <w:keepNext/>
              <w:jc w:val="left"/>
            </w:pPr>
            <w:r>
              <w:rPr>
                <w:b/>
              </w:rPr>
              <w:t xml:space="preserve">Valor base → alterno</w:t>
            </w:r>
          </w:p>
        </w:tc>
        <w:tc>
          <w:tcPr>
            <w:tcW w:w="1481" w:type="dxa"/>
            <w:tcBorders>
              <w:bottom w:val="single" w:sz="12" w:space="0" w:color="6699CC"/>
            </w:tcBorders>
            <w:shd w:val="clear" w:color="auto" w:fill="B9D9EB"/>
          </w:tcPr>
          <w:p>
            <w:pPr>
              <w:pStyle w:val="Tabla9"/>
              <w:keepNext/>
              <w:jc w:val="left"/>
            </w:pPr>
            <w:r>
              <w:rPr>
                <w:b/>
              </w:rPr>
              <w:t xml:space="preserve">Cambia la clase directa de</w:t>
            </w:r>
          </w:p>
        </w:tc>
        <w:tc>
          <w:tcPr>
            <w:tcW w:w="1646" w:type="dxa"/>
            <w:tcBorders>
              <w:bottom w:val="single" w:sz="12" w:space="0" w:color="6699CC"/>
            </w:tcBorders>
            <w:shd w:val="clear" w:color="auto" w:fill="B9D9EB"/>
          </w:tcPr>
          <w:p>
            <w:pPr>
              <w:pStyle w:val="Tabla9"/>
              <w:keepNext/>
              <w:jc w:val="left"/>
            </w:pPr>
            <w:r>
              <w:rPr>
                <w:b/>
              </w:rPr>
              <w:t xml:space="preserve">Cambia la clase indirecta de</w:t>
            </w:r>
          </w:p>
        </w:tc>
        <w:tc>
          <w:tcPr>
            <w:tcW w:w="2467" w:type="dxa"/>
            <w:tcBorders>
              <w:bottom w:val="single" w:sz="12" w:space="0" w:color="6699CC"/>
            </w:tcBorders>
            <w:shd w:val="clear" w:color="auto" w:fill="B9D9EB"/>
          </w:tcPr>
          <w:p>
            <w:pPr>
              <w:pStyle w:val="Tabla9"/>
              <w:keepNext/>
              <w:jc w:val="left"/>
            </w:pPr>
            <w:r>
              <w:rPr>
                <w:b/>
              </w:rPr>
              <w:t xml:space="preserve">Desplazamiento máximo (directo / indirecto)</w:t>
            </w:r>
          </w:p>
        </w:tc>
        <w:tc>
          <w:tcPr>
            <w:tcW w:w="1646" w:type="dxa"/>
            <w:tcBorders>
              <w:bottom w:val="single" w:sz="12" w:space="0" w:color="6699CC"/>
            </w:tcBorders>
            <w:shd w:val="clear" w:color="auto" w:fill="B9D9EB"/>
          </w:tcPr>
          <w:p>
            <w:pPr>
              <w:pStyle w:val="Tabla9"/>
              <w:keepNext/>
              <w:jc w:val="left"/>
            </w:pPr>
            <w:r>
              <w:rPr>
                <w:b/>
              </w:rPr>
              <w:t xml:space="preserve">Altera el top 3 indirecto</w:t>
            </w:r>
          </w:p>
        </w:tc>
      </w:tr>
      <w:tr>
        <w:trPr>
          <w:cantSplit/>
        </w:trPr>
        <w:tc>
          <w:tcPr>
            <w:tcW w:w="1316" w:type="dxa"/>
          </w:tcPr>
          <w:p>
            <w:pPr>
              <w:pStyle w:val="Tabla9"/>
              <w:jc w:val="left"/>
            </w:pPr>
            <w:r>
              <w:t xml:space="preserve">V02→V11</w:t>
            </w:r>
          </w:p>
        </w:tc>
        <w:tc>
          <w:tcPr>
            <w:tcW w:w="1398" w:type="dxa"/>
          </w:tcPr>
          <w:p>
            <w:pPr>
              <w:pStyle w:val="Tabla9"/>
              <w:jc w:val="left"/>
            </w:pPr>
            <w:r>
              <w:t xml:space="preserve">2 → 3</w:t>
            </w:r>
          </w:p>
        </w:tc>
        <w:tc>
          <w:tcPr>
            <w:tcW w:w="1481" w:type="dxa"/>
          </w:tcPr>
          <w:p>
            <w:pPr>
              <w:pStyle w:val="Tabla9"/>
              <w:jc w:val="left"/>
            </w:pPr>
            <w:r>
              <w:t xml:space="preserve">—</w:t>
            </w:r>
          </w:p>
        </w:tc>
        <w:tc>
          <w:tcPr>
            <w:tcW w:w="1646" w:type="dxa"/>
          </w:tcPr>
          <w:p>
            <w:pPr>
              <w:pStyle w:val="Tabla9"/>
              <w:jc w:val="left"/>
            </w:pPr>
            <w:r>
              <w:t xml:space="preserve">—</w:t>
            </w:r>
          </w:p>
        </w:tc>
        <w:tc>
          <w:tcPr>
            <w:tcW w:w="2467" w:type="dxa"/>
          </w:tcPr>
          <w:p>
            <w:pPr>
              <w:pStyle w:val="Tabla9"/>
              <w:jc w:val="left"/>
            </w:pPr>
            <w:r>
              <w:t xml:space="preserve">2 / 1</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V03→V01</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V03, V12, V13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V03→V02</w:t>
            </w:r>
          </w:p>
        </w:tc>
        <w:tc>
          <w:tcPr>
            <w:tcW w:w="1398" w:type="dxa"/>
          </w:tcPr>
          <w:p>
            <w:pPr>
              <w:pStyle w:val="Tabla9"/>
              <w:jc w:val="left"/>
            </w:pPr>
            <w:r>
              <w:t xml:space="preserve">1 → 0</w:t>
            </w:r>
          </w:p>
        </w:tc>
        <w:tc>
          <w:tcPr>
            <w:tcW w:w="1481" w:type="dxa"/>
          </w:tcPr>
          <w:p>
            <w:pPr>
              <w:pStyle w:val="Tabla9"/>
              <w:jc w:val="left"/>
            </w:pPr>
            <w:r>
              <w:t xml:space="preserve">V02, V03</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V03→V06</w:t>
            </w:r>
          </w:p>
        </w:tc>
        <w:tc>
          <w:tcPr>
            <w:tcW w:w="1398" w:type="dxa"/>
            <w:shd w:val="clear" w:color="auto" w:fill="F7F7F7"/>
          </w:tcPr>
          <w:p>
            <w:pPr>
              <w:pStyle w:val="Tabla9"/>
              <w:jc w:val="left"/>
            </w:pPr>
            <w:r>
              <w:t xml:space="preserve">3 → 2</w:t>
            </w:r>
          </w:p>
        </w:tc>
        <w:tc>
          <w:tcPr>
            <w:tcW w:w="1481" w:type="dxa"/>
            <w:shd w:val="clear" w:color="auto" w:fill="F7F7F7"/>
          </w:tcPr>
          <w:p>
            <w:pPr>
              <w:pStyle w:val="Tabla9"/>
              <w:jc w:val="left"/>
            </w:pPr>
            <w:r>
              <w:t xml:space="preserve">V03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V03→V09</w:t>
            </w:r>
          </w:p>
        </w:tc>
        <w:tc>
          <w:tcPr>
            <w:tcW w:w="1398" w:type="dxa"/>
          </w:tcPr>
          <w:p>
            <w:pPr>
              <w:pStyle w:val="Tabla9"/>
              <w:jc w:val="left"/>
            </w:pPr>
            <w:r>
              <w:t xml:space="preserve">1 → 0</w:t>
            </w:r>
          </w:p>
        </w:tc>
        <w:tc>
          <w:tcPr>
            <w:tcW w:w="1481" w:type="dxa"/>
          </w:tcPr>
          <w:p>
            <w:pPr>
              <w:pStyle w:val="Tabla9"/>
              <w:jc w:val="left"/>
            </w:pPr>
            <w:r>
              <w:t xml:space="preserve">V03</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V04→V01</w:t>
            </w:r>
          </w:p>
        </w:tc>
        <w:tc>
          <w:tcPr>
            <w:tcW w:w="1398" w:type="dxa"/>
            <w:shd w:val="clear" w:color="auto" w:fill="F7F7F7"/>
          </w:tcPr>
          <w:p>
            <w:pPr>
              <w:pStyle w:val="Tabla9"/>
              <w:jc w:val="left"/>
            </w:pPr>
            <w:r>
              <w:t xml:space="preserve">2 → 1</w:t>
            </w:r>
          </w:p>
        </w:tc>
        <w:tc>
          <w:tcPr>
            <w:tcW w:w="1481" w:type="dxa"/>
            <w:shd w:val="clear" w:color="auto" w:fill="F7F7F7"/>
          </w:tcPr>
          <w:p>
            <w:pPr>
              <w:pStyle w:val="Tabla9"/>
              <w:jc w:val="left"/>
            </w:pPr>
            <w:r>
              <w:t xml:space="preserve">V12, V13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3</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V04→V02</w:t>
            </w:r>
          </w:p>
        </w:tc>
        <w:tc>
          <w:tcPr>
            <w:tcW w:w="1398" w:type="dxa"/>
          </w:tcPr>
          <w:p>
            <w:pPr>
              <w:pStyle w:val="Tabla9"/>
              <w:jc w:val="left"/>
            </w:pPr>
            <w:r>
              <w:t xml:space="preserve">2 → 1</w:t>
            </w:r>
          </w:p>
        </w:tc>
        <w:tc>
          <w:tcPr>
            <w:tcW w:w="1481" w:type="dxa"/>
          </w:tcPr>
          <w:p>
            <w:pPr>
              <w:pStyle w:val="Tabla9"/>
              <w:jc w:val="left"/>
            </w:pPr>
            <w:r>
              <w:t xml:space="preserve">V02</w:t>
            </w:r>
          </w:p>
        </w:tc>
        <w:tc>
          <w:tcPr>
            <w:tcW w:w="1646" w:type="dxa"/>
          </w:tcPr>
          <w:p>
            <w:pPr>
              <w:pStyle w:val="Tabla9"/>
              <w:jc w:val="left"/>
            </w:pPr>
            <w:r>
              <w:t xml:space="preserve">—</w:t>
            </w:r>
          </w:p>
        </w:tc>
        <w:tc>
          <w:tcPr>
            <w:tcW w:w="2467" w:type="dxa"/>
          </w:tcPr>
          <w:p>
            <w:pPr>
              <w:pStyle w:val="Tabla9"/>
              <w:jc w:val="left"/>
            </w:pPr>
            <w:r>
              <w:t xml:space="preserve">2 / 3</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V04→V06</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3</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V04→V09</w:t>
            </w:r>
          </w:p>
        </w:tc>
        <w:tc>
          <w:tcPr>
            <w:tcW w:w="1398" w:type="dxa"/>
          </w:tcPr>
          <w:p>
            <w:pPr>
              <w:pStyle w:val="Tabla9"/>
              <w:jc w:val="left"/>
            </w:pPr>
            <w:r>
              <w:t xml:space="preserve">1 → 0</w:t>
            </w:r>
          </w:p>
        </w:tc>
        <w:tc>
          <w:tcPr>
            <w:tcW w:w="1481" w:type="dxa"/>
          </w:tcPr>
          <w:p>
            <w:pPr>
              <w:pStyle w:val="Tabla9"/>
              <w:jc w:val="left"/>
            </w:pPr>
            <w:r>
              <w:t xml:space="preserve">—</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V05→V02</w:t>
            </w:r>
          </w:p>
        </w:tc>
        <w:tc>
          <w:tcPr>
            <w:tcW w:w="1398" w:type="dxa"/>
            <w:shd w:val="clear" w:color="auto" w:fill="F7F7F7"/>
          </w:tcPr>
          <w:p>
            <w:pPr>
              <w:pStyle w:val="Tabla9"/>
              <w:jc w:val="left"/>
            </w:pPr>
            <w:r>
              <w:t xml:space="preserve">3 → 2</w:t>
            </w:r>
          </w:p>
        </w:tc>
        <w:tc>
          <w:tcPr>
            <w:tcW w:w="1481" w:type="dxa"/>
            <w:shd w:val="clear" w:color="auto" w:fill="F7F7F7"/>
          </w:tcPr>
          <w:p>
            <w:pPr>
              <w:pStyle w:val="Tabla9"/>
              <w:jc w:val="left"/>
            </w:pPr>
            <w:r>
              <w:t xml:space="preserve">V02</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4</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V09→V10</w:t>
            </w:r>
          </w:p>
        </w:tc>
        <w:tc>
          <w:tcPr>
            <w:tcW w:w="1398" w:type="dxa"/>
          </w:tcPr>
          <w:p>
            <w:pPr>
              <w:pStyle w:val="Tabla9"/>
              <w:jc w:val="left"/>
            </w:pPr>
            <w:r>
              <w:t xml:space="preserve">3 → 0</w:t>
            </w:r>
          </w:p>
        </w:tc>
        <w:tc>
          <w:tcPr>
            <w:tcW w:w="1481" w:type="dxa"/>
          </w:tcPr>
          <w:p>
            <w:pPr>
              <w:pStyle w:val="Tabla9"/>
              <w:jc w:val="left"/>
            </w:pPr>
            <w:r>
              <w:t xml:space="preserve">—</w:t>
            </w:r>
          </w:p>
        </w:tc>
        <w:tc>
          <w:tcPr>
            <w:tcW w:w="1646" w:type="dxa"/>
          </w:tcPr>
          <w:p>
            <w:pPr>
              <w:pStyle w:val="Tabla9"/>
              <w:jc w:val="left"/>
            </w:pPr>
            <w:r>
              <w:t xml:space="preserve">V05, V10</w:t>
            </w:r>
          </w:p>
        </w:tc>
        <w:tc>
          <w:tcPr>
            <w:tcW w:w="2467" w:type="dxa"/>
          </w:tcPr>
          <w:p>
            <w:pPr>
              <w:pStyle w:val="Tabla9"/>
              <w:jc w:val="left"/>
            </w:pPr>
            <w:r>
              <w:t xml:space="preserve">3,5 / 3,5</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V01→V06</w:t>
            </w:r>
          </w:p>
        </w:tc>
        <w:tc>
          <w:tcPr>
            <w:tcW w:w="1398" w:type="dxa"/>
            <w:shd w:val="clear" w:color="auto" w:fill="F7F7F7"/>
          </w:tcPr>
          <w:p>
            <w:pPr>
              <w:pStyle w:val="Tabla9"/>
              <w:jc w:val="left"/>
            </w:pPr>
            <w:r>
              <w:t xml:space="preserve">2 → 1</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V01</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V01→V11</w:t>
            </w:r>
          </w:p>
        </w:tc>
        <w:tc>
          <w:tcPr>
            <w:tcW w:w="1398" w:type="dxa"/>
          </w:tcPr>
          <w:p>
            <w:pPr>
              <w:pStyle w:val="Tabla9"/>
              <w:jc w:val="left"/>
            </w:pPr>
            <w:r>
              <w:t xml:space="preserve">3 → 2</w:t>
            </w:r>
          </w:p>
        </w:tc>
        <w:tc>
          <w:tcPr>
            <w:tcW w:w="1481" w:type="dxa"/>
          </w:tcPr>
          <w:p>
            <w:pPr>
              <w:pStyle w:val="Tabla9"/>
              <w:jc w:val="left"/>
            </w:pPr>
            <w:r>
              <w:t xml:space="preserve">—</w:t>
            </w:r>
          </w:p>
        </w:tc>
        <w:tc>
          <w:tcPr>
            <w:tcW w:w="1646" w:type="dxa"/>
          </w:tcPr>
          <w:p>
            <w:pPr>
              <w:pStyle w:val="Tabla9"/>
              <w:jc w:val="left"/>
            </w:pPr>
            <w:r>
              <w:t xml:space="preserve">V01</w:t>
            </w:r>
          </w:p>
        </w:tc>
        <w:tc>
          <w:tcPr>
            <w:tcW w:w="2467" w:type="dxa"/>
          </w:tcPr>
          <w:p>
            <w:pPr>
              <w:pStyle w:val="Tabla9"/>
              <w:jc w:val="left"/>
            </w:pPr>
            <w:r>
              <w:t xml:space="preserve">2 / 1</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V06→V07</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V05</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V07→V06</w:t>
            </w:r>
          </w:p>
        </w:tc>
        <w:tc>
          <w:tcPr>
            <w:tcW w:w="1398" w:type="dxa"/>
          </w:tcPr>
          <w:p>
            <w:pPr>
              <w:pStyle w:val="Tabla9"/>
              <w:jc w:val="left"/>
            </w:pPr>
            <w:r>
              <w:t xml:space="preserve">3 → 2</w:t>
            </w:r>
          </w:p>
        </w:tc>
        <w:tc>
          <w:tcPr>
            <w:tcW w:w="1481" w:type="dxa"/>
          </w:tcPr>
          <w:p>
            <w:pPr>
              <w:pStyle w:val="Tabla9"/>
              <w:jc w:val="left"/>
            </w:pPr>
            <w:r>
              <w:t xml:space="preserve">V07</w:t>
            </w:r>
          </w:p>
        </w:tc>
        <w:tc>
          <w:tcPr>
            <w:tcW w:w="1646" w:type="dxa"/>
          </w:tcPr>
          <w:p>
            <w:pPr>
              <w:pStyle w:val="Tabla9"/>
              <w:jc w:val="left"/>
            </w:pPr>
            <w:r>
              <w:t xml:space="preserve">V10</w:t>
            </w:r>
          </w:p>
        </w:tc>
        <w:tc>
          <w:tcPr>
            <w:tcW w:w="2467" w:type="dxa"/>
          </w:tcPr>
          <w:p>
            <w:pPr>
              <w:pStyle w:val="Tabla9"/>
              <w:jc w:val="left"/>
            </w:pPr>
            <w:r>
              <w:t xml:space="preserve">2 / 4</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V07→V09</w:t>
            </w:r>
          </w:p>
        </w:tc>
        <w:tc>
          <w:tcPr>
            <w:tcW w:w="1398" w:type="dxa"/>
            <w:shd w:val="clear" w:color="auto" w:fill="F7F7F7"/>
          </w:tcPr>
          <w:p>
            <w:pPr>
              <w:pStyle w:val="Tabla9"/>
              <w:jc w:val="left"/>
            </w:pPr>
            <w:r>
              <w:t xml:space="preserve">1 → 2</w:t>
            </w:r>
          </w:p>
        </w:tc>
        <w:tc>
          <w:tcPr>
            <w:tcW w:w="1481" w:type="dxa"/>
            <w:shd w:val="clear" w:color="auto" w:fill="F7F7F7"/>
          </w:tcPr>
          <w:p>
            <w:pPr>
              <w:pStyle w:val="Tabla9"/>
              <w:jc w:val="left"/>
            </w:pPr>
            <w:r>
              <w:t xml:space="preserve">V03, V10, V11</w:t>
            </w:r>
          </w:p>
        </w:tc>
        <w:tc>
          <w:tcPr>
            <w:tcW w:w="1646" w:type="dxa"/>
            <w:shd w:val="clear" w:color="auto" w:fill="F7F7F7"/>
          </w:tcPr>
          <w:p>
            <w:pPr>
              <w:pStyle w:val="Tabla9"/>
              <w:jc w:val="left"/>
            </w:pPr>
            <w:r>
              <w:t xml:space="preserve">V01</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V08→V06</w:t>
            </w:r>
          </w:p>
        </w:tc>
        <w:tc>
          <w:tcPr>
            <w:tcW w:w="1398" w:type="dxa"/>
          </w:tcPr>
          <w:p>
            <w:pPr>
              <w:pStyle w:val="Tabla9"/>
              <w:jc w:val="left"/>
            </w:pPr>
            <w:r>
              <w:t xml:space="preserve">0 → 2</w:t>
            </w:r>
          </w:p>
        </w:tc>
        <w:tc>
          <w:tcPr>
            <w:tcW w:w="1481" w:type="dxa"/>
          </w:tcPr>
          <w:p>
            <w:pPr>
              <w:pStyle w:val="Tabla9"/>
              <w:jc w:val="left"/>
            </w:pPr>
            <w:r>
              <w:t xml:space="preserve">—</w:t>
            </w:r>
          </w:p>
        </w:tc>
        <w:tc>
          <w:tcPr>
            <w:tcW w:w="1646" w:type="dxa"/>
          </w:tcPr>
          <w:p>
            <w:pPr>
              <w:pStyle w:val="Tabla9"/>
              <w:jc w:val="left"/>
            </w:pPr>
            <w:r>
              <w:t xml:space="preserve">V01</w:t>
            </w:r>
          </w:p>
        </w:tc>
        <w:tc>
          <w:tcPr>
            <w:tcW w:w="2467" w:type="dxa"/>
          </w:tcPr>
          <w:p>
            <w:pPr>
              <w:pStyle w:val="Tabla9"/>
              <w:jc w:val="left"/>
            </w:pPr>
            <w:r>
              <w:t xml:space="preserve">2 / 2</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V10→V06</w:t>
            </w:r>
          </w:p>
        </w:tc>
        <w:tc>
          <w:tcPr>
            <w:tcW w:w="1398" w:type="dxa"/>
            <w:shd w:val="clear" w:color="auto" w:fill="F7F7F7"/>
          </w:tcPr>
          <w:p>
            <w:pPr>
              <w:pStyle w:val="Tabla9"/>
              <w:jc w:val="left"/>
            </w:pPr>
            <w:r>
              <w:t xml:space="preserve">1 → 2</w:t>
            </w:r>
          </w:p>
        </w:tc>
        <w:tc>
          <w:tcPr>
            <w:tcW w:w="1481" w:type="dxa"/>
            <w:shd w:val="clear" w:color="auto" w:fill="F7F7F7"/>
          </w:tcPr>
          <w:p>
            <w:pPr>
              <w:pStyle w:val="Tabla9"/>
              <w:jc w:val="left"/>
            </w:pPr>
            <w:r>
              <w:t xml:space="preserve">V03, V07, V11</w:t>
            </w:r>
          </w:p>
        </w:tc>
        <w:tc>
          <w:tcPr>
            <w:tcW w:w="1646" w:type="dxa"/>
            <w:shd w:val="clear" w:color="auto" w:fill="F7F7F7"/>
          </w:tcPr>
          <w:p>
            <w:pPr>
              <w:pStyle w:val="Tabla9"/>
              <w:jc w:val="left"/>
            </w:pPr>
            <w:r>
              <w:t xml:space="preserve">V10</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V11→V13</w:t>
            </w:r>
          </w:p>
        </w:tc>
        <w:tc>
          <w:tcPr>
            <w:tcW w:w="1398" w:type="dxa"/>
          </w:tcPr>
          <w:p>
            <w:pPr>
              <w:pStyle w:val="Tabla9"/>
              <w:jc w:val="left"/>
            </w:pPr>
            <w:r>
              <w:t xml:space="preserve">0 → 1</w:t>
            </w:r>
          </w:p>
        </w:tc>
        <w:tc>
          <w:tcPr>
            <w:tcW w:w="1481" w:type="dxa"/>
          </w:tcPr>
          <w:p>
            <w:pPr>
              <w:pStyle w:val="Tabla9"/>
              <w:jc w:val="left"/>
            </w:pPr>
            <w:r>
              <w:t xml:space="preserve">V03, V07, V10, V13</w:t>
            </w:r>
          </w:p>
        </w:tc>
        <w:tc>
          <w:tcPr>
            <w:tcW w:w="1646" w:type="dxa"/>
          </w:tcPr>
          <w:p>
            <w:pPr>
              <w:pStyle w:val="Tabla9"/>
              <w:jc w:val="left"/>
            </w:pPr>
            <w:r>
              <w:t xml:space="preserve">V13</w:t>
            </w:r>
          </w:p>
        </w:tc>
        <w:tc>
          <w:tcPr>
            <w:tcW w:w="2467" w:type="dxa"/>
          </w:tcPr>
          <w:p>
            <w:pPr>
              <w:pStyle w:val="Tabla9"/>
              <w:jc w:val="left"/>
            </w:pPr>
            <w:r>
              <w:t xml:space="preserve">2 / 2</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V15→V05</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V15</w:t>
            </w:r>
          </w:p>
        </w:tc>
        <w:tc>
          <w:tcPr>
            <w:tcW w:w="2467" w:type="dxa"/>
            <w:shd w:val="clear" w:color="auto" w:fill="F7F7F7"/>
          </w:tcPr>
          <w:p>
            <w:pPr>
              <w:pStyle w:val="Tabla9"/>
              <w:jc w:val="left"/>
            </w:pPr>
            <w:r>
              <w:t xml:space="preserve">2 / 4</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V15→V07</w:t>
            </w:r>
          </w:p>
        </w:tc>
        <w:tc>
          <w:tcPr>
            <w:tcW w:w="1398" w:type="dxa"/>
          </w:tcPr>
          <w:p>
            <w:pPr>
              <w:pStyle w:val="Tabla9"/>
              <w:jc w:val="left"/>
            </w:pPr>
            <w:r>
              <w:t xml:space="preserve">1 → 0</w:t>
            </w:r>
          </w:p>
        </w:tc>
        <w:tc>
          <w:tcPr>
            <w:tcW w:w="1481" w:type="dxa"/>
          </w:tcPr>
          <w:p>
            <w:pPr>
              <w:pStyle w:val="Tabla9"/>
              <w:jc w:val="left"/>
            </w:pPr>
            <w:r>
              <w:t xml:space="preserve">—</w:t>
            </w:r>
          </w:p>
        </w:tc>
        <w:tc>
          <w:tcPr>
            <w:tcW w:w="1646" w:type="dxa"/>
          </w:tcPr>
          <w:p>
            <w:pPr>
              <w:pStyle w:val="Tabla9"/>
              <w:jc w:val="left"/>
            </w:pPr>
            <w:r>
              <w:t xml:space="preserve">V05, V07, V15</w:t>
            </w:r>
          </w:p>
        </w:tc>
        <w:tc>
          <w:tcPr>
            <w:tcW w:w="2467" w:type="dxa"/>
          </w:tcPr>
          <w:p>
            <w:pPr>
              <w:pStyle w:val="Tabla9"/>
              <w:jc w:val="left"/>
            </w:pPr>
            <w:r>
              <w:t xml:space="preserve">2 / 4</w:t>
            </w:r>
          </w:p>
        </w:tc>
        <w:tc>
          <w:tcPr>
            <w:tcW w:w="1646" w:type="dxa"/>
          </w:tcPr>
          <w:p>
            <w:pPr>
              <w:pStyle w:val="Tabla9"/>
              <w:jc w:val="left"/>
            </w:pPr>
            <w:r>
              <w:t xml:space="preserve">No</w:t>
            </w:r>
          </w:p>
        </w:tc>
      </w:tr>
      <w:tr>
        <w:trPr>
          <w:cantSplit/>
        </w:trPr>
        <w:tc>
          <w:tcPr>
            <w:tcW w:w="1316" w:type="dxa"/>
            <w:shd w:val="clear" w:color="auto" w:fill="F7F7F7"/>
          </w:tcPr>
          <w:p>
            <w:pPr>
              <w:pStyle w:val="Tabla9"/>
              <w:keepNext/>
              <w:jc w:val="left"/>
            </w:pPr>
            <w:r>
              <w:t xml:space="preserve">V15→V13</w:t>
            </w:r>
          </w:p>
        </w:tc>
        <w:tc>
          <w:tcPr>
            <w:tcW w:w="1398" w:type="dxa"/>
            <w:shd w:val="clear" w:color="auto" w:fill="F7F7F7"/>
          </w:tcPr>
          <w:p>
            <w:pPr>
              <w:pStyle w:val="Tabla9"/>
              <w:keepNext/>
              <w:jc w:val="left"/>
            </w:pPr>
            <w:r>
              <w:t xml:space="preserve">0 → 1</w:t>
            </w:r>
          </w:p>
        </w:tc>
        <w:tc>
          <w:tcPr>
            <w:tcW w:w="1481" w:type="dxa"/>
            <w:shd w:val="clear" w:color="auto" w:fill="F7F7F7"/>
          </w:tcPr>
          <w:p>
            <w:pPr>
              <w:pStyle w:val="Tabla9"/>
              <w:keepNext/>
              <w:jc w:val="left"/>
            </w:pPr>
            <w:r>
              <w:t xml:space="preserve">V13</w:t>
            </w:r>
          </w:p>
        </w:tc>
        <w:tc>
          <w:tcPr>
            <w:tcW w:w="1646" w:type="dxa"/>
            <w:shd w:val="clear" w:color="auto" w:fill="F7F7F7"/>
          </w:tcPr>
          <w:p>
            <w:pPr>
              <w:pStyle w:val="Tabla9"/>
              <w:keepNext/>
              <w:jc w:val="left"/>
            </w:pPr>
            <w:r>
              <w:t xml:space="preserve">V13</w:t>
            </w:r>
          </w:p>
        </w:tc>
        <w:tc>
          <w:tcPr>
            <w:tcW w:w="2467" w:type="dxa"/>
            <w:shd w:val="clear" w:color="auto" w:fill="F7F7F7"/>
          </w:tcPr>
          <w:p>
            <w:pPr>
              <w:pStyle w:val="Tabla9"/>
              <w:keepNext/>
              <w:jc w:val="left"/>
            </w:pPr>
            <w:r>
              <w:t xml:space="preserve">2 / 2</w:t>
            </w:r>
          </w:p>
        </w:tc>
        <w:tc>
          <w:tcPr>
            <w:tcW w:w="1646" w:type="dxa"/>
            <w:shd w:val="clear" w:color="auto" w:fill="F7F7F7"/>
          </w:tcPr>
          <w:p>
            <w:pPr>
              <w:pStyle w:val="Tabla9"/>
              <w:keepNext/>
              <w:jc w:val="left"/>
            </w:pPr>
            <w:r>
              <w:t xml:space="preserve">No</w:t>
            </w:r>
          </w:p>
        </w:tc>
      </w:tr>
    </w:tbl>
    <w:p>
      <w:pPr>
        <w:pStyle w:val="TablaNota"/>
      </w:pPr>
      <w:r>
        <w:rPr>
          <w:i/>
          <w:iCs/>
        </w:rPr>
        <w:t xml:space="preserve">Nota.</w:t>
      </w:r>
      <w:r>
        <w:t xml:space="preserve"> </w:t>
      </w:r>
      <w:r>
        <w:t xml:space="preserve">Elaboración propia. Se evaluaron 87 cambios de un solo valor dentro del dominio admisible de cada vínculo incierto. De ellos, 37 cambian la clase directa de alguna variable, 12 cambian la clase indirecta y 10 alteran las tres primeras posiciones. No se asignan probabilidades a los cambios.</w:t>
      </w:r>
    </w:p>
    <w:p>
      <w:pPr>
        <w:pStyle w:val="BodyText"/>
      </w:pPr>
      <w:r>
        <w:t xml:space="preserve">Los diez vínculos que alteran el orden de los primeros lugares tienen origen en variables físicas (V02 a V05). Los que mueven la clase indirecta de las variables de gobernanza son V15→V07, V15→V05, V09→V10 y V07→V06. La revisión prioritaria de las fichas debe empezar por esos vínculos.</w:t>
      </w:r>
    </w:p>
    <w:bookmarkEnd w:id="50"/>
    <w:bookmarkStart w:id="51" w:name="a.6.2-recodificación-de-la-escala"/>
    <w:p>
      <w:pPr>
        <w:pStyle w:val="Heading3"/>
      </w:pPr>
      <w:r>
        <w:t xml:space="preserve">A.6.2 Recodificación de la escala</w:t>
      </w:r>
    </w:p>
    <w:p>
      <w:pPr>
        <w:pStyle w:val="FirstParagraph"/>
      </w:pPr>
      <w:r>
        <w:t xml:space="preserve">La Tabla A.19 recodifica la escala ordinal con tres conjuntos de valores: [0, 1, 2, 3], [0, 1, 3, 5] y [0, 1, 2, 4]. La recodificación prueba la robustez de una escala ordinal y no aporta evidencia del territorio. Solo cambian de clase directa V10 y V11. Los cinco primeros rangos de influencia indirecta forman el mismo conjunto en las tres codificaciones: V05, V04, V03, V02 y V06. En la tercera codificación se permutan V02, V03 y V04.</w:t>
      </w:r>
    </w:p>
    <w:p>
      <w:pPr>
        <w:pStyle w:val="TablaRotulo"/>
      </w:pPr>
      <w:bookmarkStart w:id="9019" w:name="rot_Tabla_A_19"/>
      <w:r>
        <w:rPr>
          <w:b/>
          <w:bCs/>
        </w:rPr>
        <w:t xml:space="preserve">Tabla A.19</w:t>
      </w:r>
      <w:bookmarkEnd w:id="9019"/>
    </w:p>
    <w:p>
      <w:pPr>
        <w:pStyle w:val="TablaTitulo"/>
      </w:pPr>
      <w:r>
        <w:rPr>
          <w:i/>
          <w:iCs/>
        </w:rPr>
        <w:t xml:space="preserve">Clase directa y rango de influencia indirecta de S2 bajo tres codificaciones de la escala ordinal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742"/>
        <w:gridCol w:w="1742"/>
        <w:gridCol w:w="1742"/>
        <w:gridCol w:w="1327"/>
        <w:gridCol w:w="1327"/>
        <w:gridCol w:w="1327"/>
      </w:tblGrid>
      <w:tr>
        <w:trPr>
          <w:cantSplit/>
          <w:tblHeader w:val="true"/>
          <w:tblHeader/>
        </w:trPr>
        <w:tc>
          <w:tcPr>
            <w:tcW w:w="747" w:type="dxa"/>
            <w:tcBorders>
              <w:bottom w:val="single" w:sz="12" w:space="0" w:color="6699CC"/>
            </w:tcBorders>
            <w:shd w:val="clear" w:color="auto" w:fill="B9D9EB"/>
          </w:tcPr>
          <w:p>
            <w:pPr>
              <w:pStyle w:val="Tabla8"/>
              <w:keepNext/>
              <w:jc w:val="left"/>
            </w:pPr>
            <w:r>
              <w:rPr>
                <w:b/>
              </w:rPr>
              <w:t xml:space="preserve">ID</w:t>
            </w:r>
          </w:p>
        </w:tc>
        <w:tc>
          <w:tcPr>
            <w:tcW w:w="1742" w:type="dxa"/>
            <w:tcBorders>
              <w:bottom w:val="single" w:sz="12" w:space="0" w:color="6699CC"/>
            </w:tcBorders>
            <w:shd w:val="clear" w:color="auto" w:fill="B9D9EB"/>
          </w:tcPr>
          <w:p>
            <w:pPr>
              <w:pStyle w:val="Tabla8"/>
              <w:keepNext/>
              <w:jc w:val="left"/>
            </w:pPr>
            <w:r>
              <w:rPr>
                <w:b/>
              </w:rPr>
              <w:t xml:space="preserve">Clase [0, 1, 2, 3]</w:t>
            </w:r>
          </w:p>
        </w:tc>
        <w:tc>
          <w:tcPr>
            <w:tcW w:w="1742" w:type="dxa"/>
            <w:tcBorders>
              <w:bottom w:val="single" w:sz="12" w:space="0" w:color="6699CC"/>
            </w:tcBorders>
            <w:shd w:val="clear" w:color="auto" w:fill="B9D9EB"/>
          </w:tcPr>
          <w:p>
            <w:pPr>
              <w:pStyle w:val="Tabla8"/>
              <w:keepNext/>
              <w:jc w:val="left"/>
            </w:pPr>
            <w:r>
              <w:rPr>
                <w:b/>
              </w:rPr>
              <w:t xml:space="preserve">Clase [0, 1, 3, 5]</w:t>
            </w:r>
          </w:p>
        </w:tc>
        <w:tc>
          <w:tcPr>
            <w:tcW w:w="1742" w:type="dxa"/>
            <w:tcBorders>
              <w:bottom w:val="single" w:sz="12" w:space="0" w:color="6699CC"/>
            </w:tcBorders>
            <w:shd w:val="clear" w:color="auto" w:fill="B9D9EB"/>
          </w:tcPr>
          <w:p>
            <w:pPr>
              <w:pStyle w:val="Tabla8"/>
              <w:keepNext/>
              <w:jc w:val="left"/>
            </w:pPr>
            <w:r>
              <w:rPr>
                <w:b/>
              </w:rPr>
              <w:t xml:space="preserve">Clase [0, 1, 2, 4]</w:t>
            </w:r>
          </w:p>
        </w:tc>
        <w:tc>
          <w:tcPr>
            <w:tcW w:w="1327" w:type="dxa"/>
            <w:tcBorders>
              <w:bottom w:val="single" w:sz="12" w:space="0" w:color="6699CC"/>
            </w:tcBorders>
            <w:shd w:val="clear" w:color="auto" w:fill="B9D9EB"/>
          </w:tcPr>
          <w:p>
            <w:pPr>
              <w:pStyle w:val="Tabla8"/>
              <w:keepNext/>
              <w:jc w:val="left"/>
            </w:pPr>
            <w:r>
              <w:rPr>
                <w:b/>
              </w:rPr>
              <w:t xml:space="preserve">Rango I [0, 1, 2, 3]</w:t>
            </w:r>
          </w:p>
        </w:tc>
        <w:tc>
          <w:tcPr>
            <w:tcW w:w="1327" w:type="dxa"/>
            <w:tcBorders>
              <w:bottom w:val="single" w:sz="12" w:space="0" w:color="6699CC"/>
            </w:tcBorders>
            <w:shd w:val="clear" w:color="auto" w:fill="B9D9EB"/>
          </w:tcPr>
          <w:p>
            <w:pPr>
              <w:pStyle w:val="Tabla8"/>
              <w:keepNext/>
              <w:jc w:val="left"/>
            </w:pPr>
            <w:r>
              <w:rPr>
                <w:b/>
              </w:rPr>
              <w:t xml:space="preserve">Rango I [0, 1, 3, 5]</w:t>
            </w:r>
          </w:p>
        </w:tc>
        <w:tc>
          <w:tcPr>
            <w:tcW w:w="1327" w:type="dxa"/>
            <w:tcBorders>
              <w:bottom w:val="single" w:sz="12" w:space="0" w:color="6699CC"/>
            </w:tcBorders>
            <w:shd w:val="clear" w:color="auto" w:fill="B9D9EB"/>
          </w:tcPr>
          <w:p>
            <w:pPr>
              <w:pStyle w:val="Tabla8"/>
              <w:keepNext/>
              <w:jc w:val="left"/>
            </w:pPr>
            <w:r>
              <w:rPr>
                <w:b/>
              </w:rPr>
              <w:t xml:space="preserve">Rango I [0, 1, 2, 4]</w:t>
            </w:r>
          </w:p>
        </w:tc>
      </w:tr>
      <w:tr>
        <w:trPr>
          <w:cantSplit/>
        </w:trPr>
        <w:tc>
          <w:tcPr>
            <w:tcW w:w="747" w:type="dxa"/>
          </w:tcPr>
          <w:p>
            <w:pPr>
              <w:pStyle w:val="Tabla8"/>
              <w:jc w:val="left"/>
            </w:pPr>
            <w:r>
              <w:t xml:space="preserve">V01</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327" w:type="dxa"/>
          </w:tcPr>
          <w:p>
            <w:pPr>
              <w:pStyle w:val="Tabla8"/>
              <w:jc w:val="left"/>
            </w:pPr>
            <w:r>
              <w:t xml:space="preserve">7</w:t>
            </w:r>
          </w:p>
        </w:tc>
        <w:tc>
          <w:tcPr>
            <w:tcW w:w="1327" w:type="dxa"/>
          </w:tcPr>
          <w:p>
            <w:pPr>
              <w:pStyle w:val="Tabla8"/>
              <w:jc w:val="left"/>
            </w:pPr>
            <w:r>
              <w:t xml:space="preserve">6</w:t>
            </w:r>
          </w:p>
        </w:tc>
        <w:tc>
          <w:tcPr>
            <w:tcW w:w="1327" w:type="dxa"/>
          </w:tcPr>
          <w:p>
            <w:pPr>
              <w:pStyle w:val="Tabla8"/>
              <w:jc w:val="left"/>
            </w:pPr>
            <w:r>
              <w:t xml:space="preserve">8</w:t>
            </w:r>
          </w:p>
        </w:tc>
      </w:tr>
      <w:tr>
        <w:trPr>
          <w:cantSplit/>
        </w:trPr>
        <w:tc>
          <w:tcPr>
            <w:tcW w:w="747" w:type="dxa"/>
            <w:shd w:val="clear" w:color="auto" w:fill="F7F7F7"/>
          </w:tcPr>
          <w:p>
            <w:pPr>
              <w:pStyle w:val="Tabla8"/>
              <w:jc w:val="left"/>
            </w:pPr>
            <w:r>
              <w:t xml:space="preserve">V02</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327" w:type="dxa"/>
            <w:shd w:val="clear" w:color="auto" w:fill="F7F7F7"/>
          </w:tcPr>
          <w:p>
            <w:pPr>
              <w:pStyle w:val="Tabla8"/>
              <w:jc w:val="left"/>
            </w:pPr>
            <w:r>
              <w:t xml:space="preserve">4</w:t>
            </w:r>
          </w:p>
        </w:tc>
        <w:tc>
          <w:tcPr>
            <w:tcW w:w="1327" w:type="dxa"/>
            <w:shd w:val="clear" w:color="auto" w:fill="F7F7F7"/>
          </w:tcPr>
          <w:p>
            <w:pPr>
              <w:pStyle w:val="Tabla8"/>
              <w:jc w:val="left"/>
            </w:pPr>
            <w:r>
              <w:t xml:space="preserve">4</w:t>
            </w:r>
          </w:p>
        </w:tc>
        <w:tc>
          <w:tcPr>
            <w:tcW w:w="1327" w:type="dxa"/>
            <w:shd w:val="clear" w:color="auto" w:fill="F7F7F7"/>
          </w:tcPr>
          <w:p>
            <w:pPr>
              <w:pStyle w:val="Tabla8"/>
              <w:jc w:val="left"/>
            </w:pPr>
            <w:r>
              <w:t xml:space="preserve">3</w:t>
            </w:r>
          </w:p>
        </w:tc>
      </w:tr>
      <w:tr>
        <w:trPr>
          <w:cantSplit/>
        </w:trPr>
        <w:tc>
          <w:tcPr>
            <w:tcW w:w="747" w:type="dxa"/>
          </w:tcPr>
          <w:p>
            <w:pPr>
              <w:pStyle w:val="Tabla8"/>
              <w:jc w:val="left"/>
            </w:pPr>
            <w:r>
              <w:t xml:space="preserve">V03</w:t>
            </w:r>
          </w:p>
        </w:tc>
        <w:tc>
          <w:tcPr>
            <w:tcW w:w="1742" w:type="dxa"/>
          </w:tcPr>
          <w:p>
            <w:pPr>
              <w:pStyle w:val="Tabla8"/>
              <w:jc w:val="left"/>
            </w:pPr>
            <w:r>
              <w:t xml:space="preserve">Activa</w:t>
            </w:r>
          </w:p>
        </w:tc>
        <w:tc>
          <w:tcPr>
            <w:tcW w:w="1742" w:type="dxa"/>
          </w:tcPr>
          <w:p>
            <w:pPr>
              <w:pStyle w:val="Tabla8"/>
              <w:jc w:val="left"/>
            </w:pPr>
            <w:r>
              <w:t xml:space="preserve">Activa</w:t>
            </w:r>
          </w:p>
        </w:tc>
        <w:tc>
          <w:tcPr>
            <w:tcW w:w="1742" w:type="dxa"/>
          </w:tcPr>
          <w:p>
            <w:pPr>
              <w:pStyle w:val="Tabla8"/>
              <w:jc w:val="left"/>
            </w:pPr>
            <w:r>
              <w:t xml:space="preserve">Activa</w:t>
            </w:r>
          </w:p>
        </w:tc>
        <w:tc>
          <w:tcPr>
            <w:tcW w:w="1327" w:type="dxa"/>
          </w:tcPr>
          <w:p>
            <w:pPr>
              <w:pStyle w:val="Tabla8"/>
              <w:jc w:val="left"/>
            </w:pPr>
            <w:r>
              <w:t xml:space="preserve">3</w:t>
            </w:r>
          </w:p>
        </w:tc>
        <w:tc>
          <w:tcPr>
            <w:tcW w:w="1327" w:type="dxa"/>
          </w:tcPr>
          <w:p>
            <w:pPr>
              <w:pStyle w:val="Tabla8"/>
              <w:jc w:val="left"/>
            </w:pPr>
            <w:r>
              <w:t xml:space="preserve">3</w:t>
            </w:r>
          </w:p>
        </w:tc>
        <w:tc>
          <w:tcPr>
            <w:tcW w:w="1327" w:type="dxa"/>
          </w:tcPr>
          <w:p>
            <w:pPr>
              <w:pStyle w:val="Tabla8"/>
              <w:jc w:val="left"/>
            </w:pPr>
            <w:r>
              <w:t xml:space="preserve">2</w:t>
            </w:r>
          </w:p>
        </w:tc>
      </w:tr>
      <w:tr>
        <w:trPr>
          <w:cantSplit/>
        </w:trPr>
        <w:tc>
          <w:tcPr>
            <w:tcW w:w="747" w:type="dxa"/>
            <w:shd w:val="clear" w:color="auto" w:fill="F7F7F7"/>
          </w:tcPr>
          <w:p>
            <w:pPr>
              <w:pStyle w:val="Tabla8"/>
              <w:jc w:val="left"/>
            </w:pPr>
            <w:r>
              <w:t xml:space="preserve">V04</w:t>
            </w:r>
          </w:p>
        </w:tc>
        <w:tc>
          <w:tcPr>
            <w:tcW w:w="1742" w:type="dxa"/>
            <w:shd w:val="clear" w:color="auto" w:fill="F7F7F7"/>
          </w:tcPr>
          <w:p>
            <w:pPr>
              <w:pStyle w:val="Tabla8"/>
              <w:jc w:val="left"/>
            </w:pPr>
            <w:r>
              <w:t xml:space="preserve">Activa</w:t>
            </w:r>
          </w:p>
        </w:tc>
        <w:tc>
          <w:tcPr>
            <w:tcW w:w="1742" w:type="dxa"/>
            <w:shd w:val="clear" w:color="auto" w:fill="F7F7F7"/>
          </w:tcPr>
          <w:p>
            <w:pPr>
              <w:pStyle w:val="Tabla8"/>
              <w:jc w:val="left"/>
            </w:pPr>
            <w:r>
              <w:t xml:space="preserve">Activa</w:t>
            </w:r>
          </w:p>
        </w:tc>
        <w:tc>
          <w:tcPr>
            <w:tcW w:w="1742" w:type="dxa"/>
            <w:shd w:val="clear" w:color="auto" w:fill="F7F7F7"/>
          </w:tcPr>
          <w:p>
            <w:pPr>
              <w:pStyle w:val="Tabla8"/>
              <w:jc w:val="left"/>
            </w:pPr>
            <w:r>
              <w:t xml:space="preserve">Activa</w:t>
            </w:r>
          </w:p>
        </w:tc>
        <w:tc>
          <w:tcPr>
            <w:tcW w:w="1327" w:type="dxa"/>
            <w:shd w:val="clear" w:color="auto" w:fill="F7F7F7"/>
          </w:tcPr>
          <w:p>
            <w:pPr>
              <w:pStyle w:val="Tabla8"/>
              <w:jc w:val="left"/>
            </w:pPr>
            <w:r>
              <w:t xml:space="preserve">2</w:t>
            </w:r>
          </w:p>
        </w:tc>
        <w:tc>
          <w:tcPr>
            <w:tcW w:w="1327" w:type="dxa"/>
            <w:shd w:val="clear" w:color="auto" w:fill="F7F7F7"/>
          </w:tcPr>
          <w:p>
            <w:pPr>
              <w:pStyle w:val="Tabla8"/>
              <w:jc w:val="left"/>
            </w:pPr>
            <w:r>
              <w:t xml:space="preserve">2</w:t>
            </w:r>
          </w:p>
        </w:tc>
        <w:tc>
          <w:tcPr>
            <w:tcW w:w="1327" w:type="dxa"/>
            <w:shd w:val="clear" w:color="auto" w:fill="F7F7F7"/>
          </w:tcPr>
          <w:p>
            <w:pPr>
              <w:pStyle w:val="Tabla8"/>
              <w:jc w:val="left"/>
            </w:pPr>
            <w:r>
              <w:t xml:space="preserve">4</w:t>
            </w:r>
          </w:p>
        </w:tc>
      </w:tr>
      <w:tr>
        <w:trPr>
          <w:cantSplit/>
        </w:trPr>
        <w:tc>
          <w:tcPr>
            <w:tcW w:w="747" w:type="dxa"/>
          </w:tcPr>
          <w:p>
            <w:pPr>
              <w:pStyle w:val="Tabla8"/>
              <w:jc w:val="left"/>
            </w:pPr>
            <w:r>
              <w:t xml:space="preserve">V05</w:t>
            </w:r>
          </w:p>
        </w:tc>
        <w:tc>
          <w:tcPr>
            <w:tcW w:w="1742" w:type="dxa"/>
          </w:tcPr>
          <w:p>
            <w:pPr>
              <w:pStyle w:val="Tabla8"/>
              <w:jc w:val="left"/>
            </w:pPr>
            <w:r>
              <w:t xml:space="preserve">Activa</w:t>
            </w:r>
          </w:p>
        </w:tc>
        <w:tc>
          <w:tcPr>
            <w:tcW w:w="1742" w:type="dxa"/>
          </w:tcPr>
          <w:p>
            <w:pPr>
              <w:pStyle w:val="Tabla8"/>
              <w:jc w:val="left"/>
            </w:pPr>
            <w:r>
              <w:t xml:space="preserve">Activa</w:t>
            </w:r>
          </w:p>
        </w:tc>
        <w:tc>
          <w:tcPr>
            <w:tcW w:w="1742" w:type="dxa"/>
          </w:tcPr>
          <w:p>
            <w:pPr>
              <w:pStyle w:val="Tabla8"/>
              <w:jc w:val="left"/>
            </w:pPr>
            <w:r>
              <w:t xml:space="preserve">Activa</w:t>
            </w:r>
          </w:p>
        </w:tc>
        <w:tc>
          <w:tcPr>
            <w:tcW w:w="1327" w:type="dxa"/>
          </w:tcPr>
          <w:p>
            <w:pPr>
              <w:pStyle w:val="Tabla8"/>
              <w:jc w:val="left"/>
            </w:pPr>
            <w:r>
              <w:t xml:space="preserve">1</w:t>
            </w:r>
          </w:p>
        </w:tc>
        <w:tc>
          <w:tcPr>
            <w:tcW w:w="1327" w:type="dxa"/>
          </w:tcPr>
          <w:p>
            <w:pPr>
              <w:pStyle w:val="Tabla8"/>
              <w:jc w:val="left"/>
            </w:pPr>
            <w:r>
              <w:t xml:space="preserve">1</w:t>
            </w:r>
          </w:p>
        </w:tc>
        <w:tc>
          <w:tcPr>
            <w:tcW w:w="1327" w:type="dxa"/>
          </w:tcPr>
          <w:p>
            <w:pPr>
              <w:pStyle w:val="Tabla8"/>
              <w:jc w:val="left"/>
            </w:pPr>
            <w:r>
              <w:t xml:space="preserve">1</w:t>
            </w:r>
          </w:p>
        </w:tc>
      </w:tr>
      <w:tr>
        <w:trPr>
          <w:cantSplit/>
        </w:trPr>
        <w:tc>
          <w:tcPr>
            <w:tcW w:w="747" w:type="dxa"/>
            <w:shd w:val="clear" w:color="auto" w:fill="F7F7F7"/>
          </w:tcPr>
          <w:p>
            <w:pPr>
              <w:pStyle w:val="Tabla8"/>
              <w:jc w:val="left"/>
            </w:pPr>
            <w:r>
              <w:t xml:space="preserve">V06</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327" w:type="dxa"/>
            <w:shd w:val="clear" w:color="auto" w:fill="F7F7F7"/>
          </w:tcPr>
          <w:p>
            <w:pPr>
              <w:pStyle w:val="Tabla8"/>
              <w:jc w:val="left"/>
            </w:pPr>
            <w:r>
              <w:t xml:space="preserve">5</w:t>
            </w:r>
          </w:p>
        </w:tc>
        <w:tc>
          <w:tcPr>
            <w:tcW w:w="1327" w:type="dxa"/>
            <w:shd w:val="clear" w:color="auto" w:fill="F7F7F7"/>
          </w:tcPr>
          <w:p>
            <w:pPr>
              <w:pStyle w:val="Tabla8"/>
              <w:jc w:val="left"/>
            </w:pPr>
            <w:r>
              <w:t xml:space="preserve">5</w:t>
            </w:r>
          </w:p>
        </w:tc>
        <w:tc>
          <w:tcPr>
            <w:tcW w:w="1327" w:type="dxa"/>
            <w:shd w:val="clear" w:color="auto" w:fill="F7F7F7"/>
          </w:tcPr>
          <w:p>
            <w:pPr>
              <w:pStyle w:val="Tabla8"/>
              <w:jc w:val="left"/>
            </w:pPr>
            <w:r>
              <w:t xml:space="preserve">5</w:t>
            </w:r>
          </w:p>
        </w:tc>
      </w:tr>
      <w:tr>
        <w:trPr>
          <w:cantSplit/>
        </w:trPr>
        <w:tc>
          <w:tcPr>
            <w:tcW w:w="747" w:type="dxa"/>
          </w:tcPr>
          <w:p>
            <w:pPr>
              <w:pStyle w:val="Tabla8"/>
              <w:jc w:val="left"/>
            </w:pPr>
            <w:r>
              <w:t xml:space="preserve">V07</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327" w:type="dxa"/>
          </w:tcPr>
          <w:p>
            <w:pPr>
              <w:pStyle w:val="Tabla8"/>
              <w:jc w:val="left"/>
            </w:pPr>
            <w:r>
              <w:t xml:space="preserve">8</w:t>
            </w:r>
          </w:p>
        </w:tc>
        <w:tc>
          <w:tcPr>
            <w:tcW w:w="1327" w:type="dxa"/>
          </w:tcPr>
          <w:p>
            <w:pPr>
              <w:pStyle w:val="Tabla8"/>
              <w:jc w:val="left"/>
            </w:pPr>
            <w:r>
              <w:t xml:space="preserve">8</w:t>
            </w:r>
          </w:p>
        </w:tc>
        <w:tc>
          <w:tcPr>
            <w:tcW w:w="1327" w:type="dxa"/>
          </w:tcPr>
          <w:p>
            <w:pPr>
              <w:pStyle w:val="Tabla8"/>
              <w:jc w:val="left"/>
            </w:pPr>
            <w:r>
              <w:t xml:space="preserve">6</w:t>
            </w:r>
          </w:p>
        </w:tc>
      </w:tr>
      <w:tr>
        <w:trPr>
          <w:cantSplit/>
        </w:trPr>
        <w:tc>
          <w:tcPr>
            <w:tcW w:w="747" w:type="dxa"/>
            <w:shd w:val="clear" w:color="auto" w:fill="F7F7F7"/>
          </w:tcPr>
          <w:p>
            <w:pPr>
              <w:pStyle w:val="Tabla8"/>
              <w:jc w:val="left"/>
            </w:pPr>
            <w:r>
              <w:t xml:space="preserve">V08</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Autónoma relativa</w:t>
            </w:r>
          </w:p>
        </w:tc>
        <w:tc>
          <w:tcPr>
            <w:tcW w:w="1327" w:type="dxa"/>
            <w:shd w:val="clear" w:color="auto" w:fill="F7F7F7"/>
          </w:tcPr>
          <w:p>
            <w:pPr>
              <w:pStyle w:val="Tabla8"/>
              <w:jc w:val="left"/>
            </w:pPr>
            <w:r>
              <w:t xml:space="preserve">15</w:t>
            </w:r>
          </w:p>
        </w:tc>
        <w:tc>
          <w:tcPr>
            <w:tcW w:w="1327" w:type="dxa"/>
            <w:shd w:val="clear" w:color="auto" w:fill="F7F7F7"/>
          </w:tcPr>
          <w:p>
            <w:pPr>
              <w:pStyle w:val="Tabla8"/>
              <w:jc w:val="left"/>
            </w:pPr>
            <w:r>
              <w:t xml:space="preserve">15</w:t>
            </w:r>
          </w:p>
        </w:tc>
        <w:tc>
          <w:tcPr>
            <w:tcW w:w="1327" w:type="dxa"/>
            <w:shd w:val="clear" w:color="auto" w:fill="F7F7F7"/>
          </w:tcPr>
          <w:p>
            <w:pPr>
              <w:pStyle w:val="Tabla8"/>
              <w:jc w:val="left"/>
            </w:pPr>
            <w:r>
              <w:t xml:space="preserve">15</w:t>
            </w:r>
          </w:p>
        </w:tc>
      </w:tr>
      <w:tr>
        <w:trPr>
          <w:cantSplit/>
        </w:trPr>
        <w:tc>
          <w:tcPr>
            <w:tcW w:w="747" w:type="dxa"/>
          </w:tcPr>
          <w:p>
            <w:pPr>
              <w:pStyle w:val="Tabla8"/>
              <w:jc w:val="left"/>
            </w:pPr>
            <w:r>
              <w:t xml:space="preserve">V09</w:t>
            </w:r>
          </w:p>
        </w:tc>
        <w:tc>
          <w:tcPr>
            <w:tcW w:w="1742" w:type="dxa"/>
          </w:tcPr>
          <w:p>
            <w:pPr>
              <w:pStyle w:val="Tabla8"/>
              <w:jc w:val="left"/>
            </w:pPr>
            <w:r>
              <w:t xml:space="preserve">Reactiva</w:t>
            </w:r>
          </w:p>
        </w:tc>
        <w:tc>
          <w:tcPr>
            <w:tcW w:w="1742" w:type="dxa"/>
          </w:tcPr>
          <w:p>
            <w:pPr>
              <w:pStyle w:val="Tabla8"/>
              <w:jc w:val="left"/>
            </w:pPr>
            <w:r>
              <w:t xml:space="preserve">Reactiva</w:t>
            </w:r>
          </w:p>
        </w:tc>
        <w:tc>
          <w:tcPr>
            <w:tcW w:w="1742" w:type="dxa"/>
          </w:tcPr>
          <w:p>
            <w:pPr>
              <w:pStyle w:val="Tabla8"/>
              <w:jc w:val="left"/>
            </w:pPr>
            <w:r>
              <w:t xml:space="preserve">Reactiva</w:t>
            </w:r>
          </w:p>
        </w:tc>
        <w:tc>
          <w:tcPr>
            <w:tcW w:w="1327" w:type="dxa"/>
          </w:tcPr>
          <w:p>
            <w:pPr>
              <w:pStyle w:val="Tabla8"/>
              <w:jc w:val="left"/>
            </w:pPr>
            <w:r>
              <w:t xml:space="preserve">12</w:t>
            </w:r>
          </w:p>
        </w:tc>
        <w:tc>
          <w:tcPr>
            <w:tcW w:w="1327" w:type="dxa"/>
          </w:tcPr>
          <w:p>
            <w:pPr>
              <w:pStyle w:val="Tabla8"/>
              <w:jc w:val="left"/>
            </w:pPr>
            <w:r>
              <w:t xml:space="preserve">11</w:t>
            </w:r>
          </w:p>
        </w:tc>
        <w:tc>
          <w:tcPr>
            <w:tcW w:w="1327" w:type="dxa"/>
          </w:tcPr>
          <w:p>
            <w:pPr>
              <w:pStyle w:val="Tabla8"/>
              <w:jc w:val="left"/>
            </w:pPr>
            <w:r>
              <w:t xml:space="preserve">9</w:t>
            </w:r>
          </w:p>
        </w:tc>
      </w:tr>
      <w:tr>
        <w:trPr>
          <w:cantSplit/>
        </w:trPr>
        <w:tc>
          <w:tcPr>
            <w:tcW w:w="747" w:type="dxa"/>
            <w:shd w:val="clear" w:color="auto" w:fill="F7F7F7"/>
          </w:tcPr>
          <w:p>
            <w:pPr>
              <w:pStyle w:val="Tabla8"/>
              <w:jc w:val="left"/>
            </w:pPr>
            <w:r>
              <w:t xml:space="preserve">V10</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Frontera</w:t>
            </w:r>
          </w:p>
        </w:tc>
        <w:tc>
          <w:tcPr>
            <w:tcW w:w="1327" w:type="dxa"/>
            <w:shd w:val="clear" w:color="auto" w:fill="F7F7F7"/>
          </w:tcPr>
          <w:p>
            <w:pPr>
              <w:pStyle w:val="Tabla8"/>
              <w:jc w:val="left"/>
            </w:pPr>
            <w:r>
              <w:t xml:space="preserve">9</w:t>
            </w:r>
          </w:p>
        </w:tc>
        <w:tc>
          <w:tcPr>
            <w:tcW w:w="1327" w:type="dxa"/>
            <w:shd w:val="clear" w:color="auto" w:fill="F7F7F7"/>
          </w:tcPr>
          <w:p>
            <w:pPr>
              <w:pStyle w:val="Tabla8"/>
              <w:jc w:val="left"/>
            </w:pPr>
            <w:r>
              <w:t xml:space="preserve">12</w:t>
            </w:r>
          </w:p>
        </w:tc>
        <w:tc>
          <w:tcPr>
            <w:tcW w:w="1327" w:type="dxa"/>
            <w:shd w:val="clear" w:color="auto" w:fill="F7F7F7"/>
          </w:tcPr>
          <w:p>
            <w:pPr>
              <w:pStyle w:val="Tabla8"/>
              <w:jc w:val="left"/>
            </w:pPr>
            <w:r>
              <w:t xml:space="preserve">10</w:t>
            </w:r>
          </w:p>
        </w:tc>
      </w:tr>
      <w:tr>
        <w:trPr>
          <w:cantSplit/>
        </w:trPr>
        <w:tc>
          <w:tcPr>
            <w:tcW w:w="747" w:type="dxa"/>
          </w:tcPr>
          <w:p>
            <w:pPr>
              <w:pStyle w:val="Tabla8"/>
              <w:jc w:val="left"/>
            </w:pPr>
            <w:r>
              <w:t xml:space="preserve">V11</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Reactiva</w:t>
            </w:r>
          </w:p>
        </w:tc>
        <w:tc>
          <w:tcPr>
            <w:tcW w:w="1327" w:type="dxa"/>
          </w:tcPr>
          <w:p>
            <w:pPr>
              <w:pStyle w:val="Tabla8"/>
              <w:jc w:val="left"/>
            </w:pPr>
            <w:r>
              <w:t xml:space="preserve">10</w:t>
            </w:r>
          </w:p>
        </w:tc>
        <w:tc>
          <w:tcPr>
            <w:tcW w:w="1327" w:type="dxa"/>
          </w:tcPr>
          <w:p>
            <w:pPr>
              <w:pStyle w:val="Tabla8"/>
              <w:jc w:val="left"/>
            </w:pPr>
            <w:r>
              <w:t xml:space="preserve">9</w:t>
            </w:r>
          </w:p>
        </w:tc>
        <w:tc>
          <w:tcPr>
            <w:tcW w:w="1327" w:type="dxa"/>
          </w:tcPr>
          <w:p>
            <w:pPr>
              <w:pStyle w:val="Tabla8"/>
              <w:jc w:val="left"/>
            </w:pPr>
            <w:r>
              <w:t xml:space="preserve">12</w:t>
            </w:r>
          </w:p>
        </w:tc>
      </w:tr>
      <w:tr>
        <w:trPr>
          <w:cantSplit/>
        </w:trPr>
        <w:tc>
          <w:tcPr>
            <w:tcW w:w="747" w:type="dxa"/>
            <w:shd w:val="clear" w:color="auto" w:fill="F7F7F7"/>
          </w:tcPr>
          <w:p>
            <w:pPr>
              <w:pStyle w:val="Tabla8"/>
              <w:jc w:val="left"/>
            </w:pPr>
            <w:r>
              <w:t xml:space="preserve">V12</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Frontera</w:t>
            </w:r>
          </w:p>
        </w:tc>
        <w:tc>
          <w:tcPr>
            <w:tcW w:w="1327" w:type="dxa"/>
            <w:shd w:val="clear" w:color="auto" w:fill="F7F7F7"/>
          </w:tcPr>
          <w:p>
            <w:pPr>
              <w:pStyle w:val="Tabla8"/>
              <w:jc w:val="left"/>
            </w:pPr>
            <w:r>
              <w:t xml:space="preserve">11</w:t>
            </w:r>
          </w:p>
        </w:tc>
        <w:tc>
          <w:tcPr>
            <w:tcW w:w="1327" w:type="dxa"/>
            <w:shd w:val="clear" w:color="auto" w:fill="F7F7F7"/>
          </w:tcPr>
          <w:p>
            <w:pPr>
              <w:pStyle w:val="Tabla8"/>
              <w:jc w:val="left"/>
            </w:pPr>
            <w:r>
              <w:t xml:space="preserve">10</w:t>
            </w:r>
          </w:p>
        </w:tc>
        <w:tc>
          <w:tcPr>
            <w:tcW w:w="1327" w:type="dxa"/>
            <w:shd w:val="clear" w:color="auto" w:fill="F7F7F7"/>
          </w:tcPr>
          <w:p>
            <w:pPr>
              <w:pStyle w:val="Tabla8"/>
              <w:jc w:val="left"/>
            </w:pPr>
            <w:r>
              <w:t xml:space="preserve">11</w:t>
            </w:r>
          </w:p>
        </w:tc>
      </w:tr>
      <w:tr>
        <w:trPr>
          <w:cantSplit/>
        </w:trPr>
        <w:tc>
          <w:tcPr>
            <w:tcW w:w="747" w:type="dxa"/>
          </w:tcPr>
          <w:p>
            <w:pPr>
              <w:pStyle w:val="Tabla8"/>
              <w:jc w:val="left"/>
            </w:pPr>
            <w:r>
              <w:t xml:space="preserve">V13</w:t>
            </w:r>
          </w:p>
        </w:tc>
        <w:tc>
          <w:tcPr>
            <w:tcW w:w="1742" w:type="dxa"/>
          </w:tcPr>
          <w:p>
            <w:pPr>
              <w:pStyle w:val="Tabla8"/>
              <w:jc w:val="left"/>
            </w:pPr>
            <w:r>
              <w:t xml:space="preserve">Autónoma relativa</w:t>
            </w:r>
          </w:p>
        </w:tc>
        <w:tc>
          <w:tcPr>
            <w:tcW w:w="1742" w:type="dxa"/>
          </w:tcPr>
          <w:p>
            <w:pPr>
              <w:pStyle w:val="Tabla8"/>
              <w:jc w:val="left"/>
            </w:pPr>
            <w:r>
              <w:t xml:space="preserve">Autónoma relativa</w:t>
            </w:r>
          </w:p>
        </w:tc>
        <w:tc>
          <w:tcPr>
            <w:tcW w:w="1742" w:type="dxa"/>
          </w:tcPr>
          <w:p>
            <w:pPr>
              <w:pStyle w:val="Tabla8"/>
              <w:jc w:val="left"/>
            </w:pPr>
            <w:r>
              <w:t xml:space="preserve">Autónoma relativa</w:t>
            </w:r>
          </w:p>
        </w:tc>
        <w:tc>
          <w:tcPr>
            <w:tcW w:w="1327" w:type="dxa"/>
          </w:tcPr>
          <w:p>
            <w:pPr>
              <w:pStyle w:val="Tabla8"/>
              <w:jc w:val="left"/>
            </w:pPr>
            <w:r>
              <w:t xml:space="preserve">14</w:t>
            </w:r>
          </w:p>
        </w:tc>
        <w:tc>
          <w:tcPr>
            <w:tcW w:w="1327" w:type="dxa"/>
          </w:tcPr>
          <w:p>
            <w:pPr>
              <w:pStyle w:val="Tabla8"/>
              <w:jc w:val="left"/>
            </w:pPr>
            <w:r>
              <w:t xml:space="preserve">14</w:t>
            </w:r>
          </w:p>
        </w:tc>
        <w:tc>
          <w:tcPr>
            <w:tcW w:w="1327" w:type="dxa"/>
          </w:tcPr>
          <w:p>
            <w:pPr>
              <w:pStyle w:val="Tabla8"/>
              <w:jc w:val="left"/>
            </w:pPr>
            <w:r>
              <w:t xml:space="preserve">14</w:t>
            </w:r>
          </w:p>
        </w:tc>
      </w:tr>
      <w:tr>
        <w:trPr>
          <w:cantSplit/>
        </w:trPr>
        <w:tc>
          <w:tcPr>
            <w:tcW w:w="747" w:type="dxa"/>
            <w:shd w:val="clear" w:color="auto" w:fill="F7F7F7"/>
          </w:tcPr>
          <w:p>
            <w:pPr>
              <w:pStyle w:val="Tabla8"/>
              <w:jc w:val="left"/>
            </w:pPr>
            <w:r>
              <w:t xml:space="preserve">V14</w:t>
            </w:r>
          </w:p>
        </w:tc>
        <w:tc>
          <w:tcPr>
            <w:tcW w:w="1742" w:type="dxa"/>
            <w:shd w:val="clear" w:color="auto" w:fill="F7F7F7"/>
          </w:tcPr>
          <w:p>
            <w:pPr>
              <w:pStyle w:val="Tabla8"/>
              <w:jc w:val="left"/>
            </w:pPr>
            <w:r>
              <w:t xml:space="preserve">Reactiva</w:t>
            </w:r>
          </w:p>
        </w:tc>
        <w:tc>
          <w:tcPr>
            <w:tcW w:w="1742" w:type="dxa"/>
            <w:shd w:val="clear" w:color="auto" w:fill="F7F7F7"/>
          </w:tcPr>
          <w:p>
            <w:pPr>
              <w:pStyle w:val="Tabla8"/>
              <w:jc w:val="left"/>
            </w:pPr>
            <w:r>
              <w:t xml:space="preserve">Reactiva</w:t>
            </w:r>
          </w:p>
        </w:tc>
        <w:tc>
          <w:tcPr>
            <w:tcW w:w="1742" w:type="dxa"/>
            <w:shd w:val="clear" w:color="auto" w:fill="F7F7F7"/>
          </w:tcPr>
          <w:p>
            <w:pPr>
              <w:pStyle w:val="Tabla8"/>
              <w:jc w:val="left"/>
            </w:pPr>
            <w:r>
              <w:t xml:space="preserve">Reactiva</w:t>
            </w:r>
          </w:p>
        </w:tc>
        <w:tc>
          <w:tcPr>
            <w:tcW w:w="1327" w:type="dxa"/>
            <w:shd w:val="clear" w:color="auto" w:fill="F7F7F7"/>
          </w:tcPr>
          <w:p>
            <w:pPr>
              <w:pStyle w:val="Tabla8"/>
              <w:jc w:val="left"/>
            </w:pPr>
            <w:r>
              <w:t xml:space="preserve">13</w:t>
            </w:r>
          </w:p>
        </w:tc>
        <w:tc>
          <w:tcPr>
            <w:tcW w:w="1327" w:type="dxa"/>
            <w:shd w:val="clear" w:color="auto" w:fill="F7F7F7"/>
          </w:tcPr>
          <w:p>
            <w:pPr>
              <w:pStyle w:val="Tabla8"/>
              <w:jc w:val="left"/>
            </w:pPr>
            <w:r>
              <w:t xml:space="preserve">13</w:t>
            </w:r>
          </w:p>
        </w:tc>
        <w:tc>
          <w:tcPr>
            <w:tcW w:w="1327" w:type="dxa"/>
            <w:shd w:val="clear" w:color="auto" w:fill="F7F7F7"/>
          </w:tcPr>
          <w:p>
            <w:pPr>
              <w:pStyle w:val="Tabla8"/>
              <w:jc w:val="left"/>
            </w:pPr>
            <w:r>
              <w:t xml:space="preserve">13</w:t>
            </w:r>
          </w:p>
        </w:tc>
      </w:tr>
      <w:tr>
        <w:trPr>
          <w:cantSplit/>
        </w:trPr>
        <w:tc>
          <w:tcPr>
            <w:tcW w:w="747" w:type="dxa"/>
          </w:tcPr>
          <w:p>
            <w:pPr>
              <w:pStyle w:val="Tabla8"/>
              <w:keepNext/>
              <w:jc w:val="left"/>
            </w:pPr>
            <w:r>
              <w:t xml:space="preserve">V15</w:t>
            </w:r>
          </w:p>
        </w:tc>
        <w:tc>
          <w:tcPr>
            <w:tcW w:w="1742" w:type="dxa"/>
          </w:tcPr>
          <w:p>
            <w:pPr>
              <w:pStyle w:val="Tabla8"/>
              <w:keepNext/>
              <w:jc w:val="left"/>
            </w:pPr>
            <w:r>
              <w:t xml:space="preserve">Crítica</w:t>
            </w:r>
          </w:p>
        </w:tc>
        <w:tc>
          <w:tcPr>
            <w:tcW w:w="1742" w:type="dxa"/>
          </w:tcPr>
          <w:p>
            <w:pPr>
              <w:pStyle w:val="Tabla8"/>
              <w:keepNext/>
              <w:jc w:val="left"/>
            </w:pPr>
            <w:r>
              <w:t xml:space="preserve">Crítica</w:t>
            </w:r>
          </w:p>
        </w:tc>
        <w:tc>
          <w:tcPr>
            <w:tcW w:w="1742" w:type="dxa"/>
          </w:tcPr>
          <w:p>
            <w:pPr>
              <w:pStyle w:val="Tabla8"/>
              <w:keepNext/>
              <w:jc w:val="left"/>
            </w:pPr>
            <w:r>
              <w:t xml:space="preserve">Crítica</w:t>
            </w:r>
          </w:p>
        </w:tc>
        <w:tc>
          <w:tcPr>
            <w:tcW w:w="1327" w:type="dxa"/>
          </w:tcPr>
          <w:p>
            <w:pPr>
              <w:pStyle w:val="Tabla8"/>
              <w:keepNext/>
              <w:jc w:val="left"/>
            </w:pPr>
            <w:r>
              <w:t xml:space="preserve">6</w:t>
            </w:r>
          </w:p>
        </w:tc>
        <w:tc>
          <w:tcPr>
            <w:tcW w:w="1327" w:type="dxa"/>
          </w:tcPr>
          <w:p>
            <w:pPr>
              <w:pStyle w:val="Tabla8"/>
              <w:keepNext/>
              <w:jc w:val="left"/>
            </w:pPr>
            <w:r>
              <w:t xml:space="preserve">7</w:t>
            </w:r>
          </w:p>
        </w:tc>
        <w:tc>
          <w:tcPr>
            <w:tcW w:w="1327" w:type="dxa"/>
          </w:tcPr>
          <w:p>
            <w:pPr>
              <w:pStyle w:val="Tabla8"/>
              <w:keepNext/>
              <w:jc w:val="left"/>
            </w:pPr>
            <w:r>
              <w:t xml:space="preserve">7</w:t>
            </w:r>
          </w:p>
        </w:tc>
      </w:tr>
    </w:tbl>
    <w:p>
      <w:pPr>
        <w:pStyle w:val="TablaNota"/>
      </w:pPr>
      <w:r>
        <w:rPr>
          <w:i/>
          <w:iCs/>
        </w:rPr>
        <w:t xml:space="preserve">Nota.</w:t>
      </w:r>
      <w:r>
        <w:t xml:space="preserve"> </w:t>
      </w:r>
      <w:r>
        <w:t xml:space="preserve">Elaboración propia. La recodificación prueba la robustez de una escala ordinal y no aporta evidencia del territorio.</w:t>
      </w:r>
    </w:p>
    <w:bookmarkEnd w:id="51"/>
    <w:bookmarkEnd w:id="52"/>
    <w:bookmarkStart w:id="53" w:name="X1527a0b6e64ec5d5ce8300b3ce49c06f67a849f"/>
    <w:p>
      <w:pPr>
        <w:pStyle w:val="Heading2"/>
      </w:pPr>
      <w:r>
        <w:t xml:space="preserve">A.7. Hallazgos estructurales y su uso en el diseño</w:t>
      </w:r>
    </w:p>
    <w:p>
      <w:pPr>
        <w:pStyle w:val="FirstParagraph"/>
      </w:pPr>
      <w:r>
        <w:t xml:space="preserve">Los siete hallazgos siguientes valen para el escenario de trabajo y sus envolventes. Son HIE. Ninguno se eleva a efecto causal identificado ni estimado. La Tabla A.20 indica la decisión de diseño del Anexo 2 con la que se relaciona cada uno.</w:t>
      </w:r>
    </w:p>
    <w:p>
      <w:pPr>
        <w:pStyle w:val="TablaRotulo"/>
      </w:pPr>
      <w:bookmarkStart w:id="9020" w:name="rot_Tabla_A_20"/>
      <w:r>
        <w:rPr>
          <w:b/>
          <w:bCs/>
        </w:rPr>
        <w:t xml:space="preserve">Tabla A.20</w:t>
      </w:r>
      <w:bookmarkEnd w:id="9020"/>
    </w:p>
    <w:p>
      <w:pPr>
        <w:pStyle w:val="TablaTitulo"/>
      </w:pPr>
      <w:r>
        <w:rPr>
          <w:i/>
          <w:iCs/>
        </w:rPr>
        <w:t xml:space="preserve">Hallazgos estructurales y decisiones de diseño relacionadas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69"/>
        <w:gridCol w:w="3650"/>
        <w:gridCol w:w="3235"/>
      </w:tblGrid>
      <w:tr>
        <w:trPr>
          <w:cantSplit/>
          <w:tblHeader w:val="true"/>
          <w:tblHeader/>
        </w:trPr>
        <w:tc>
          <w:tcPr>
            <w:tcW w:w="3069" w:type="dxa"/>
            <w:tcBorders>
              <w:bottom w:val="single" w:sz="12" w:space="0" w:color="6699CC"/>
            </w:tcBorders>
            <w:shd w:val="clear" w:color="auto" w:fill="B9D9EB"/>
          </w:tcPr>
          <w:p>
            <w:pPr>
              <w:pStyle w:val="Tabla9"/>
              <w:keepNext/>
              <w:jc w:val="left"/>
            </w:pPr>
            <w:r>
              <w:rPr>
                <w:b/>
              </w:rPr>
              <w:t xml:space="preserve">Hallazgo</w:t>
            </w:r>
          </w:p>
        </w:tc>
        <w:tc>
          <w:tcPr>
            <w:tcW w:w="3650" w:type="dxa"/>
            <w:tcBorders>
              <w:bottom w:val="single" w:sz="12" w:space="0" w:color="6699CC"/>
            </w:tcBorders>
            <w:shd w:val="clear" w:color="auto" w:fill="B9D9EB"/>
          </w:tcPr>
          <w:p>
            <w:pPr>
              <w:pStyle w:val="Tabla9"/>
              <w:keepNext/>
              <w:jc w:val="left"/>
            </w:pPr>
            <w:r>
              <w:rPr>
                <w:b/>
              </w:rPr>
              <w:t xml:space="preserve">Lectura estructural</w:t>
            </w:r>
          </w:p>
        </w:tc>
        <w:tc>
          <w:tcPr>
            <w:tcW w:w="3235" w:type="dxa"/>
            <w:tcBorders>
              <w:bottom w:val="single" w:sz="12" w:space="0" w:color="6699CC"/>
            </w:tcBorders>
            <w:shd w:val="clear" w:color="auto" w:fill="B9D9EB"/>
          </w:tcPr>
          <w:p>
            <w:pPr>
              <w:pStyle w:val="Tabla9"/>
              <w:keepNext/>
              <w:jc w:val="left"/>
            </w:pPr>
            <w:r>
              <w:rPr>
                <w:b/>
              </w:rPr>
              <w:t xml:space="preserve">Decisión de diseño en el Anexo 2</w:t>
            </w:r>
          </w:p>
        </w:tc>
      </w:tr>
      <w:tr>
        <w:trPr>
          <w:cantSplit/>
        </w:trPr>
        <w:tc>
          <w:tcPr>
            <w:tcW w:w="3069" w:type="dxa"/>
          </w:tcPr>
          <w:p>
            <w:pPr>
              <w:pStyle w:val="Tabla9"/>
              <w:jc w:val="left"/>
            </w:pPr>
            <w:r>
              <w:t xml:space="preserve">1. V06 es crítica en los cinco escenarios</w:t>
            </w:r>
          </w:p>
        </w:tc>
        <w:tc>
          <w:tcPr>
            <w:tcW w:w="3650" w:type="dxa"/>
          </w:tcPr>
          <w:p>
            <w:pPr>
              <w:pStyle w:val="Tabla9"/>
              <w:jc w:val="left"/>
            </w:pPr>
            <w:r>
              <w:t xml:space="preserve">Recibe de V01 a V04, V07 y V10 y transmite a V07, V09, V11, V12 y V15. Actúa como cuello de botella entre el entorno físico y las variables de decisión</w:t>
            </w:r>
          </w:p>
        </w:tc>
        <w:tc>
          <w:tcPr>
            <w:tcW w:w="3235" w:type="dxa"/>
          </w:tcPr>
          <w:p>
            <w:pPr>
              <w:pStyle w:val="Tabla9"/>
              <w:jc w:val="left"/>
            </w:pPr>
            <w:r>
              <w:t xml:space="preserve">El objetivo específico 1 verifica la medición antes de comprar la red completa (compuerta C1, secciones 12 y 14)</w:t>
            </w:r>
          </w:p>
        </w:tc>
      </w:tr>
      <w:tr>
        <w:trPr>
          <w:cantSplit/>
        </w:trPr>
        <w:tc>
          <w:tcPr>
            <w:tcW w:w="3069" w:type="dxa"/>
            <w:shd w:val="clear" w:color="auto" w:fill="F7F7F7"/>
          </w:tcPr>
          <w:p>
            <w:pPr>
              <w:pStyle w:val="Tabla9"/>
              <w:jc w:val="left"/>
            </w:pPr>
            <w:r>
              <w:t xml:space="preserve">2. V07 cae en la frontera de S2</w:t>
            </w:r>
          </w:p>
        </w:tc>
        <w:tc>
          <w:tcPr>
            <w:tcW w:w="3650" w:type="dxa"/>
            <w:shd w:val="clear" w:color="auto" w:fill="F7F7F7"/>
          </w:tcPr>
          <w:p>
            <w:pPr>
              <w:pStyle w:val="Tabla9"/>
              <w:jc w:val="left"/>
            </w:pPr>
            <w:r>
              <w:t xml:space="preserve">Su influencia, de 5, iguala la mediana y su rango indirecto es 8. Si V07→V06 valiera 2, V07 pasaría a autónoma relativa. La calibración no es la palanca máxima</w:t>
            </w:r>
          </w:p>
        </w:tc>
        <w:tc>
          <w:tcPr>
            <w:tcW w:w="3235" w:type="dxa"/>
            <w:shd w:val="clear" w:color="auto" w:fill="F7F7F7"/>
          </w:tcPr>
          <w:p>
            <w:pPr>
              <w:pStyle w:val="Tabla9"/>
              <w:jc w:val="left"/>
            </w:pPr>
            <w:r>
              <w:t xml:space="preserve">El proyecto actúa sobre las cuatro causas directas y no solo sobre la calibración: colocalización, rotación, modelo con humedad y recalibración por umbral (sección 14)</w:t>
            </w:r>
          </w:p>
        </w:tc>
      </w:tr>
      <w:tr>
        <w:trPr>
          <w:cantSplit/>
        </w:trPr>
        <w:tc>
          <w:tcPr>
            <w:tcW w:w="3069" w:type="dxa"/>
          </w:tcPr>
          <w:p>
            <w:pPr>
              <w:pStyle w:val="Tabla9"/>
              <w:jc w:val="left"/>
            </w:pPr>
            <w:r>
              <w:t xml:space="preserve">3. V08 ocupa el último lugar de influencia indirecta</w:t>
            </w:r>
          </w:p>
        </w:tc>
        <w:tc>
          <w:tcPr>
            <w:tcW w:w="3650" w:type="dxa"/>
          </w:tcPr>
          <w:p>
            <w:pPr>
              <w:pStyle w:val="Tabla9"/>
              <w:jc w:val="left"/>
            </w:pPr>
            <w:r>
              <w:t xml:space="preserve">La latencia es autónoma relativa y su único vínculo de salida positivo es V08→V13. Que sea un polo estructural depende de V08→V06 y de la definición de V08, y no es concluyente</w:t>
            </w:r>
          </w:p>
        </w:tc>
        <w:tc>
          <w:tcPr>
            <w:tcW w:w="3235" w:type="dxa"/>
          </w:tcPr>
          <w:p>
            <w:pPr>
              <w:pStyle w:val="Tabla9"/>
              <w:jc w:val="left"/>
            </w:pPr>
            <w:r>
              <w:t xml:space="preserve">La latencia no condiciona la compra de tramos. La red registra disponibilidad y pérdida de paquetes (indicador R2, sección 24)</w:t>
            </w:r>
          </w:p>
        </w:tc>
      </w:tr>
      <w:tr>
        <w:trPr>
          <w:cantSplit/>
        </w:trPr>
        <w:tc>
          <w:tcPr>
            <w:tcW w:w="3069" w:type="dxa"/>
            <w:shd w:val="clear" w:color="auto" w:fill="F7F7F7"/>
          </w:tcPr>
          <w:p>
            <w:pPr>
              <w:pStyle w:val="Tabla9"/>
              <w:jc w:val="left"/>
            </w:pPr>
            <w:r>
              <w:t xml:space="preserve">4. V15 concentra la retroalimentación</w:t>
            </w:r>
          </w:p>
        </w:tc>
        <w:tc>
          <w:tcPr>
            <w:tcW w:w="3650" w:type="dxa"/>
            <w:shd w:val="clear" w:color="auto" w:fill="F7F7F7"/>
          </w:tcPr>
          <w:p>
            <w:pPr>
              <w:pStyle w:val="Tabla9"/>
              <w:jc w:val="left"/>
            </w:pPr>
            <w:r>
              <w:t xml:space="preserve">Es crítica en S2 y S4, aparece en 140 de 144 ciclos y su dependencia indirecta es la mayor. Depende de cinco vínculos de salida con confianza baja o media</w:t>
            </w:r>
          </w:p>
        </w:tc>
        <w:tc>
          <w:tcPr>
            <w:tcW w:w="3235" w:type="dxa"/>
            <w:shd w:val="clear" w:color="auto" w:fill="F7F7F7"/>
          </w:tcPr>
          <w:p>
            <w:pPr>
              <w:pStyle w:val="Tabla9"/>
              <w:jc w:val="left"/>
            </w:pPr>
            <w:r>
              <w:t xml:space="preserve">Co-diseño del tablero, convenios de custodia y criterio de uso en la compuerta C1 (secciones 14, 18 y 19)</w:t>
            </w:r>
          </w:p>
        </w:tc>
      </w:tr>
      <w:tr>
        <w:trPr>
          <w:cantSplit/>
        </w:trPr>
        <w:tc>
          <w:tcPr>
            <w:tcW w:w="3069" w:type="dxa"/>
          </w:tcPr>
          <w:p>
            <w:pPr>
              <w:pStyle w:val="Tabla9"/>
              <w:jc w:val="left"/>
            </w:pPr>
            <w:r>
              <w:t xml:space="preserve">5. V03, V04 y V05 encabezan la influencia indirecta</w:t>
            </w:r>
          </w:p>
        </w:tc>
        <w:tc>
          <w:tcPr>
            <w:tcW w:w="3650" w:type="dxa"/>
          </w:tcPr>
          <w:p>
            <w:pPr>
              <w:pStyle w:val="Tabla9"/>
              <w:jc w:val="left"/>
            </w:pPr>
            <w:r>
              <w:t xml:space="preserve">V03 y V04 no reciben influencia y V05 recibe un solo vínculo. Son fuentes de recorridos y no palancas, salvo V05 mediante decisiones institucionales</w:t>
            </w:r>
          </w:p>
        </w:tc>
        <w:tc>
          <w:tcPr>
            <w:tcW w:w="3235" w:type="dxa"/>
          </w:tcPr>
          <w:p>
            <w:pPr>
              <w:pStyle w:val="Tabla9"/>
              <w:jc w:val="left"/>
            </w:pPr>
            <w:r>
              <w:t xml:space="preserve">El proyecto mide humedad y concentración como entradas del modelo y no controla la fuente de polvo (sección 5.1)</w:t>
            </w:r>
          </w:p>
        </w:tc>
      </w:tr>
      <w:tr>
        <w:trPr>
          <w:cantSplit/>
        </w:trPr>
        <w:tc>
          <w:tcPr>
            <w:tcW w:w="3069" w:type="dxa"/>
            <w:shd w:val="clear" w:color="auto" w:fill="F7F7F7"/>
          </w:tcPr>
          <w:p>
            <w:pPr>
              <w:pStyle w:val="Tabla9"/>
              <w:jc w:val="left"/>
            </w:pPr>
            <w:r>
              <w:t xml:space="preserve">6. S0 se extingue en A⁷</w:t>
            </w:r>
          </w:p>
        </w:tc>
        <w:tc>
          <w:tcPr>
            <w:tcW w:w="3650" w:type="dxa"/>
            <w:shd w:val="clear" w:color="auto" w:fill="F7F7F7"/>
          </w:tcPr>
          <w:p>
            <w:pPr>
              <w:pStyle w:val="Tabla9"/>
              <w:jc w:val="left"/>
            </w:pPr>
            <w:r>
              <w:t xml:space="preserve">Es propiedad de sus 22 vínculos, que omiten entradas como V01→V11 y V02→V11 y retroalimentaciones como V15→V09. No demuestra linealidad del sistema</w:t>
            </w:r>
          </w:p>
        </w:tc>
        <w:tc>
          <w:tcPr>
            <w:tcW w:w="3235" w:type="dxa"/>
            <w:shd w:val="clear" w:color="auto" w:fill="F7F7F7"/>
          </w:tcPr>
          <w:p>
            <w:pPr>
              <w:pStyle w:val="Tabla9"/>
              <w:jc w:val="left"/>
            </w:pPr>
            <w:r>
              <w:t xml:space="preserve">Se adopta S2 como matriz de trabajo y se reportan S3 y S4 como sensibilidad</w:t>
            </w:r>
          </w:p>
        </w:tc>
      </w:tr>
      <w:tr>
        <w:trPr>
          <w:cantSplit/>
        </w:trPr>
        <w:tc>
          <w:tcPr>
            <w:tcW w:w="3069" w:type="dxa"/>
          </w:tcPr>
          <w:p>
            <w:pPr>
              <w:pStyle w:val="Tabla9"/>
              <w:keepNext/>
              <w:jc w:val="left"/>
            </w:pPr>
            <w:r>
              <w:t xml:space="preserve">7. Solo V05, V06 y V14 tienen clase estable</w:t>
            </w:r>
          </w:p>
        </w:tc>
        <w:tc>
          <w:tcPr>
            <w:tcW w:w="3650" w:type="dxa"/>
          </w:tcPr>
          <w:p>
            <w:pPr>
              <w:pStyle w:val="Tabla9"/>
              <w:keepNext/>
              <w:jc w:val="left"/>
            </w:pPr>
            <w:r>
              <w:t xml:space="preserve">V14, la protección de personas, es reactiva en los cinco escenarios y no actúa sobre las demás</w:t>
            </w:r>
          </w:p>
        </w:tc>
        <w:tc>
          <w:tcPr>
            <w:tcW w:w="3235" w:type="dxa"/>
          </w:tcPr>
          <w:p>
            <w:pPr>
              <w:pStyle w:val="Tabla9"/>
              <w:keepNext/>
              <w:jc w:val="left"/>
            </w:pPr>
            <w:r>
              <w:t xml:space="preserve">La protección de personas se trata como contribución y no como compromiso (sección 17)</w:t>
            </w:r>
          </w:p>
        </w:tc>
      </w:tr>
    </w:tbl>
    <w:p>
      <w:pPr>
        <w:pStyle w:val="TablaNota"/>
      </w:pPr>
      <w:r>
        <w:rPr>
          <w:i/>
          <w:iCs/>
        </w:rPr>
        <w:t xml:space="preserve">Nota.</w:t>
      </w:r>
      <w:r>
        <w:t xml:space="preserve"> </w:t>
      </w:r>
      <w:r>
        <w:t xml:space="preserve">Elaboración propia con los resultados de A.4 a A.6 y las secciones indicadas del Anexo 2.</w:t>
      </w:r>
    </w:p>
    <w:bookmarkEnd w:id="53"/>
    <w:bookmarkStart w:id="62" w:name="X8a5e826a80b14754acc520a6bb231efef38eec2"/>
    <w:p>
      <w:pPr>
        <w:pStyle w:val="Heading2"/>
      </w:pPr>
      <w:r>
        <w:t xml:space="preserve">A.8. Clasificación de variables para la inferencia causal</w:t>
      </w:r>
    </w:p>
    <w:p>
      <w:pPr>
        <w:pStyle w:val="FirstParagraph"/>
      </w:pPr>
      <w:r>
        <w:t xml:space="preserve">La clasificación estructural aporta hipótesis de influencia y no sustituye la identificación causal (Pearl y Mackenzie, 2018). Por eso los roles de las variables se derivan del grafo y del estimando, y no de la clase de Vester. Esta sección declara el estimando antes de clasificar y evalúa si cada uno puede publicarse como efecto causal.</w:t>
      </w:r>
    </w:p>
    <w:bookmarkStart w:id="54" w:name="a.8.1-estimandos"/>
    <w:p>
      <w:pPr>
        <w:pStyle w:val="Heading3"/>
      </w:pPr>
      <w:r>
        <w:t xml:space="preserve">A.8.1 Estimandos</w:t>
      </w:r>
    </w:p>
    <w:p>
      <w:pPr>
        <w:pStyle w:val="FirstParagraph"/>
      </w:pPr>
      <w:r>
        <w:t xml:space="preserve">La Tabla A.21 declara dos estimandos. El primero es el efecto de la frecuencia de calibración sobre el error de medición. El segundo es el efecto de la adopción institucional sobre la protección de personas. Si algún campo carece de definición, no se publica un efecto causal.</w:t>
      </w:r>
    </w:p>
    <w:p>
      <w:pPr>
        <w:pStyle w:val="TablaRotulo"/>
      </w:pPr>
      <w:bookmarkStart w:id="9021" w:name="rot_Tabla_A_21"/>
      <w:r>
        <w:rPr>
          <w:b/>
          <w:bCs/>
        </w:rPr>
        <w:t xml:space="preserve">Tabla A.21</w:t>
      </w:r>
      <w:bookmarkEnd w:id="9021"/>
    </w:p>
    <w:p>
      <w:pPr>
        <w:pStyle w:val="TablaTitulo"/>
      </w:pPr>
      <w:r>
        <w:rPr>
          <w:i/>
          <w:iCs/>
        </w:rPr>
        <w:t xml:space="preserve">Estimandos declarados y evaluación de su identificación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42"/>
        <w:gridCol w:w="4015"/>
        <w:gridCol w:w="3597"/>
      </w:tblGrid>
      <w:tr>
        <w:trPr>
          <w:cantSplit/>
          <w:tblHeader w:val="true"/>
          <w:tblHeader/>
        </w:trPr>
        <w:tc>
          <w:tcPr>
            <w:tcW w:w="2342" w:type="dxa"/>
            <w:tcBorders>
              <w:bottom w:val="single" w:sz="12" w:space="0" w:color="6699CC"/>
            </w:tcBorders>
            <w:shd w:val="clear" w:color="auto" w:fill="B9D9EB"/>
          </w:tcPr>
          <w:p>
            <w:pPr>
              <w:pStyle w:val="Tabla9"/>
              <w:keepNext/>
              <w:jc w:val="left"/>
            </w:pPr>
            <w:r>
              <w:rPr>
                <w:b/>
              </w:rPr>
              <w:t xml:space="preserve">Campo</w:t>
            </w:r>
          </w:p>
        </w:tc>
        <w:tc>
          <w:tcPr>
            <w:tcW w:w="4015" w:type="dxa"/>
            <w:tcBorders>
              <w:bottom w:val="single" w:sz="12" w:space="0" w:color="6699CC"/>
            </w:tcBorders>
            <w:shd w:val="clear" w:color="auto" w:fill="B9D9EB"/>
          </w:tcPr>
          <w:p>
            <w:pPr>
              <w:pStyle w:val="Tabla9"/>
              <w:keepNext/>
              <w:jc w:val="left"/>
            </w:pPr>
            <w:r>
              <w:rPr>
                <w:b/>
              </w:rPr>
              <w:t xml:space="preserve">E1. Efecto de la calibración sobre el error de medición</w:t>
            </w:r>
          </w:p>
        </w:tc>
        <w:tc>
          <w:tcPr>
            <w:tcW w:w="3597" w:type="dxa"/>
            <w:tcBorders>
              <w:bottom w:val="single" w:sz="12" w:space="0" w:color="6699CC"/>
            </w:tcBorders>
            <w:shd w:val="clear" w:color="auto" w:fill="B9D9EB"/>
          </w:tcPr>
          <w:p>
            <w:pPr>
              <w:pStyle w:val="Tabla9"/>
              <w:keepNext/>
              <w:jc w:val="left"/>
            </w:pPr>
            <w:r>
              <w:rPr>
                <w:b/>
              </w:rPr>
              <w:t xml:space="preserve">E2. Efecto de la adopción institucional</w:t>
            </w:r>
          </w:p>
        </w:tc>
      </w:tr>
      <w:tr>
        <w:trPr>
          <w:cantSplit/>
        </w:trPr>
        <w:tc>
          <w:tcPr>
            <w:tcW w:w="2342" w:type="dxa"/>
          </w:tcPr>
          <w:p>
            <w:pPr>
              <w:pStyle w:val="Tabla9"/>
              <w:jc w:val="left"/>
            </w:pPr>
            <w:r>
              <w:t xml:space="preserve">Intervención X</w:t>
            </w:r>
          </w:p>
        </w:tc>
        <w:tc>
          <w:tcPr>
            <w:tcW w:w="4015" w:type="dxa"/>
          </w:tcPr>
          <w:p>
            <w:pPr>
              <w:pStyle w:val="Tabla9"/>
              <w:jc w:val="left"/>
            </w:pPr>
            <w:r>
              <w:t xml:space="preserve">Frecuencia de calibración de los nodos (V07): calibración inicial por colocalización y recalibración tras cada rotación</w:t>
            </w:r>
          </w:p>
        </w:tc>
        <w:tc>
          <w:tcPr>
            <w:tcW w:w="3597" w:type="dxa"/>
          </w:tcPr>
          <w:p>
            <w:pPr>
              <w:pStyle w:val="Tabla9"/>
              <w:jc w:val="left"/>
            </w:pPr>
            <w:r>
              <w:t xml:space="preserve">Adopción formal del tablero por el consejo o la alcaldía (V15) mediante acto administrativo</w:t>
            </w:r>
          </w:p>
        </w:tc>
      </w:tr>
      <w:tr>
        <w:trPr>
          <w:cantSplit/>
        </w:trPr>
        <w:tc>
          <w:tcPr>
            <w:tcW w:w="2342" w:type="dxa"/>
            <w:shd w:val="clear" w:color="auto" w:fill="F7F7F7"/>
          </w:tcPr>
          <w:p>
            <w:pPr>
              <w:pStyle w:val="Tabla9"/>
              <w:jc w:val="left"/>
            </w:pPr>
            <w:r>
              <w:t xml:space="preserve">Resultado Y</w:t>
            </w:r>
          </w:p>
        </w:tc>
        <w:tc>
          <w:tcPr>
            <w:tcW w:w="4015" w:type="dxa"/>
            <w:shd w:val="clear" w:color="auto" w:fill="F7F7F7"/>
          </w:tcPr>
          <w:p>
            <w:pPr>
              <w:pStyle w:val="Tabla9"/>
              <w:jc w:val="left"/>
            </w:pPr>
            <w:r>
              <w:t xml:space="preserve">V06: error normalizado (NMAE) del PM2,5 de cada nodo frente a la referencia asignada, por semana</w:t>
            </w:r>
          </w:p>
        </w:tc>
        <w:tc>
          <w:tcPr>
            <w:tcW w:w="3597" w:type="dxa"/>
            <w:shd w:val="clear" w:color="auto" w:fill="F7F7F7"/>
          </w:tcPr>
          <w:p>
            <w:pPr>
              <w:pStyle w:val="Tabla9"/>
              <w:jc w:val="left"/>
            </w:pPr>
            <w:r>
              <w:t xml:space="preserve">V14: personas bajo protección efectiva</w:t>
            </w:r>
          </w:p>
        </w:tc>
      </w:tr>
      <w:tr>
        <w:trPr>
          <w:cantSplit/>
        </w:trPr>
        <w:tc>
          <w:tcPr>
            <w:tcW w:w="2342" w:type="dxa"/>
          </w:tcPr>
          <w:p>
            <w:pPr>
              <w:pStyle w:val="Tabla9"/>
              <w:jc w:val="left"/>
            </w:pPr>
            <w:r>
              <w:t xml:space="preserve">Población</w:t>
            </w:r>
          </w:p>
        </w:tc>
        <w:tc>
          <w:tcPr>
            <w:tcW w:w="4015" w:type="dxa"/>
          </w:tcPr>
          <w:p>
            <w:pPr>
              <w:pStyle w:val="Tabla9"/>
              <w:jc w:val="left"/>
            </w:pPr>
            <w:r>
              <w:t xml:space="preserve">Nodos colocalizados con una referencia, en el tramo 1 y en las rotaciones de los tramos 2 y 3</w:t>
            </w:r>
          </w:p>
        </w:tc>
        <w:tc>
          <w:tcPr>
            <w:tcW w:w="3597" w:type="dxa"/>
          </w:tcPr>
          <w:p>
            <w:pPr>
              <w:pStyle w:val="Tabla9"/>
              <w:jc w:val="left"/>
            </w:pPr>
            <w:r>
              <w:t xml:space="preserve">Municipios con sitios de remoción</w:t>
            </w:r>
          </w:p>
        </w:tc>
      </w:tr>
      <w:tr>
        <w:trPr>
          <w:cantSplit/>
        </w:trPr>
        <w:tc>
          <w:tcPr>
            <w:tcW w:w="2342" w:type="dxa"/>
            <w:shd w:val="clear" w:color="auto" w:fill="F7F7F7"/>
          </w:tcPr>
          <w:p>
            <w:pPr>
              <w:pStyle w:val="Tabla9"/>
              <w:jc w:val="left"/>
            </w:pPr>
            <w:r>
              <w:t xml:space="preserve">Territorio</w:t>
            </w:r>
          </w:p>
        </w:tc>
        <w:tc>
          <w:tcPr>
            <w:tcW w:w="4015" w:type="dxa"/>
            <w:shd w:val="clear" w:color="auto" w:fill="F7F7F7"/>
          </w:tcPr>
          <w:p>
            <w:pPr>
              <w:pStyle w:val="Tabla9"/>
              <w:jc w:val="left"/>
            </w:pPr>
            <w:r>
              <w:t xml:space="preserve">Manizales y Calarcá</w:t>
            </w:r>
          </w:p>
        </w:tc>
        <w:tc>
          <w:tcPr>
            <w:tcW w:w="3597" w:type="dxa"/>
            <w:shd w:val="clear" w:color="auto" w:fill="F7F7F7"/>
          </w:tcPr>
          <w:p>
            <w:pPr>
              <w:pStyle w:val="Tabla9"/>
              <w:jc w:val="left"/>
            </w:pPr>
            <w:r>
              <w:t xml:space="preserve">Manizales y Calarcá</w:t>
            </w:r>
          </w:p>
        </w:tc>
      </w:tr>
      <w:tr>
        <w:trPr>
          <w:cantSplit/>
        </w:trPr>
        <w:tc>
          <w:tcPr>
            <w:tcW w:w="2342" w:type="dxa"/>
          </w:tcPr>
          <w:p>
            <w:pPr>
              <w:pStyle w:val="Tabla9"/>
              <w:jc w:val="left"/>
            </w:pPr>
            <w:r>
              <w:t xml:space="preserve">Horizonte</w:t>
            </w:r>
          </w:p>
        </w:tc>
        <w:tc>
          <w:tcPr>
            <w:tcW w:w="4015" w:type="dxa"/>
          </w:tcPr>
          <w:p>
            <w:pPr>
              <w:pStyle w:val="Tabla9"/>
              <w:jc w:val="left"/>
            </w:pPr>
            <w:r>
              <w:t xml:space="preserve">24 meses de ejecución</w:t>
            </w:r>
          </w:p>
        </w:tc>
        <w:tc>
          <w:tcPr>
            <w:tcW w:w="3597" w:type="dxa"/>
          </w:tcPr>
          <w:p>
            <w:pPr>
              <w:pStyle w:val="Tabla9"/>
              <w:jc w:val="left"/>
            </w:pPr>
            <w:r>
              <w:t xml:space="preserve">36 meses: 24 de ejecución y 12 posteriores al cierre</w:t>
            </w:r>
          </w:p>
        </w:tc>
      </w:tr>
      <w:tr>
        <w:trPr>
          <w:cantSplit/>
        </w:trPr>
        <w:tc>
          <w:tcPr>
            <w:tcW w:w="2342" w:type="dxa"/>
            <w:shd w:val="clear" w:color="auto" w:fill="F7F7F7"/>
          </w:tcPr>
          <w:p>
            <w:pPr>
              <w:pStyle w:val="Tabla9"/>
              <w:jc w:val="left"/>
            </w:pPr>
            <w:r>
              <w:t xml:space="preserve">Contraste causal</w:t>
            </w:r>
          </w:p>
        </w:tc>
        <w:tc>
          <w:tcPr>
            <w:tcW w:w="4015" w:type="dxa"/>
            <w:shd w:val="clear" w:color="auto" w:fill="F7F7F7"/>
          </w:tcPr>
          <w:p>
            <w:pPr>
              <w:pStyle w:val="Tabla9"/>
              <w:jc w:val="left"/>
            </w:pPr>
            <w:r>
              <w:t xml:space="preserve">Nivel de calibración alto frente a bajo en el mismo nodo</w:t>
            </w:r>
          </w:p>
        </w:tc>
        <w:tc>
          <w:tcPr>
            <w:tcW w:w="3597" w:type="dxa"/>
            <w:shd w:val="clear" w:color="auto" w:fill="F7F7F7"/>
          </w:tcPr>
          <w:p>
            <w:pPr>
              <w:pStyle w:val="Tabla9"/>
              <w:jc w:val="left"/>
            </w:pPr>
            <w:r>
              <w:t xml:space="preserve">Sin grupo comparable ni regla de asignación</w:t>
            </w:r>
          </w:p>
        </w:tc>
      </w:tr>
      <w:tr>
        <w:trPr>
          <w:cantSplit/>
        </w:trPr>
        <w:tc>
          <w:tcPr>
            <w:tcW w:w="2342" w:type="dxa"/>
          </w:tcPr>
          <w:p>
            <w:pPr>
              <w:pStyle w:val="Tabla9"/>
              <w:jc w:val="left"/>
            </w:pPr>
            <w:r>
              <w:t xml:space="preserve">Estimando</w:t>
            </w:r>
          </w:p>
        </w:tc>
        <w:tc>
          <w:tcPr>
            <w:tcW w:w="4015" w:type="dxa"/>
          </w:tcPr>
          <w:p>
            <w:pPr>
              <w:pStyle w:val="Tabla9"/>
              <w:jc w:val="left"/>
            </w:pPr>
            <w:r>
              <w:t xml:space="preserve">Efecto promedio en los tratados sobre el logaritmo del NMAE</w:t>
            </w:r>
          </w:p>
        </w:tc>
        <w:tc>
          <w:tcPr>
            <w:tcW w:w="3597" w:type="dxa"/>
          </w:tcPr>
          <w:p>
            <w:pPr>
              <w:pStyle w:val="Tabla9"/>
              <w:jc w:val="left"/>
            </w:pPr>
            <w:r>
              <w:t xml:space="preserve">No definido</w:t>
            </w:r>
          </w:p>
        </w:tc>
      </w:tr>
      <w:tr>
        <w:trPr>
          <w:cantSplit/>
        </w:trPr>
        <w:tc>
          <w:tcPr>
            <w:tcW w:w="2342" w:type="dxa"/>
            <w:shd w:val="clear" w:color="auto" w:fill="F7F7F7"/>
          </w:tcPr>
          <w:p>
            <w:pPr>
              <w:pStyle w:val="Tabla9"/>
              <w:jc w:val="left"/>
            </w:pPr>
            <w:r>
              <w:t xml:space="preserve">Unidad de análisis</w:t>
            </w:r>
          </w:p>
        </w:tc>
        <w:tc>
          <w:tcPr>
            <w:tcW w:w="4015" w:type="dxa"/>
            <w:shd w:val="clear" w:color="auto" w:fill="F7F7F7"/>
          </w:tcPr>
          <w:p>
            <w:pPr>
              <w:pStyle w:val="Tabla9"/>
              <w:jc w:val="left"/>
            </w:pPr>
            <w:r>
              <w:t xml:space="preserve">Nodo y semana</w:t>
            </w:r>
          </w:p>
        </w:tc>
        <w:tc>
          <w:tcPr>
            <w:tcW w:w="3597" w:type="dxa"/>
            <w:shd w:val="clear" w:color="auto" w:fill="F7F7F7"/>
          </w:tcPr>
          <w:p>
            <w:pPr>
              <w:pStyle w:val="Tabla9"/>
              <w:jc w:val="left"/>
            </w:pPr>
            <w:r>
              <w:t xml:space="preserve">Municipio y mes (propuesta)</w:t>
            </w:r>
          </w:p>
        </w:tc>
      </w:tr>
      <w:tr>
        <w:trPr>
          <w:cantSplit/>
        </w:trPr>
        <w:tc>
          <w:tcPr>
            <w:tcW w:w="2342" w:type="dxa"/>
          </w:tcPr>
          <w:p>
            <w:pPr>
              <w:pStyle w:val="Tabla9"/>
              <w:keepNext/>
              <w:jc w:val="left"/>
            </w:pPr>
            <w:r>
              <w:t xml:space="preserve">Resultado de la evaluación</w:t>
            </w:r>
          </w:p>
        </w:tc>
        <w:tc>
          <w:tcPr>
            <w:tcW w:w="4015" w:type="dxa"/>
          </w:tcPr>
          <w:p>
            <w:pPr>
              <w:pStyle w:val="Tabla9"/>
              <w:keepNext/>
              <w:jc w:val="left"/>
            </w:pPr>
            <w:r>
              <w:t xml:space="preserve">No identificado con el diseño del proyecto. Identificable por diseño si el nivel de calibración se asignara al azar</w:t>
            </w:r>
          </w:p>
        </w:tc>
        <w:tc>
          <w:tcPr>
            <w:tcW w:w="3597" w:type="dxa"/>
          </w:tcPr>
          <w:p>
            <w:pPr>
              <w:pStyle w:val="Tabla9"/>
              <w:keepNext/>
              <w:jc w:val="left"/>
            </w:pPr>
            <w:r>
              <w:t xml:space="preserve">No identificado con los insumos disponibles</w:t>
            </w:r>
          </w:p>
        </w:tc>
      </w:tr>
    </w:tbl>
    <w:p>
      <w:pPr>
        <w:pStyle w:val="TablaNota"/>
      </w:pPr>
      <w:r>
        <w:rPr>
          <w:i/>
          <w:iCs/>
        </w:rPr>
        <w:t xml:space="preserve">Nota.</w:t>
      </w:r>
      <w:r>
        <w:t xml:space="preserve"> </w:t>
      </w:r>
      <w:r>
        <w:t xml:space="preserve">Elaboración propia. Un tercer estimando, el efecto del sistema de alerta sobre la morbilidad respiratoria, queda fuera del alcance: el modelo no tiene variable de resultado ni línea base de morbilidad.</w:t>
      </w:r>
    </w:p>
    <w:p>
      <w:pPr>
        <w:pStyle w:val="BodyText"/>
      </w:pPr>
      <w:r>
        <w:t xml:space="preserve">El informe de vigilancia tecnológica propone un diseño alternado (Equipo formulador, 2026). Asigna al azar cada semana el nivel de corrección y usa un panel con efectos fijos por nodo y por semana. El proyecto no incorpora ese diseño. Valida los modelos de corrección con colocalización, rotación y particiones fuera de muestra, como describe la sección 14.2. La decisión es coherente con el alcance, pero limita la inferencia. El efecto de la calibración sobre el error queda como hipótesis y no como efecto identificado.</w:t>
      </w:r>
    </w:p>
    <w:bookmarkEnd w:id="54"/>
    <w:bookmarkStart w:id="58" w:name="a.8.2-roles-de-las-variables-en-el-grafo"/>
    <w:p>
      <w:pPr>
        <w:pStyle w:val="Heading3"/>
      </w:pPr>
      <w:r>
        <w:t xml:space="preserve">A.8.2 Roles de las variables en el grafo</w:t>
      </w:r>
    </w:p>
    <w:p>
      <w:pPr>
        <w:pStyle w:val="FirstParagraph"/>
      </w:pPr>
      <w:r>
        <w:t xml:space="preserve">Un confusor es una causa previa de la exposición y del resultado. Un mediador está en el camino causal de X a Y. Un colisionador es el efecto común de dos variables, y condicionar sobre él abre un camino espurio. Un descendiente de X es una variable que X causa. Un moderador cambia la magnitud del efecto de X sobre Y. Una variable latente no se observa. La Tabla A.22 asigna un rol a cada variable y una regla de ajuste. La Figura A.5 dibuja el grafo.</w:t>
      </w:r>
    </w:p>
    <w:p>
      <w:pPr>
        <w:pStyle w:val="TablaRotulo"/>
      </w:pPr>
      <w:bookmarkStart w:id="9022" w:name="rot_Tabla_A_22"/>
      <w:r>
        <w:rPr>
          <w:b/>
          <w:bCs/>
        </w:rPr>
        <w:t xml:space="preserve">Tabla A.22</w:t>
      </w:r>
      <w:bookmarkEnd w:id="9022"/>
    </w:p>
    <w:p>
      <w:pPr>
        <w:pStyle w:val="TablaTitulo"/>
      </w:pPr>
      <w:r>
        <w:rPr>
          <w:i/>
          <w:iCs/>
        </w:rPr>
        <w:t xml:space="preserve">Roles de las variables en el grafo del estimando E1 y regla de ajuste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908"/>
        <w:gridCol w:w="1908"/>
        <w:gridCol w:w="1908"/>
        <w:gridCol w:w="2239"/>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Variable</w:t>
            </w:r>
          </w:p>
        </w:tc>
        <w:tc>
          <w:tcPr>
            <w:tcW w:w="1908" w:type="dxa"/>
            <w:tcBorders>
              <w:bottom w:val="single" w:sz="12" w:space="0" w:color="6699CC"/>
            </w:tcBorders>
            <w:shd w:val="clear" w:color="auto" w:fill="B9D9EB"/>
          </w:tcPr>
          <w:p>
            <w:pPr>
              <w:pStyle w:val="Tabla9"/>
              <w:keepNext/>
              <w:jc w:val="left"/>
            </w:pPr>
            <w:r>
              <w:rPr>
                <w:b/>
              </w:rPr>
              <w:t xml:space="preserve">Temporalidad respecto de X</w:t>
            </w:r>
          </w:p>
        </w:tc>
        <w:tc>
          <w:tcPr>
            <w:tcW w:w="1908" w:type="dxa"/>
            <w:tcBorders>
              <w:bottom w:val="single" w:sz="12" w:space="0" w:color="6699CC"/>
            </w:tcBorders>
            <w:shd w:val="clear" w:color="auto" w:fill="B9D9EB"/>
          </w:tcPr>
          <w:p>
            <w:pPr>
              <w:pStyle w:val="Tabla9"/>
              <w:keepNext/>
              <w:jc w:val="left"/>
            </w:pPr>
            <w:r>
              <w:rPr>
                <w:b/>
              </w:rPr>
              <w:t xml:space="preserve">Rol en el grafo</w:t>
            </w:r>
          </w:p>
        </w:tc>
        <w:tc>
          <w:tcPr>
            <w:tcW w:w="1908" w:type="dxa"/>
            <w:tcBorders>
              <w:bottom w:val="single" w:sz="12" w:space="0" w:color="6699CC"/>
            </w:tcBorders>
            <w:shd w:val="clear" w:color="auto" w:fill="B9D9EB"/>
          </w:tcPr>
          <w:p>
            <w:pPr>
              <w:pStyle w:val="Tabla9"/>
              <w:keepNext/>
              <w:jc w:val="left"/>
            </w:pPr>
            <w:r>
              <w:rPr>
                <w:b/>
              </w:rPr>
              <w:t xml:space="preserve">Caminos relevantes</w:t>
            </w:r>
          </w:p>
        </w:tc>
        <w:tc>
          <w:tcPr>
            <w:tcW w:w="2239" w:type="dxa"/>
            <w:tcBorders>
              <w:bottom w:val="single" w:sz="12" w:space="0" w:color="6699CC"/>
            </w:tcBorders>
            <w:shd w:val="clear" w:color="auto" w:fill="B9D9EB"/>
          </w:tcPr>
          <w:p>
            <w:pPr>
              <w:pStyle w:val="Tabla9"/>
              <w:keepNext/>
              <w:jc w:val="left"/>
            </w:pPr>
            <w:r>
              <w:rPr>
                <w:b/>
              </w:rPr>
              <w:t xml:space="preserve">Regla de ajuste</w:t>
            </w:r>
          </w:p>
        </w:tc>
      </w:tr>
      <w:tr>
        <w:trPr>
          <w:cantSplit/>
        </w:trPr>
        <w:tc>
          <w:tcPr>
            <w:tcW w:w="1991" w:type="dxa"/>
          </w:tcPr>
          <w:p>
            <w:pPr>
              <w:pStyle w:val="Tabla9"/>
              <w:jc w:val="left"/>
            </w:pPr>
            <w:r>
              <w:t xml:space="preserve">V01 PM2,5</w:t>
            </w:r>
          </w:p>
        </w:tc>
        <w:tc>
          <w:tcPr>
            <w:tcW w:w="1908" w:type="dxa"/>
          </w:tcPr>
          <w:p>
            <w:pPr>
              <w:pStyle w:val="Tabla9"/>
              <w:jc w:val="left"/>
            </w:pPr>
            <w:r>
              <w:t xml:space="preserve">Simultánea; independiente de X</w:t>
            </w:r>
          </w:p>
        </w:tc>
        <w:tc>
          <w:tcPr>
            <w:tcW w:w="1908" w:type="dxa"/>
          </w:tcPr>
          <w:p>
            <w:pPr>
              <w:pStyle w:val="Tabla9"/>
              <w:jc w:val="left"/>
            </w:pPr>
            <w:r>
              <w:t xml:space="preserve">Predictor de Y</w:t>
            </w:r>
          </w:p>
        </w:tc>
        <w:tc>
          <w:tcPr>
            <w:tcW w:w="1908" w:type="dxa"/>
          </w:tcPr>
          <w:p>
            <w:pPr>
              <w:pStyle w:val="Tabla9"/>
              <w:jc w:val="left"/>
            </w:pPr>
            <w:r>
              <w:t xml:space="preserve">V01→V06 (2); V05→V01→V06</w:t>
            </w:r>
          </w:p>
        </w:tc>
        <w:tc>
          <w:tcPr>
            <w:tcW w:w="2239" w:type="dxa"/>
          </w:tcPr>
          <w:p>
            <w:pPr>
              <w:pStyle w:val="Tabla9"/>
              <w:jc w:val="left"/>
            </w:pPr>
            <w:r>
              <w:t xml:space="preserve">Ajustar por precisión; no es necesario para identificar con asignación aleatoria</w:t>
            </w:r>
          </w:p>
        </w:tc>
      </w:tr>
      <w:tr>
        <w:trPr>
          <w:cantSplit/>
        </w:trPr>
        <w:tc>
          <w:tcPr>
            <w:tcW w:w="1991" w:type="dxa"/>
            <w:shd w:val="clear" w:color="auto" w:fill="F7F7F7"/>
          </w:tcPr>
          <w:p>
            <w:pPr>
              <w:pStyle w:val="Tabla9"/>
              <w:jc w:val="left"/>
            </w:pPr>
            <w:r>
              <w:t xml:space="preserve">V02 PM10</w:t>
            </w:r>
          </w:p>
        </w:tc>
        <w:tc>
          <w:tcPr>
            <w:tcW w:w="1908" w:type="dxa"/>
            <w:shd w:val="clear" w:color="auto" w:fill="F7F7F7"/>
          </w:tcPr>
          <w:p>
            <w:pPr>
              <w:pStyle w:val="Tabla9"/>
              <w:jc w:val="left"/>
            </w:pPr>
            <w:r>
              <w:t xml:space="preserve">Simultánea; independiente de X</w:t>
            </w:r>
          </w:p>
        </w:tc>
        <w:tc>
          <w:tcPr>
            <w:tcW w:w="1908" w:type="dxa"/>
            <w:shd w:val="clear" w:color="auto" w:fill="F7F7F7"/>
          </w:tcPr>
          <w:p>
            <w:pPr>
              <w:pStyle w:val="Tabla9"/>
              <w:jc w:val="left"/>
            </w:pPr>
            <w:r>
              <w:t xml:space="preserve">Predictor de Y</w:t>
            </w:r>
          </w:p>
        </w:tc>
        <w:tc>
          <w:tcPr>
            <w:tcW w:w="1908" w:type="dxa"/>
            <w:shd w:val="clear" w:color="auto" w:fill="F7F7F7"/>
          </w:tcPr>
          <w:p>
            <w:pPr>
              <w:pStyle w:val="Tabla9"/>
              <w:jc w:val="left"/>
            </w:pPr>
            <w:r>
              <w:t xml:space="preserve">V02→V06 (3); V02→V09 (1); V05→V02</w:t>
            </w:r>
          </w:p>
        </w:tc>
        <w:tc>
          <w:tcPr>
            <w:tcW w:w="2239" w:type="dxa"/>
            <w:shd w:val="clear" w:color="auto" w:fill="F7F7F7"/>
          </w:tcPr>
          <w:p>
            <w:pPr>
              <w:pStyle w:val="Tabla9"/>
              <w:jc w:val="left"/>
            </w:pPr>
            <w:r>
              <w:t xml:space="preserve">Ajustar por precisión; evitar incluir V01 y V02 si son colineales por inclusión</w:t>
            </w:r>
          </w:p>
        </w:tc>
      </w:tr>
      <w:tr>
        <w:trPr>
          <w:cantSplit/>
        </w:trPr>
        <w:tc>
          <w:tcPr>
            <w:tcW w:w="1991" w:type="dxa"/>
          </w:tcPr>
          <w:p>
            <w:pPr>
              <w:pStyle w:val="Tabla9"/>
              <w:jc w:val="left"/>
            </w:pPr>
            <w:r>
              <w:t xml:space="preserve">V03 Humedad</w:t>
            </w:r>
          </w:p>
        </w:tc>
        <w:tc>
          <w:tcPr>
            <w:tcW w:w="1908" w:type="dxa"/>
          </w:tcPr>
          <w:p>
            <w:pPr>
              <w:pStyle w:val="Tabla9"/>
              <w:jc w:val="left"/>
            </w:pPr>
            <w:r>
              <w:t xml:space="preserve">Simultánea; independiente de X</w:t>
            </w:r>
          </w:p>
        </w:tc>
        <w:tc>
          <w:tcPr>
            <w:tcW w:w="1908" w:type="dxa"/>
          </w:tcPr>
          <w:p>
            <w:pPr>
              <w:pStyle w:val="Tabla9"/>
              <w:jc w:val="left"/>
            </w:pPr>
            <w:r>
              <w:t xml:space="preserve">Predictor de Y y moderador</w:t>
            </w:r>
          </w:p>
        </w:tc>
        <w:tc>
          <w:tcPr>
            <w:tcW w:w="1908" w:type="dxa"/>
          </w:tcPr>
          <w:p>
            <w:pPr>
              <w:pStyle w:val="Tabla9"/>
              <w:jc w:val="left"/>
            </w:pPr>
            <w:r>
              <w:t xml:space="preserve">V03→V06 (3); V03→V09 (1)</w:t>
            </w:r>
          </w:p>
        </w:tc>
        <w:tc>
          <w:tcPr>
            <w:tcW w:w="2239" w:type="dxa"/>
          </w:tcPr>
          <w:p>
            <w:pPr>
              <w:pStyle w:val="Tabla9"/>
              <w:jc w:val="left"/>
            </w:pPr>
            <w:r>
              <w:t xml:space="preserve">Ajustar, con interacción entre X y V03</w:t>
            </w:r>
          </w:p>
        </w:tc>
      </w:tr>
      <w:tr>
        <w:trPr>
          <w:cantSplit/>
        </w:trPr>
        <w:tc>
          <w:tcPr>
            <w:tcW w:w="1991" w:type="dxa"/>
            <w:shd w:val="clear" w:color="auto" w:fill="F7F7F7"/>
          </w:tcPr>
          <w:p>
            <w:pPr>
              <w:pStyle w:val="Tabla9"/>
              <w:jc w:val="left"/>
            </w:pPr>
            <w:r>
              <w:t xml:space="preserve">V04 Viento</w:t>
            </w:r>
          </w:p>
        </w:tc>
        <w:tc>
          <w:tcPr>
            <w:tcW w:w="1908" w:type="dxa"/>
            <w:shd w:val="clear" w:color="auto" w:fill="F7F7F7"/>
          </w:tcPr>
          <w:p>
            <w:pPr>
              <w:pStyle w:val="Tabla9"/>
              <w:jc w:val="left"/>
            </w:pPr>
            <w:r>
              <w:t xml:space="preserve">Simultánea; independiente de X</w:t>
            </w:r>
          </w:p>
        </w:tc>
        <w:tc>
          <w:tcPr>
            <w:tcW w:w="1908" w:type="dxa"/>
            <w:shd w:val="clear" w:color="auto" w:fill="F7F7F7"/>
          </w:tcPr>
          <w:p>
            <w:pPr>
              <w:pStyle w:val="Tabla9"/>
              <w:jc w:val="left"/>
            </w:pPr>
            <w:r>
              <w:t xml:space="preserve">Predictor débil de Y</w:t>
            </w:r>
          </w:p>
        </w:tc>
        <w:tc>
          <w:tcPr>
            <w:tcW w:w="1908" w:type="dxa"/>
            <w:shd w:val="clear" w:color="auto" w:fill="F7F7F7"/>
          </w:tcPr>
          <w:p>
            <w:pPr>
              <w:pStyle w:val="Tabla9"/>
              <w:jc w:val="left"/>
            </w:pPr>
            <w:r>
              <w:t xml:space="preserve">V04→V06 (1); V04→V01 y V04→V02</w:t>
            </w:r>
          </w:p>
        </w:tc>
        <w:tc>
          <w:tcPr>
            <w:tcW w:w="2239" w:type="dxa"/>
            <w:shd w:val="clear" w:color="auto" w:fill="F7F7F7"/>
          </w:tcPr>
          <w:p>
            <w:pPr>
              <w:pStyle w:val="Tabla9"/>
              <w:jc w:val="left"/>
            </w:pPr>
            <w:r>
              <w:t xml:space="preserve">Ajustar como control</w:t>
            </w:r>
          </w:p>
        </w:tc>
      </w:tr>
      <w:tr>
        <w:trPr>
          <w:cantSplit/>
        </w:trPr>
        <w:tc>
          <w:tcPr>
            <w:tcW w:w="1991" w:type="dxa"/>
          </w:tcPr>
          <w:p>
            <w:pPr>
              <w:pStyle w:val="Tabla9"/>
              <w:jc w:val="left"/>
            </w:pPr>
            <w:r>
              <w:t xml:space="preserve">V05 Escombros</w:t>
            </w:r>
          </w:p>
        </w:tc>
        <w:tc>
          <w:tcPr>
            <w:tcW w:w="1908" w:type="dxa"/>
          </w:tcPr>
          <w:p>
            <w:pPr>
              <w:pStyle w:val="Tabla9"/>
              <w:jc w:val="left"/>
            </w:pPr>
            <w:r>
              <w:t xml:space="preserve">Previa a cada semana</w:t>
            </w:r>
          </w:p>
        </w:tc>
        <w:tc>
          <w:tcPr>
            <w:tcW w:w="1908" w:type="dxa"/>
          </w:tcPr>
          <w:p>
            <w:pPr>
              <w:pStyle w:val="Tabla9"/>
              <w:jc w:val="left"/>
            </w:pPr>
            <w:r>
              <w:t xml:space="preserve">Predictor indirecto de Y; causa de pérdida de nodos</w:t>
            </w:r>
          </w:p>
        </w:tc>
        <w:tc>
          <w:tcPr>
            <w:tcW w:w="1908" w:type="dxa"/>
          </w:tcPr>
          <w:p>
            <w:pPr>
              <w:pStyle w:val="Tabla9"/>
              <w:jc w:val="left"/>
            </w:pPr>
            <w:r>
              <w:t xml:space="preserve">V05→V01 y V05→V02→V06; V05→V09</w:t>
            </w:r>
          </w:p>
        </w:tc>
        <w:tc>
          <w:tcPr>
            <w:tcW w:w="2239" w:type="dxa"/>
          </w:tcPr>
          <w:p>
            <w:pPr>
              <w:pStyle w:val="Tabla9"/>
              <w:jc w:val="left"/>
            </w:pPr>
            <w:r>
              <w:t xml:space="preserve">Absorber con efectos fijos de nodo y de semana; no condicionar sobre V09</w:t>
            </w:r>
          </w:p>
        </w:tc>
      </w:tr>
      <w:tr>
        <w:trPr>
          <w:cantSplit/>
        </w:trPr>
        <w:tc>
          <w:tcPr>
            <w:tcW w:w="1991" w:type="dxa"/>
            <w:shd w:val="clear" w:color="auto" w:fill="F7F7F7"/>
          </w:tcPr>
          <w:p>
            <w:pPr>
              <w:pStyle w:val="Tabla9"/>
              <w:jc w:val="left"/>
            </w:pPr>
            <w:r>
              <w:t xml:space="preserve">V06 Error de medición</w:t>
            </w:r>
          </w:p>
        </w:tc>
        <w:tc>
          <w:tcPr>
            <w:tcW w:w="1908" w:type="dxa"/>
            <w:shd w:val="clear" w:color="auto" w:fill="F7F7F7"/>
          </w:tcPr>
          <w:p>
            <w:pPr>
              <w:pStyle w:val="Tabla9"/>
              <w:jc w:val="left"/>
            </w:pPr>
            <w:r>
              <w:t xml:space="preserve">Posterior a X</w:t>
            </w:r>
          </w:p>
        </w:tc>
        <w:tc>
          <w:tcPr>
            <w:tcW w:w="1908" w:type="dxa"/>
            <w:shd w:val="clear" w:color="auto" w:fill="F7F7F7"/>
          </w:tcPr>
          <w:p>
            <w:pPr>
              <w:pStyle w:val="Tabla9"/>
              <w:jc w:val="left"/>
            </w:pPr>
            <w:r>
              <w:t xml:space="preserve">Resultado Y</w:t>
            </w:r>
          </w:p>
        </w:tc>
        <w:tc>
          <w:tcPr>
            <w:tcW w:w="1908" w:type="dxa"/>
            <w:shd w:val="clear" w:color="auto" w:fill="F7F7F7"/>
          </w:tcPr>
          <w:p>
            <w:pPr>
              <w:pStyle w:val="Tabla9"/>
              <w:jc w:val="left"/>
            </w:pPr>
            <w:r>
              <w:t xml:space="preserve">X→V06 (3)</w:t>
            </w:r>
          </w:p>
        </w:tc>
        <w:tc>
          <w:tcPr>
            <w:tcW w:w="2239" w:type="dxa"/>
            <w:shd w:val="clear" w:color="auto" w:fill="F7F7F7"/>
          </w:tcPr>
          <w:p>
            <w:pPr>
              <w:pStyle w:val="Tabla9"/>
              <w:jc w:val="left"/>
            </w:pPr>
            <w:r>
              <w:t xml:space="preserve">No aplica</w:t>
            </w:r>
          </w:p>
        </w:tc>
      </w:tr>
      <w:tr>
        <w:trPr>
          <w:cantSplit/>
        </w:trPr>
        <w:tc>
          <w:tcPr>
            <w:tcW w:w="1991" w:type="dxa"/>
          </w:tcPr>
          <w:p>
            <w:pPr>
              <w:pStyle w:val="Tabla9"/>
              <w:jc w:val="left"/>
            </w:pPr>
            <w:r>
              <w:t xml:space="preserve">V07 Calibración</w:t>
            </w:r>
          </w:p>
        </w:tc>
        <w:tc>
          <w:tcPr>
            <w:tcW w:w="1908" w:type="dxa"/>
          </w:tcPr>
          <w:p>
            <w:pPr>
              <w:pStyle w:val="Tabla9"/>
              <w:jc w:val="left"/>
            </w:pPr>
            <w:r>
              <w:t xml:space="preserve">Asignada al inicio de la semana</w:t>
            </w:r>
          </w:p>
        </w:tc>
        <w:tc>
          <w:tcPr>
            <w:tcW w:w="1908" w:type="dxa"/>
          </w:tcPr>
          <w:p>
            <w:pPr>
              <w:pStyle w:val="Tabla9"/>
              <w:jc w:val="left"/>
            </w:pPr>
            <w:r>
              <w:t xml:space="preserve">Exposición X</w:t>
            </w:r>
          </w:p>
        </w:tc>
        <w:tc>
          <w:tcPr>
            <w:tcW w:w="1908" w:type="dxa"/>
          </w:tcPr>
          <w:p>
            <w:pPr>
              <w:pStyle w:val="Tabla9"/>
              <w:jc w:val="left"/>
            </w:pPr>
            <w:r>
              <w:t xml:space="preserve">V07→V06; V07→V08; V07→V09</w:t>
            </w:r>
          </w:p>
        </w:tc>
        <w:tc>
          <w:tcPr>
            <w:tcW w:w="2239" w:type="dxa"/>
          </w:tcPr>
          <w:p>
            <w:pPr>
              <w:pStyle w:val="Tabla9"/>
              <w:jc w:val="left"/>
            </w:pPr>
            <w:r>
              <w:t xml:space="preserve">No aplica</w:t>
            </w:r>
          </w:p>
        </w:tc>
      </w:tr>
      <w:tr>
        <w:trPr>
          <w:cantSplit/>
        </w:trPr>
        <w:tc>
          <w:tcPr>
            <w:tcW w:w="1991" w:type="dxa"/>
            <w:shd w:val="clear" w:color="auto" w:fill="F7F7F7"/>
          </w:tcPr>
          <w:p>
            <w:pPr>
              <w:pStyle w:val="Tabla9"/>
              <w:jc w:val="left"/>
            </w:pPr>
            <w:r>
              <w:t xml:space="preserve">V08 Latencia</w:t>
            </w:r>
          </w:p>
        </w:tc>
        <w:tc>
          <w:tcPr>
            <w:tcW w:w="1908" w:type="dxa"/>
            <w:shd w:val="clear" w:color="auto" w:fill="F7F7F7"/>
          </w:tcPr>
          <w:p>
            <w:pPr>
              <w:pStyle w:val="Tabla9"/>
              <w:jc w:val="left"/>
            </w:pPr>
            <w:r>
              <w:t xml:space="preserve">Posterior a X</w:t>
            </w:r>
          </w:p>
        </w:tc>
        <w:tc>
          <w:tcPr>
            <w:tcW w:w="1908" w:type="dxa"/>
            <w:shd w:val="clear" w:color="auto" w:fill="F7F7F7"/>
          </w:tcPr>
          <w:p>
            <w:pPr>
              <w:pStyle w:val="Tabla9"/>
              <w:jc w:val="left"/>
            </w:pPr>
            <w:r>
              <w:t xml:space="preserve">Descendiente de X; mediador si V08→V06 fuera positivo</w:t>
            </w:r>
          </w:p>
        </w:tc>
        <w:tc>
          <w:tcPr>
            <w:tcW w:w="1908" w:type="dxa"/>
            <w:shd w:val="clear" w:color="auto" w:fill="F7F7F7"/>
          </w:tcPr>
          <w:p>
            <w:pPr>
              <w:pStyle w:val="Tabla9"/>
              <w:jc w:val="left"/>
            </w:pPr>
            <w:r>
              <w:t xml:space="preserve">V07→V08 (1)</w:t>
            </w:r>
          </w:p>
        </w:tc>
        <w:tc>
          <w:tcPr>
            <w:tcW w:w="2239" w:type="dxa"/>
            <w:shd w:val="clear" w:color="auto" w:fill="F7F7F7"/>
          </w:tcPr>
          <w:p>
            <w:pPr>
              <w:pStyle w:val="Tabla9"/>
              <w:jc w:val="left"/>
            </w:pPr>
            <w:r>
              <w:t xml:space="preserve">No ajustar; con V08→V06 igual a 0 no hay camino hacia Y</w:t>
            </w:r>
          </w:p>
        </w:tc>
      </w:tr>
      <w:tr>
        <w:trPr>
          <w:cantSplit/>
        </w:trPr>
        <w:tc>
          <w:tcPr>
            <w:tcW w:w="1991" w:type="dxa"/>
          </w:tcPr>
          <w:p>
            <w:pPr>
              <w:pStyle w:val="Tabla9"/>
              <w:jc w:val="left"/>
            </w:pPr>
            <w:r>
              <w:t xml:space="preserve">V09 Disponibilidad</w:t>
            </w:r>
          </w:p>
        </w:tc>
        <w:tc>
          <w:tcPr>
            <w:tcW w:w="1908" w:type="dxa"/>
          </w:tcPr>
          <w:p>
            <w:pPr>
              <w:pStyle w:val="Tabla9"/>
              <w:jc w:val="left"/>
            </w:pPr>
            <w:r>
              <w:t xml:space="preserve">Posterior a X</w:t>
            </w:r>
          </w:p>
        </w:tc>
        <w:tc>
          <w:tcPr>
            <w:tcW w:w="1908" w:type="dxa"/>
          </w:tcPr>
          <w:p>
            <w:pPr>
              <w:pStyle w:val="Tabla9"/>
              <w:jc w:val="left"/>
            </w:pPr>
            <w:r>
              <w:t xml:space="preserve">Descendiente de X y colisionador (V05→V09←X)</w:t>
            </w:r>
          </w:p>
        </w:tc>
        <w:tc>
          <w:tcPr>
            <w:tcW w:w="1908" w:type="dxa"/>
          </w:tcPr>
          <w:p>
            <w:pPr>
              <w:pStyle w:val="Tabla9"/>
              <w:jc w:val="left"/>
            </w:pPr>
            <w:r>
              <w:t xml:space="preserve">V07→V09 (1); V05→V09 (2); V02→V09 (1)</w:t>
            </w:r>
          </w:p>
        </w:tc>
        <w:tc>
          <w:tcPr>
            <w:tcW w:w="2239" w:type="dxa"/>
          </w:tcPr>
          <w:p>
            <w:pPr>
              <w:pStyle w:val="Tabla9"/>
              <w:jc w:val="left"/>
            </w:pPr>
            <w:r>
              <w:t xml:space="preserve">No condicionar a los nodos activos; analizar por intención de tratar con ponderación</w:t>
            </w:r>
          </w:p>
        </w:tc>
      </w:tr>
      <w:tr>
        <w:trPr>
          <w:cantSplit/>
        </w:trPr>
        <w:tc>
          <w:tcPr>
            <w:tcW w:w="1991" w:type="dxa"/>
            <w:shd w:val="clear" w:color="auto" w:fill="F7F7F7"/>
          </w:tcPr>
          <w:p>
            <w:pPr>
              <w:pStyle w:val="Tabla9"/>
              <w:jc w:val="left"/>
            </w:pPr>
            <w:r>
              <w:t xml:space="preserve">V10 Densidad</w:t>
            </w:r>
          </w:p>
        </w:tc>
        <w:tc>
          <w:tcPr>
            <w:tcW w:w="1908" w:type="dxa"/>
            <w:shd w:val="clear" w:color="auto" w:fill="F7F7F7"/>
          </w:tcPr>
          <w:p>
            <w:pPr>
              <w:pStyle w:val="Tabla9"/>
              <w:jc w:val="left"/>
            </w:pPr>
            <w:r>
              <w:t xml:space="preserve">Nominal: previa; efectiva: posterior</w:t>
            </w:r>
          </w:p>
        </w:tc>
        <w:tc>
          <w:tcPr>
            <w:tcW w:w="1908" w:type="dxa"/>
            <w:shd w:val="clear" w:color="auto" w:fill="F7F7F7"/>
          </w:tcPr>
          <w:p>
            <w:pPr>
              <w:pStyle w:val="Tabla9"/>
              <w:jc w:val="left"/>
            </w:pPr>
            <w:r>
              <w:t xml:space="preserve">Predictor débil (nominal); descendiente (efectiva)</w:t>
            </w:r>
          </w:p>
        </w:tc>
        <w:tc>
          <w:tcPr>
            <w:tcW w:w="1908" w:type="dxa"/>
            <w:shd w:val="clear" w:color="auto" w:fill="F7F7F7"/>
          </w:tcPr>
          <w:p>
            <w:pPr>
              <w:pStyle w:val="Tabla9"/>
              <w:jc w:val="left"/>
            </w:pPr>
            <w:r>
              <w:t xml:space="preserve">V10→V06 (1); V09→V10 (3)</w:t>
            </w:r>
          </w:p>
        </w:tc>
        <w:tc>
          <w:tcPr>
            <w:tcW w:w="2239" w:type="dxa"/>
            <w:shd w:val="clear" w:color="auto" w:fill="F7F7F7"/>
          </w:tcPr>
          <w:p>
            <w:pPr>
              <w:pStyle w:val="Tabla9"/>
              <w:jc w:val="left"/>
            </w:pPr>
            <w:r>
              <w:t xml:space="preserve">Usar solo la densidad nominal de diseño</w:t>
            </w:r>
          </w:p>
        </w:tc>
      </w:tr>
      <w:tr>
        <w:trPr>
          <w:cantSplit/>
        </w:trPr>
        <w:tc>
          <w:tcPr>
            <w:tcW w:w="1991" w:type="dxa"/>
          </w:tcPr>
          <w:p>
            <w:pPr>
              <w:pStyle w:val="Tabla9"/>
              <w:jc w:val="left"/>
            </w:pPr>
            <w:r>
              <w:t xml:space="preserve">V11 Índice local</w:t>
            </w:r>
          </w:p>
        </w:tc>
        <w:tc>
          <w:tcPr>
            <w:tcW w:w="1908" w:type="dxa"/>
          </w:tcPr>
          <w:p>
            <w:pPr>
              <w:pStyle w:val="Tabla9"/>
              <w:jc w:val="left"/>
            </w:pPr>
            <w:r>
              <w:t xml:space="preserve">Posterior a Y</w:t>
            </w:r>
          </w:p>
        </w:tc>
        <w:tc>
          <w:tcPr>
            <w:tcW w:w="1908" w:type="dxa"/>
          </w:tcPr>
          <w:p>
            <w:pPr>
              <w:pStyle w:val="Tabla9"/>
              <w:jc w:val="left"/>
            </w:pPr>
            <w:r>
              <w:t xml:space="preserve">Descendiente de Y</w:t>
            </w:r>
          </w:p>
        </w:tc>
        <w:tc>
          <w:tcPr>
            <w:tcW w:w="1908" w:type="dxa"/>
          </w:tcPr>
          <w:p>
            <w:pPr>
              <w:pStyle w:val="Tabla9"/>
              <w:jc w:val="left"/>
            </w:pPr>
            <w:r>
              <w:t xml:space="preserve">V06→V11 (3)</w:t>
            </w:r>
          </w:p>
        </w:tc>
        <w:tc>
          <w:tcPr>
            <w:tcW w:w="2239" w:type="dxa"/>
          </w:tcPr>
          <w:p>
            <w:pPr>
              <w:pStyle w:val="Tabla9"/>
              <w:jc w:val="left"/>
            </w:pPr>
            <w:r>
              <w:t xml:space="preserve">No ajustar</w:t>
            </w:r>
          </w:p>
        </w:tc>
      </w:tr>
      <w:tr>
        <w:trPr>
          <w:cantSplit/>
        </w:trPr>
        <w:tc>
          <w:tcPr>
            <w:tcW w:w="1991" w:type="dxa"/>
            <w:shd w:val="clear" w:color="auto" w:fill="F7F7F7"/>
          </w:tcPr>
          <w:p>
            <w:pPr>
              <w:pStyle w:val="Tabla9"/>
              <w:jc w:val="left"/>
            </w:pPr>
            <w:r>
              <w:t xml:space="preserve">V12 Falsas alarmas</w:t>
            </w:r>
          </w:p>
        </w:tc>
        <w:tc>
          <w:tcPr>
            <w:tcW w:w="1908" w:type="dxa"/>
            <w:shd w:val="clear" w:color="auto" w:fill="F7F7F7"/>
          </w:tcPr>
          <w:p>
            <w:pPr>
              <w:pStyle w:val="Tabla9"/>
              <w:jc w:val="left"/>
            </w:pPr>
            <w:r>
              <w:t xml:space="preserve">Posterior a Y</w:t>
            </w:r>
          </w:p>
        </w:tc>
        <w:tc>
          <w:tcPr>
            <w:tcW w:w="1908" w:type="dxa"/>
            <w:shd w:val="clear" w:color="auto" w:fill="F7F7F7"/>
          </w:tcPr>
          <w:p>
            <w:pPr>
              <w:pStyle w:val="Tabla9"/>
              <w:jc w:val="left"/>
            </w:pPr>
            <w:r>
              <w:t xml:space="preserve">Descendiente de Y</w:t>
            </w:r>
          </w:p>
        </w:tc>
        <w:tc>
          <w:tcPr>
            <w:tcW w:w="1908" w:type="dxa"/>
            <w:shd w:val="clear" w:color="auto" w:fill="F7F7F7"/>
          </w:tcPr>
          <w:p>
            <w:pPr>
              <w:pStyle w:val="Tabla9"/>
              <w:jc w:val="left"/>
            </w:pPr>
            <w:r>
              <w:t xml:space="preserve">V06→V12 (2); V11→V12 (2)</w:t>
            </w:r>
          </w:p>
        </w:tc>
        <w:tc>
          <w:tcPr>
            <w:tcW w:w="2239" w:type="dxa"/>
            <w:shd w:val="clear" w:color="auto" w:fill="F7F7F7"/>
          </w:tcPr>
          <w:p>
            <w:pPr>
              <w:pStyle w:val="Tabla9"/>
              <w:jc w:val="left"/>
            </w:pPr>
            <w:r>
              <w:t xml:space="preserve">No ajustar</w:t>
            </w:r>
          </w:p>
        </w:tc>
      </w:tr>
      <w:tr>
        <w:trPr>
          <w:cantSplit/>
        </w:trPr>
        <w:tc>
          <w:tcPr>
            <w:tcW w:w="1991" w:type="dxa"/>
          </w:tcPr>
          <w:p>
            <w:pPr>
              <w:pStyle w:val="Tabla9"/>
              <w:jc w:val="left"/>
            </w:pPr>
            <w:r>
              <w:t xml:space="preserve">V13 Anticipación</w:t>
            </w:r>
          </w:p>
        </w:tc>
        <w:tc>
          <w:tcPr>
            <w:tcW w:w="1908" w:type="dxa"/>
          </w:tcPr>
          <w:p>
            <w:pPr>
              <w:pStyle w:val="Tabla9"/>
              <w:jc w:val="left"/>
            </w:pPr>
            <w:r>
              <w:t xml:space="preserve">Posterior a Y</w:t>
            </w:r>
          </w:p>
        </w:tc>
        <w:tc>
          <w:tcPr>
            <w:tcW w:w="1908" w:type="dxa"/>
          </w:tcPr>
          <w:p>
            <w:pPr>
              <w:pStyle w:val="Tabla9"/>
              <w:jc w:val="left"/>
            </w:pPr>
            <w:r>
              <w:t xml:space="preserve">Descendiente de Y</w:t>
            </w:r>
          </w:p>
        </w:tc>
        <w:tc>
          <w:tcPr>
            <w:tcW w:w="1908" w:type="dxa"/>
          </w:tcPr>
          <w:p>
            <w:pPr>
              <w:pStyle w:val="Tabla9"/>
              <w:jc w:val="left"/>
            </w:pPr>
            <w:r>
              <w:t xml:space="preserve">V08→V13 (2); V10→V13 (1)</w:t>
            </w:r>
          </w:p>
        </w:tc>
        <w:tc>
          <w:tcPr>
            <w:tcW w:w="2239" w:type="dxa"/>
          </w:tcPr>
          <w:p>
            <w:pPr>
              <w:pStyle w:val="Tabla9"/>
              <w:jc w:val="left"/>
            </w:pPr>
            <w:r>
              <w:t xml:space="preserve">No ajustar</w:t>
            </w:r>
          </w:p>
        </w:tc>
      </w:tr>
      <w:tr>
        <w:trPr>
          <w:cantSplit/>
        </w:trPr>
        <w:tc>
          <w:tcPr>
            <w:tcW w:w="1991" w:type="dxa"/>
            <w:shd w:val="clear" w:color="auto" w:fill="F7F7F7"/>
          </w:tcPr>
          <w:p>
            <w:pPr>
              <w:pStyle w:val="Tabla9"/>
              <w:jc w:val="left"/>
            </w:pPr>
            <w:r>
              <w:t xml:space="preserve">V14 Personas alertadas</w:t>
            </w:r>
          </w:p>
        </w:tc>
        <w:tc>
          <w:tcPr>
            <w:tcW w:w="1908" w:type="dxa"/>
            <w:shd w:val="clear" w:color="auto" w:fill="F7F7F7"/>
          </w:tcPr>
          <w:p>
            <w:pPr>
              <w:pStyle w:val="Tabla9"/>
              <w:jc w:val="left"/>
            </w:pPr>
            <w:r>
              <w:t xml:space="preserve">Posterior a Y</w:t>
            </w:r>
          </w:p>
        </w:tc>
        <w:tc>
          <w:tcPr>
            <w:tcW w:w="1908" w:type="dxa"/>
            <w:shd w:val="clear" w:color="auto" w:fill="F7F7F7"/>
          </w:tcPr>
          <w:p>
            <w:pPr>
              <w:pStyle w:val="Tabla9"/>
              <w:jc w:val="left"/>
            </w:pPr>
            <w:r>
              <w:t xml:space="preserve">Descendiente de Y</w:t>
            </w:r>
          </w:p>
        </w:tc>
        <w:tc>
          <w:tcPr>
            <w:tcW w:w="1908" w:type="dxa"/>
            <w:shd w:val="clear" w:color="auto" w:fill="F7F7F7"/>
          </w:tcPr>
          <w:p>
            <w:pPr>
              <w:pStyle w:val="Tabla9"/>
              <w:jc w:val="left"/>
            </w:pPr>
            <w:r>
              <w:t xml:space="preserve">V11→V14 (2); V13→V14 (2); V12→V14 (1)</w:t>
            </w:r>
          </w:p>
        </w:tc>
        <w:tc>
          <w:tcPr>
            <w:tcW w:w="2239" w:type="dxa"/>
            <w:shd w:val="clear" w:color="auto" w:fill="F7F7F7"/>
          </w:tcPr>
          <w:p>
            <w:pPr>
              <w:pStyle w:val="Tabla9"/>
              <w:jc w:val="left"/>
            </w:pPr>
            <w:r>
              <w:t xml:space="preserve">No ajustar</w:t>
            </w:r>
          </w:p>
        </w:tc>
      </w:tr>
      <w:tr>
        <w:trPr>
          <w:cantSplit/>
        </w:trPr>
        <w:tc>
          <w:tcPr>
            <w:tcW w:w="1991" w:type="dxa"/>
          </w:tcPr>
          <w:p>
            <w:pPr>
              <w:pStyle w:val="Tabla9"/>
              <w:jc w:val="left"/>
            </w:pPr>
            <w:r>
              <w:t xml:space="preserve">V15 Adopción</w:t>
            </w:r>
          </w:p>
        </w:tc>
        <w:tc>
          <w:tcPr>
            <w:tcW w:w="1908" w:type="dxa"/>
          </w:tcPr>
          <w:p>
            <w:pPr>
              <w:pStyle w:val="Tabla9"/>
              <w:jc w:val="left"/>
            </w:pPr>
            <w:r>
              <w:t xml:space="preserve">Posterior; retroalimenta a X</w:t>
            </w:r>
          </w:p>
        </w:tc>
        <w:tc>
          <w:tcPr>
            <w:tcW w:w="1908" w:type="dxa"/>
          </w:tcPr>
          <w:p>
            <w:pPr>
              <w:pStyle w:val="Tabla9"/>
              <w:jc w:val="left"/>
            </w:pPr>
            <w:r>
              <w:t xml:space="preserve">Descendiente de Y; causa de X futuro si X no es aleatorio</w:t>
            </w:r>
          </w:p>
        </w:tc>
        <w:tc>
          <w:tcPr>
            <w:tcW w:w="1908" w:type="dxa"/>
          </w:tcPr>
          <w:p>
            <w:pPr>
              <w:pStyle w:val="Tabla9"/>
              <w:jc w:val="left"/>
            </w:pPr>
            <w:r>
              <w:t xml:space="preserve">V06→V15 (1); V12→V15 (2); V15→V07 (1)</w:t>
            </w:r>
          </w:p>
        </w:tc>
        <w:tc>
          <w:tcPr>
            <w:tcW w:w="2239" w:type="dxa"/>
          </w:tcPr>
          <w:p>
            <w:pPr>
              <w:pStyle w:val="Tabla9"/>
              <w:jc w:val="left"/>
            </w:pPr>
            <w:r>
              <w:t xml:space="preserve">No ajustar; riesgo de confusión dependiente del tiempo sin asignación aleatoria</w:t>
            </w:r>
          </w:p>
        </w:tc>
      </w:tr>
      <w:tr>
        <w:trPr>
          <w:cantSplit/>
        </w:trPr>
        <w:tc>
          <w:tcPr>
            <w:tcW w:w="1991" w:type="dxa"/>
            <w:shd w:val="clear" w:color="auto" w:fill="F7F7F7"/>
          </w:tcPr>
          <w:p>
            <w:pPr>
              <w:pStyle w:val="Tabla9"/>
              <w:jc w:val="left"/>
            </w:pPr>
            <w:r>
              <w:t xml:space="preserve">L1 Distancia a la referencia</w:t>
            </w:r>
          </w:p>
        </w:tc>
        <w:tc>
          <w:tcPr>
            <w:tcW w:w="1908" w:type="dxa"/>
            <w:shd w:val="clear" w:color="auto" w:fill="F7F7F7"/>
          </w:tcPr>
          <w:p>
            <w:pPr>
              <w:pStyle w:val="Tabla9"/>
              <w:jc w:val="left"/>
            </w:pPr>
            <w:r>
              <w:t xml:space="preserve">Previa</w:t>
            </w:r>
          </w:p>
        </w:tc>
        <w:tc>
          <w:tcPr>
            <w:tcW w:w="1908" w:type="dxa"/>
            <w:shd w:val="clear" w:color="auto" w:fill="F7F7F7"/>
          </w:tcPr>
          <w:p>
            <w:pPr>
              <w:pStyle w:val="Tabla9"/>
              <w:jc w:val="left"/>
            </w:pPr>
            <w:r>
              <w:t xml:space="preserve">Latente medible</w:t>
            </w:r>
          </w:p>
        </w:tc>
        <w:tc>
          <w:tcPr>
            <w:tcW w:w="1908" w:type="dxa"/>
            <w:shd w:val="clear" w:color="auto" w:fill="F7F7F7"/>
          </w:tcPr>
          <w:p>
            <w:pPr>
              <w:pStyle w:val="Tabla9"/>
              <w:jc w:val="left"/>
            </w:pPr>
            <w:r>
              <w:t xml:space="preserve">L1→V06</w:t>
            </w:r>
          </w:p>
        </w:tc>
        <w:tc>
          <w:tcPr>
            <w:tcW w:w="2239" w:type="dxa"/>
            <w:shd w:val="clear" w:color="auto" w:fill="F7F7F7"/>
          </w:tcPr>
          <w:p>
            <w:pPr>
              <w:pStyle w:val="Tabla9"/>
              <w:jc w:val="left"/>
            </w:pPr>
            <w:r>
              <w:t xml:space="preserve">Ajustar si se mide y no hay asignación aleatoria</w:t>
            </w:r>
          </w:p>
        </w:tc>
      </w:tr>
      <w:tr>
        <w:trPr>
          <w:cantSplit/>
        </w:trPr>
        <w:tc>
          <w:tcPr>
            <w:tcW w:w="1991" w:type="dxa"/>
          </w:tcPr>
          <w:p>
            <w:pPr>
              <w:pStyle w:val="Tabla9"/>
              <w:jc w:val="left"/>
            </w:pPr>
            <w:r>
              <w:t xml:space="preserve">L2 Edad del sensor</w:t>
            </w:r>
          </w:p>
        </w:tc>
        <w:tc>
          <w:tcPr>
            <w:tcW w:w="1908" w:type="dxa"/>
          </w:tcPr>
          <w:p>
            <w:pPr>
              <w:pStyle w:val="Tabla9"/>
              <w:jc w:val="left"/>
            </w:pPr>
            <w:r>
              <w:t xml:space="preserve">Previa</w:t>
            </w:r>
          </w:p>
        </w:tc>
        <w:tc>
          <w:tcPr>
            <w:tcW w:w="1908" w:type="dxa"/>
          </w:tcPr>
          <w:p>
            <w:pPr>
              <w:pStyle w:val="Tabla9"/>
              <w:jc w:val="left"/>
            </w:pPr>
            <w:r>
              <w:t xml:space="preserve">Latente medible; moderador</w:t>
            </w:r>
          </w:p>
        </w:tc>
        <w:tc>
          <w:tcPr>
            <w:tcW w:w="1908" w:type="dxa"/>
          </w:tcPr>
          <w:p>
            <w:pPr>
              <w:pStyle w:val="Tabla9"/>
              <w:jc w:val="left"/>
            </w:pPr>
            <w:r>
              <w:t xml:space="preserve">L2→V06</w:t>
            </w:r>
          </w:p>
        </w:tc>
        <w:tc>
          <w:tcPr>
            <w:tcW w:w="2239" w:type="dxa"/>
          </w:tcPr>
          <w:p>
            <w:pPr>
              <w:pStyle w:val="Tabla9"/>
              <w:jc w:val="left"/>
            </w:pPr>
            <w:r>
              <w:t xml:space="preserve">Ajustar si se mide y no hay asignación aleatoria</w:t>
            </w:r>
          </w:p>
        </w:tc>
      </w:tr>
      <w:tr>
        <w:trPr>
          <w:cantSplit/>
        </w:trPr>
        <w:tc>
          <w:tcPr>
            <w:tcW w:w="1991" w:type="dxa"/>
            <w:shd w:val="clear" w:color="auto" w:fill="F7F7F7"/>
          </w:tcPr>
          <w:p>
            <w:pPr>
              <w:pStyle w:val="Tabla9"/>
              <w:jc w:val="left"/>
            </w:pPr>
            <w:r>
              <w:t xml:space="preserve">L3 Episodio de humo</w:t>
            </w:r>
          </w:p>
        </w:tc>
        <w:tc>
          <w:tcPr>
            <w:tcW w:w="1908" w:type="dxa"/>
            <w:shd w:val="clear" w:color="auto" w:fill="F7F7F7"/>
          </w:tcPr>
          <w:p>
            <w:pPr>
              <w:pStyle w:val="Tabla9"/>
              <w:jc w:val="left"/>
            </w:pPr>
            <w:r>
              <w:t xml:space="preserve">Simultánea</w:t>
            </w:r>
          </w:p>
        </w:tc>
        <w:tc>
          <w:tcPr>
            <w:tcW w:w="1908" w:type="dxa"/>
            <w:shd w:val="clear" w:color="auto" w:fill="F7F7F7"/>
          </w:tcPr>
          <w:p>
            <w:pPr>
              <w:pStyle w:val="Tabla9"/>
              <w:jc w:val="left"/>
            </w:pPr>
            <w:r>
              <w:t xml:space="preserve">Latente; moderador</w:t>
            </w:r>
          </w:p>
        </w:tc>
        <w:tc>
          <w:tcPr>
            <w:tcW w:w="1908" w:type="dxa"/>
            <w:shd w:val="clear" w:color="auto" w:fill="F7F7F7"/>
          </w:tcPr>
          <w:p>
            <w:pPr>
              <w:pStyle w:val="Tabla9"/>
              <w:jc w:val="left"/>
            </w:pPr>
            <w:r>
              <w:t xml:space="preserve">L3→V06</w:t>
            </w:r>
          </w:p>
        </w:tc>
        <w:tc>
          <w:tcPr>
            <w:tcW w:w="2239" w:type="dxa"/>
            <w:shd w:val="clear" w:color="auto" w:fill="F7F7F7"/>
          </w:tcPr>
          <w:p>
            <w:pPr>
              <w:pStyle w:val="Tabla9"/>
              <w:jc w:val="left"/>
            </w:pPr>
            <w:r>
              <w:t xml:space="preserve">Ajustar como interacción</w:t>
            </w:r>
          </w:p>
        </w:tc>
      </w:tr>
      <w:tr>
        <w:trPr>
          <w:cantSplit/>
        </w:trPr>
        <w:tc>
          <w:tcPr>
            <w:tcW w:w="1991" w:type="dxa"/>
          </w:tcPr>
          <w:p>
            <w:pPr>
              <w:pStyle w:val="Tabla9"/>
              <w:keepNext/>
              <w:jc w:val="left"/>
            </w:pPr>
            <w:r>
              <w:t xml:space="preserve">L4 Precipitación</w:t>
            </w:r>
          </w:p>
        </w:tc>
        <w:tc>
          <w:tcPr>
            <w:tcW w:w="1908" w:type="dxa"/>
          </w:tcPr>
          <w:p>
            <w:pPr>
              <w:pStyle w:val="Tabla9"/>
              <w:keepNext/>
              <w:jc w:val="left"/>
            </w:pPr>
            <w:r>
              <w:t xml:space="preserve">Simultánea</w:t>
            </w:r>
          </w:p>
        </w:tc>
        <w:tc>
          <w:tcPr>
            <w:tcW w:w="1908" w:type="dxa"/>
          </w:tcPr>
          <w:p>
            <w:pPr>
              <w:pStyle w:val="Tabla9"/>
              <w:keepNext/>
              <w:jc w:val="left"/>
            </w:pPr>
            <w:r>
              <w:t xml:space="preserve">Latente no modelada</w:t>
            </w:r>
          </w:p>
        </w:tc>
        <w:tc>
          <w:tcPr>
            <w:tcW w:w="1908" w:type="dxa"/>
          </w:tcPr>
          <w:p>
            <w:pPr>
              <w:pStyle w:val="Tabla9"/>
              <w:keepNext/>
              <w:jc w:val="left"/>
            </w:pPr>
            <w:r>
              <w:t xml:space="preserve">L4→V02, L4→V03 y L4→V05</w:t>
            </w:r>
          </w:p>
        </w:tc>
        <w:tc>
          <w:tcPr>
            <w:tcW w:w="2239" w:type="dxa"/>
          </w:tcPr>
          <w:p>
            <w:pPr>
              <w:pStyle w:val="Tabla9"/>
              <w:keepNext/>
              <w:jc w:val="left"/>
            </w:pPr>
            <w:r>
              <w:t xml:space="preserve">Declarar como amenaza a la identificación</w:t>
            </w:r>
          </w:p>
        </w:tc>
      </w:tr>
    </w:tbl>
    <w:p>
      <w:pPr>
        <w:pStyle w:val="TablaNota"/>
      </w:pPr>
      <w:r>
        <w:rPr>
          <w:i/>
          <w:iCs/>
        </w:rPr>
        <w:t xml:space="preserve">Nota.</w:t>
      </w:r>
      <w:r>
        <w:t xml:space="preserve"> </w:t>
      </w:r>
      <w:r>
        <w:t xml:space="preserve">Elaboración propia con la matriz S2. El número entre paréntesis es el peso del vínculo. Todos los roles son HIE: ningún rol se estima con datos.</w:t>
      </w:r>
    </w:p>
    <w:p>
      <w:pPr>
        <w:pStyle w:val="FiguraRotulo"/>
      </w:pPr>
      <w:bookmarkStart w:id="9036" w:name="rot_Figura_A_5"/>
      <w:r>
        <w:rPr>
          <w:b/>
          <w:bCs/>
        </w:rPr>
        <w:t xml:space="preserve">Figura A.5</w:t>
      </w:r>
      <w:bookmarkEnd w:id="9036"/>
    </w:p>
    <w:p>
      <w:pPr>
        <w:pStyle w:val="FiguraTitulo"/>
      </w:pPr>
      <w:r>
        <w:rPr>
          <w:i/>
          <w:iCs/>
        </w:rPr>
        <w:t xml:space="preserve">Sin asignación aleatoria, tres variables no medidas abren caminos alternativos entre la calibración y el error</w:t>
      </w:r>
    </w:p>
    <w:p>
      <w:pPr>
        <w:pStyle w:val="BodyText"/>
      </w:pPr>
      <w:r>
        <w:drawing>
          <wp:inline>
            <wp:extent cx="5579999" cy="4352399"/>
            <wp:effectExtent b="0" l="0" r="0" t="0"/>
            <wp:docPr descr="" title="" id="56" name="Picture"/>
            <a:graphic>
              <a:graphicData uri="http://schemas.openxmlformats.org/drawingml/2006/picture">
                <pic:pic>
                  <pic:nvPicPr>
                    <pic:cNvPr descr="/tmp/claude-0/-home-user-docs/8ca5c040-2adb-56b3-8e64-05d4e7e569ed/scratchpad/a2/figs/out/cA_f05.png" id="57" name="Picture"/>
                    <pic:cNvPicPr>
                      <a:picLocks noChangeArrowheads="1" noChangeAspect="1"/>
                    </pic:cNvPicPr>
                  </pic:nvPicPr>
                  <pic:blipFill>
                    <a:blip r:embed="rId55"/>
                    <a:stretch>
                      <a:fillRect/>
                    </a:stretch>
                  </pic:blipFill>
                  <pic:spPr bwMode="auto">
                    <a:xfrm>
                      <a:off x="0" y="0"/>
                      <a:ext cx="5579999" cy="4352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X es la frecuencia de calibración (V07) e Y el error de medición (V06). V03 modera el efecto de X sobre Y. Las líneas discontinuas son variables no medidas y la retroalimentación de V15 hacia X. Software: Python 3 y matplotlib.</w:t>
      </w:r>
    </w:p>
    <w:p>
      <w:pPr>
        <w:pStyle w:val="BodyText"/>
      </w:pPr>
      <w:r>
        <w:t xml:space="preserve">Los efectos fijos de nodo y de semana absorben las diferencias estables entre nodos y entre semanas. El análisis por intención de tratar evalúa cada nodo según el nivel asignado y no según su operación posterior.</w:t>
      </w:r>
    </w:p>
    <w:p>
      <w:pPr>
        <w:pStyle w:val="BodyText"/>
      </w:pPr>
      <w:r>
        <w:t xml:space="preserve">Con asignación aleatoria del nivel de calibración, el conjunto mínimo de ajuste sería vacío, porque X sería independiente de las causas de Y por diseño. Para ganar precisión se propondrían V03 con interacción, V01 o V02 y V04, más efectos fijos de nodo y de semana. No se incluirían V08, V09 ni las variables posteriores a Y.</w:t>
      </w:r>
    </w:p>
    <w:bookmarkEnd w:id="58"/>
    <w:bookmarkStart w:id="59" w:name="Xfd3f05ead584fee3c6155a1dea7fea478171964"/>
    <w:p>
      <w:pPr>
        <w:pStyle w:val="Heading3"/>
      </w:pPr>
      <w:r>
        <w:t xml:space="preserve">A.8.3 Grafos rivales y declaración de identificación</w:t>
      </w:r>
    </w:p>
    <w:p>
      <w:pPr>
        <w:pStyle w:val="FirstParagraph"/>
      </w:pPr>
      <w:r>
        <w:t xml:space="preserve">La Tabla A.23 presenta cuatro grafos rivales. Cada uno describe una amenaza a la identificación y el conjunto de ajuste que la neutralizaría.</w:t>
      </w:r>
    </w:p>
    <w:p>
      <w:pPr>
        <w:pStyle w:val="TablaRotulo"/>
      </w:pPr>
      <w:bookmarkStart w:id="9023" w:name="rot_Tabla_A_23"/>
      <w:r>
        <w:rPr>
          <w:b/>
          <w:bCs/>
        </w:rPr>
        <w:t xml:space="preserve">Tabla A.23</w:t>
      </w:r>
      <w:bookmarkEnd w:id="9023"/>
    </w:p>
    <w:p>
      <w:pPr>
        <w:pStyle w:val="TablaTitulo"/>
      </w:pPr>
      <w:r>
        <w:rPr>
          <w:i/>
          <w:iCs/>
        </w:rPr>
        <w:t xml:space="preserve">Grafos rivales, amenaza a la identificación y resultado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2157"/>
        <w:gridCol w:w="2487"/>
        <w:gridCol w:w="2323"/>
        <w:gridCol w:w="2157"/>
      </w:tblGrid>
      <w:tr>
        <w:trPr>
          <w:cantSplit/>
          <w:tblHeader w:val="true"/>
          <w:tblHeader/>
        </w:trPr>
        <w:tc>
          <w:tcPr>
            <w:tcW w:w="830" w:type="dxa"/>
            <w:tcBorders>
              <w:bottom w:val="single" w:sz="12" w:space="0" w:color="6699CC"/>
            </w:tcBorders>
            <w:shd w:val="clear" w:color="auto" w:fill="B9D9EB"/>
          </w:tcPr>
          <w:p>
            <w:pPr>
              <w:pStyle w:val="Tabla9"/>
              <w:keepNext/>
              <w:jc w:val="left"/>
            </w:pPr>
            <w:r>
              <w:rPr>
                <w:b/>
              </w:rPr>
              <w:t xml:space="preserve">Grafo rival</w:t>
            </w:r>
          </w:p>
        </w:tc>
        <w:tc>
          <w:tcPr>
            <w:tcW w:w="2157" w:type="dxa"/>
            <w:tcBorders>
              <w:bottom w:val="single" w:sz="12" w:space="0" w:color="6699CC"/>
            </w:tcBorders>
            <w:shd w:val="clear" w:color="auto" w:fill="B9D9EB"/>
          </w:tcPr>
          <w:p>
            <w:pPr>
              <w:pStyle w:val="Tabla9"/>
              <w:keepNext/>
              <w:jc w:val="left"/>
            </w:pPr>
            <w:r>
              <w:rPr>
                <w:b/>
              </w:rPr>
              <w:t xml:space="preserve">Hipótesis</w:t>
            </w:r>
          </w:p>
        </w:tc>
        <w:tc>
          <w:tcPr>
            <w:tcW w:w="2487" w:type="dxa"/>
            <w:tcBorders>
              <w:bottom w:val="single" w:sz="12" w:space="0" w:color="6699CC"/>
            </w:tcBorders>
            <w:shd w:val="clear" w:color="auto" w:fill="B9D9EB"/>
          </w:tcPr>
          <w:p>
            <w:pPr>
              <w:pStyle w:val="Tabla9"/>
              <w:keepNext/>
              <w:jc w:val="left"/>
            </w:pPr>
            <w:r>
              <w:rPr>
                <w:b/>
              </w:rPr>
              <w:t xml:space="preserve">Amenaza</w:t>
            </w:r>
          </w:p>
        </w:tc>
        <w:tc>
          <w:tcPr>
            <w:tcW w:w="2323" w:type="dxa"/>
            <w:tcBorders>
              <w:bottom w:val="single" w:sz="12" w:space="0" w:color="6699CC"/>
            </w:tcBorders>
            <w:shd w:val="clear" w:color="auto" w:fill="B9D9EB"/>
          </w:tcPr>
          <w:p>
            <w:pPr>
              <w:pStyle w:val="Tabla9"/>
              <w:keepNext/>
              <w:jc w:val="left"/>
            </w:pPr>
            <w:r>
              <w:rPr>
                <w:b/>
              </w:rPr>
              <w:t xml:space="preserve">Conjunto de ajuste</w:t>
            </w:r>
          </w:p>
        </w:tc>
        <w:tc>
          <w:tcPr>
            <w:tcW w:w="2157" w:type="dxa"/>
            <w:tcBorders>
              <w:bottom w:val="single" w:sz="12" w:space="0" w:color="6699CC"/>
            </w:tcBorders>
            <w:shd w:val="clear" w:color="auto" w:fill="B9D9EB"/>
          </w:tcPr>
          <w:p>
            <w:pPr>
              <w:pStyle w:val="Tabla9"/>
              <w:keepNext/>
              <w:jc w:val="left"/>
            </w:pPr>
            <w:r>
              <w:rPr>
                <w:b/>
              </w:rPr>
              <w:t xml:space="preserve">Resultado de identificación</w:t>
            </w:r>
          </w:p>
        </w:tc>
      </w:tr>
      <w:tr>
        <w:trPr>
          <w:cantSplit/>
        </w:trPr>
        <w:tc>
          <w:tcPr>
            <w:tcW w:w="830" w:type="dxa"/>
          </w:tcPr>
          <w:p>
            <w:pPr>
              <w:pStyle w:val="Tabla9"/>
              <w:jc w:val="left"/>
            </w:pPr>
            <w:r>
              <w:t xml:space="preserve">R1</w:t>
            </w:r>
          </w:p>
        </w:tc>
        <w:tc>
          <w:tcPr>
            <w:tcW w:w="2157" w:type="dxa"/>
          </w:tcPr>
          <w:p>
            <w:pPr>
              <w:pStyle w:val="Tabla9"/>
              <w:jc w:val="left"/>
            </w:pPr>
            <w:r>
              <w:t xml:space="preserve">La distancia a la referencia explica más del error que la calibración y los sitios cercanos reciben más recalibración</w:t>
            </w:r>
          </w:p>
        </w:tc>
        <w:tc>
          <w:tcPr>
            <w:tcW w:w="2487" w:type="dxa"/>
          </w:tcPr>
          <w:p>
            <w:pPr>
              <w:pStyle w:val="Tabla9"/>
              <w:jc w:val="left"/>
            </w:pPr>
            <w:r>
              <w:t xml:space="preserve">Confusión por selección de sitios (L1)</w:t>
            </w:r>
          </w:p>
        </w:tc>
        <w:tc>
          <w:tcPr>
            <w:tcW w:w="2323" w:type="dxa"/>
          </w:tcPr>
          <w:p>
            <w:pPr>
              <w:pStyle w:val="Tabla9"/>
              <w:jc w:val="left"/>
            </w:pPr>
            <w:r>
              <w:t xml:space="preserve">Con asignación aleatoria, ninguno; sin ella, L1 medida</w:t>
            </w:r>
          </w:p>
        </w:tc>
        <w:tc>
          <w:tcPr>
            <w:tcW w:w="2157" w:type="dxa"/>
          </w:tcPr>
          <w:p>
            <w:pPr>
              <w:pStyle w:val="Tabla9"/>
              <w:jc w:val="left"/>
            </w:pPr>
            <w:r>
              <w:t xml:space="preserve">Identificado con asignación aleatoria; sin ella, no identificado con los insumos disponibles</w:t>
            </w:r>
          </w:p>
        </w:tc>
      </w:tr>
      <w:tr>
        <w:trPr>
          <w:cantSplit/>
        </w:trPr>
        <w:tc>
          <w:tcPr>
            <w:tcW w:w="830" w:type="dxa"/>
            <w:shd w:val="clear" w:color="auto" w:fill="F7F7F7"/>
          </w:tcPr>
          <w:p>
            <w:pPr>
              <w:pStyle w:val="Tabla9"/>
              <w:jc w:val="left"/>
            </w:pPr>
            <w:r>
              <w:t xml:space="preserve">R2</w:t>
            </w:r>
          </w:p>
        </w:tc>
        <w:tc>
          <w:tcPr>
            <w:tcW w:w="2157" w:type="dxa"/>
            <w:shd w:val="clear" w:color="auto" w:fill="F7F7F7"/>
          </w:tcPr>
          <w:p>
            <w:pPr>
              <w:pStyle w:val="Tabla9"/>
              <w:jc w:val="left"/>
            </w:pPr>
            <w:r>
              <w:t xml:space="preserve">La edad del sensor determina la deriva y los nodos viejos reciben más recalibración</w:t>
            </w:r>
          </w:p>
        </w:tc>
        <w:tc>
          <w:tcPr>
            <w:tcW w:w="2487" w:type="dxa"/>
            <w:shd w:val="clear" w:color="auto" w:fill="F7F7F7"/>
          </w:tcPr>
          <w:p>
            <w:pPr>
              <w:pStyle w:val="Tabla9"/>
              <w:jc w:val="left"/>
            </w:pPr>
            <w:r>
              <w:t xml:space="preserve">Confusión por L2</w:t>
            </w:r>
          </w:p>
        </w:tc>
        <w:tc>
          <w:tcPr>
            <w:tcW w:w="2323" w:type="dxa"/>
            <w:shd w:val="clear" w:color="auto" w:fill="F7F7F7"/>
          </w:tcPr>
          <w:p>
            <w:pPr>
              <w:pStyle w:val="Tabla9"/>
              <w:jc w:val="left"/>
            </w:pPr>
            <w:r>
              <w:t xml:space="preserve">Con asignación aleatoria, ninguno; sin ella, L2 medida</w:t>
            </w:r>
          </w:p>
        </w:tc>
        <w:tc>
          <w:tcPr>
            <w:tcW w:w="2157" w:type="dxa"/>
            <w:shd w:val="clear" w:color="auto" w:fill="F7F7F7"/>
          </w:tcPr>
          <w:p>
            <w:pPr>
              <w:pStyle w:val="Tabla9"/>
              <w:jc w:val="left"/>
            </w:pPr>
            <w:r>
              <w:t xml:space="preserve">Igual que R1</w:t>
            </w:r>
          </w:p>
        </w:tc>
      </w:tr>
      <w:tr>
        <w:trPr>
          <w:cantSplit/>
        </w:trPr>
        <w:tc>
          <w:tcPr>
            <w:tcW w:w="830" w:type="dxa"/>
          </w:tcPr>
          <w:p>
            <w:pPr>
              <w:pStyle w:val="Tabla9"/>
              <w:jc w:val="left"/>
            </w:pPr>
            <w:r>
              <w:t xml:space="preserve">R3</w:t>
            </w:r>
          </w:p>
        </w:tc>
        <w:tc>
          <w:tcPr>
            <w:tcW w:w="2157" w:type="dxa"/>
          </w:tcPr>
          <w:p>
            <w:pPr>
              <w:pStyle w:val="Tabla9"/>
              <w:jc w:val="left"/>
            </w:pPr>
            <w:r>
              <w:t xml:space="preserve">La pérdida de nodos por maquinaria (V05→V09) y el efecto de X sobre la energía (X→V09) abren un camino por V09</w:t>
            </w:r>
          </w:p>
        </w:tc>
        <w:tc>
          <w:tcPr>
            <w:tcW w:w="2487" w:type="dxa"/>
          </w:tcPr>
          <w:p>
            <w:pPr>
              <w:pStyle w:val="Tabla9"/>
              <w:jc w:val="left"/>
            </w:pPr>
            <w:r>
              <w:t xml:space="preserve">Colisionador: condicionar a nodos activos sesga el efecto</w:t>
            </w:r>
          </w:p>
        </w:tc>
        <w:tc>
          <w:tcPr>
            <w:tcW w:w="2323" w:type="dxa"/>
          </w:tcPr>
          <w:p>
            <w:pPr>
              <w:pStyle w:val="Tabla9"/>
              <w:jc w:val="left"/>
            </w:pPr>
            <w:r>
              <w:t xml:space="preserve">No condicionar sobre V09; intención de tratar y ponderación inversa por disponibilidad</w:t>
            </w:r>
          </w:p>
        </w:tc>
        <w:tc>
          <w:tcPr>
            <w:tcW w:w="2157" w:type="dxa"/>
          </w:tcPr>
          <w:p>
            <w:pPr>
              <w:pStyle w:val="Tabla9"/>
              <w:jc w:val="left"/>
            </w:pPr>
            <w:r>
              <w:t xml:space="preserve">Identificado por intención de tratar; el efecto sobre nodos activos no se identifica</w:t>
            </w:r>
          </w:p>
        </w:tc>
      </w:tr>
      <w:tr>
        <w:trPr>
          <w:cantSplit/>
        </w:trPr>
        <w:tc>
          <w:tcPr>
            <w:tcW w:w="830" w:type="dxa"/>
            <w:shd w:val="clear" w:color="auto" w:fill="F7F7F7"/>
          </w:tcPr>
          <w:p>
            <w:pPr>
              <w:pStyle w:val="Tabla9"/>
              <w:keepNext/>
              <w:jc w:val="left"/>
            </w:pPr>
            <w:r>
              <w:t xml:space="preserve">R4</w:t>
            </w:r>
          </w:p>
        </w:tc>
        <w:tc>
          <w:tcPr>
            <w:tcW w:w="2157" w:type="dxa"/>
            <w:shd w:val="clear" w:color="auto" w:fill="F7F7F7"/>
          </w:tcPr>
          <w:p>
            <w:pPr>
              <w:pStyle w:val="Tabla9"/>
              <w:keepNext/>
              <w:jc w:val="left"/>
            </w:pPr>
            <w:r>
              <w:t xml:space="preserve">La adopción institucional (V15) modifica el uso de X en el tiempo</w:t>
            </w:r>
          </w:p>
        </w:tc>
        <w:tc>
          <w:tcPr>
            <w:tcW w:w="2487" w:type="dxa"/>
            <w:shd w:val="clear" w:color="auto" w:fill="F7F7F7"/>
          </w:tcPr>
          <w:p>
            <w:pPr>
              <w:pStyle w:val="Tabla9"/>
              <w:keepNext/>
              <w:jc w:val="left"/>
            </w:pPr>
            <w:r>
              <w:t xml:space="preserve">Retroalimentación que rompe la aciclicidad y la exogeneidad de X</w:t>
            </w:r>
          </w:p>
        </w:tc>
        <w:tc>
          <w:tcPr>
            <w:tcW w:w="2323" w:type="dxa"/>
            <w:shd w:val="clear" w:color="auto" w:fill="F7F7F7"/>
          </w:tcPr>
          <w:p>
            <w:pPr>
              <w:pStyle w:val="Tabla9"/>
              <w:keepNext/>
              <w:jc w:val="left"/>
            </w:pPr>
            <w:r>
              <w:t xml:space="preserve">Asignación aleatoria como regla o un instrumento válido y suficientemente fuerte</w:t>
            </w:r>
          </w:p>
        </w:tc>
        <w:tc>
          <w:tcPr>
            <w:tcW w:w="2157" w:type="dxa"/>
            <w:shd w:val="clear" w:color="auto" w:fill="F7F7F7"/>
          </w:tcPr>
          <w:p>
            <w:pPr>
              <w:pStyle w:val="Tabla9"/>
              <w:keepNext/>
              <w:jc w:val="left"/>
            </w:pPr>
            <w:r>
              <w:t xml:space="preserve">Identificado solo con asignación aleatoria cumplida o con un instrumento válido</w:t>
            </w:r>
          </w:p>
        </w:tc>
      </w:tr>
    </w:tbl>
    <w:p>
      <w:pPr>
        <w:pStyle w:val="TablaNota"/>
      </w:pPr>
      <w:r>
        <w:rPr>
          <w:i/>
          <w:iCs/>
        </w:rPr>
        <w:t xml:space="preserve">Nota.</w:t>
      </w:r>
      <w:r>
        <w:t xml:space="preserve"> </w:t>
      </w:r>
      <w:r>
        <w:t xml:space="preserve">Elaboración propia con el grafo de la Figura A.5.</w:t>
      </w:r>
    </w:p>
    <w:p>
      <w:pPr>
        <w:pStyle w:val="BodyText"/>
      </w:pPr>
      <w:r>
        <w:t xml:space="preserve">Con el diseño actual del proyecto no existe asignación aleatoria ni una referencia para todos los nodos. El efecto de E1 queda no identificado para cualquier estimación observacional. Es identificable por diseño si se asigna al azar el nivel de calibración y se cumplen los supuestos de A.8.5. El estimando E2 no es identificable en este diseño.</w:t>
      </w:r>
    </w:p>
    <w:bookmarkEnd w:id="59"/>
    <w:bookmarkStart w:id="60" w:name="a.8.4-estatutos-de-afirmación-causal"/>
    <w:p>
      <w:pPr>
        <w:pStyle w:val="Heading3"/>
      </w:pPr>
      <w:r>
        <w:t xml:space="preserve">A.8.4 Estatutos de afirmación causal</w:t>
      </w:r>
    </w:p>
    <w:p>
      <w:pPr>
        <w:pStyle w:val="FirstParagraph"/>
      </w:pPr>
      <w:r>
        <w:t xml:space="preserve">La Tabla A.24 fija tres estatutos y el lenguaje que cada uno permite. Pasar de HIE a IDC o a EST porque una variable resulte crítica en Vester o ascienda en MICMAC no está permitido. Las 210 puntuaciones y las clases son HIE. Ninguna afirmación del proyecto alcanza el estatuto IDC o EST.</w:t>
      </w:r>
    </w:p>
    <w:p>
      <w:pPr>
        <w:pStyle w:val="TablaRotulo"/>
      </w:pPr>
      <w:bookmarkStart w:id="9024" w:name="rot_Tabla_A_24"/>
      <w:r>
        <w:rPr>
          <w:b/>
          <w:bCs/>
        </w:rPr>
        <w:t xml:space="preserve">Tabla A.24</w:t>
      </w:r>
      <w:bookmarkEnd w:id="9024"/>
    </w:p>
    <w:p>
      <w:pPr>
        <w:pStyle w:val="TablaTitulo"/>
      </w:pPr>
      <w:r>
        <w:rPr>
          <w:i/>
          <w:iCs/>
        </w:rPr>
        <w:t xml:space="preserve">Estatutos de afirmación causal y lenguaje permitido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0"/>
        <w:gridCol w:w="4065"/>
        <w:gridCol w:w="4479"/>
      </w:tblGrid>
      <w:tr>
        <w:trPr>
          <w:cantSplit/>
          <w:tblHeader w:val="true"/>
          <w:tblHeader/>
        </w:trPr>
        <w:tc>
          <w:tcPr>
            <w:tcW w:w="1410" w:type="dxa"/>
            <w:tcBorders>
              <w:bottom w:val="single" w:sz="12" w:space="0" w:color="6699CC"/>
            </w:tcBorders>
            <w:shd w:val="clear" w:color="auto" w:fill="B9D9EB"/>
          </w:tcPr>
          <w:p>
            <w:pPr>
              <w:pStyle w:val="Tabla9"/>
              <w:keepNext/>
              <w:jc w:val="left"/>
            </w:pPr>
            <w:r>
              <w:rPr>
                <w:b/>
              </w:rPr>
              <w:t xml:space="preserve">Código</w:t>
            </w:r>
          </w:p>
        </w:tc>
        <w:tc>
          <w:tcPr>
            <w:tcW w:w="4065" w:type="dxa"/>
            <w:tcBorders>
              <w:bottom w:val="single" w:sz="12" w:space="0" w:color="6699CC"/>
            </w:tcBorders>
            <w:shd w:val="clear" w:color="auto" w:fill="B9D9EB"/>
          </w:tcPr>
          <w:p>
            <w:pPr>
              <w:pStyle w:val="Tabla9"/>
              <w:keepNext/>
              <w:jc w:val="left"/>
            </w:pPr>
            <w:r>
              <w:rPr>
                <w:b/>
              </w:rPr>
              <w:t xml:space="preserve">Estatuto</w:t>
            </w:r>
          </w:p>
        </w:tc>
        <w:tc>
          <w:tcPr>
            <w:tcW w:w="4479" w:type="dxa"/>
            <w:tcBorders>
              <w:bottom w:val="single" w:sz="12" w:space="0" w:color="6699CC"/>
            </w:tcBorders>
            <w:shd w:val="clear" w:color="auto" w:fill="B9D9EB"/>
          </w:tcPr>
          <w:p>
            <w:pPr>
              <w:pStyle w:val="Tabla9"/>
              <w:keepNext/>
              <w:jc w:val="left"/>
            </w:pPr>
            <w:r>
              <w:rPr>
                <w:b/>
              </w:rPr>
              <w:t xml:space="preserve">Lenguaje permitido</w:t>
            </w:r>
          </w:p>
        </w:tc>
      </w:tr>
      <w:tr>
        <w:trPr>
          <w:cantSplit/>
        </w:trPr>
        <w:tc>
          <w:tcPr>
            <w:tcW w:w="1410" w:type="dxa"/>
          </w:tcPr>
          <w:p>
            <w:pPr>
              <w:pStyle w:val="Tabla9"/>
              <w:jc w:val="left"/>
            </w:pPr>
            <w:r>
              <w:t xml:space="preserve">HIE</w:t>
            </w:r>
          </w:p>
        </w:tc>
        <w:tc>
          <w:tcPr>
            <w:tcW w:w="4065" w:type="dxa"/>
          </w:tcPr>
          <w:p>
            <w:pPr>
              <w:pStyle w:val="Tabla9"/>
              <w:jc w:val="left"/>
            </w:pPr>
            <w:r>
              <w:t xml:space="preserve">Hipótesis de influencia estructural</w:t>
            </w:r>
          </w:p>
        </w:tc>
        <w:tc>
          <w:tcPr>
            <w:tcW w:w="4479" w:type="dxa"/>
          </w:tcPr>
          <w:p>
            <w:pPr>
              <w:pStyle w:val="Tabla9"/>
              <w:jc w:val="left"/>
            </w:pPr>
            <w:r>
              <w:t xml:space="preserve">«podría influir», «se prioriza como hipótesis»</w:t>
            </w:r>
          </w:p>
        </w:tc>
      </w:tr>
      <w:tr>
        <w:trPr>
          <w:cantSplit/>
        </w:trPr>
        <w:tc>
          <w:tcPr>
            <w:tcW w:w="1410" w:type="dxa"/>
            <w:shd w:val="clear" w:color="auto" w:fill="F7F7F7"/>
          </w:tcPr>
          <w:p>
            <w:pPr>
              <w:pStyle w:val="Tabla9"/>
              <w:jc w:val="left"/>
            </w:pPr>
            <w:r>
              <w:t xml:space="preserve">IDC</w:t>
            </w:r>
          </w:p>
        </w:tc>
        <w:tc>
          <w:tcPr>
            <w:tcW w:w="4065" w:type="dxa"/>
            <w:shd w:val="clear" w:color="auto" w:fill="F7F7F7"/>
          </w:tcPr>
          <w:p>
            <w:pPr>
              <w:pStyle w:val="Tabla9"/>
              <w:jc w:val="left"/>
            </w:pPr>
            <w:r>
              <w:t xml:space="preserve">Estimando causal identificado bajo supuestos</w:t>
            </w:r>
          </w:p>
        </w:tc>
        <w:tc>
          <w:tcPr>
            <w:tcW w:w="4479" w:type="dxa"/>
            <w:shd w:val="clear" w:color="auto" w:fill="F7F7F7"/>
          </w:tcPr>
          <w:p>
            <w:pPr>
              <w:pStyle w:val="Tabla9"/>
              <w:jc w:val="left"/>
            </w:pPr>
            <w:r>
              <w:t xml:space="preserve">«el efecto es identificable si se cumplen…»</w:t>
            </w:r>
          </w:p>
        </w:tc>
      </w:tr>
      <w:tr>
        <w:trPr>
          <w:cantSplit/>
        </w:trPr>
        <w:tc>
          <w:tcPr>
            <w:tcW w:w="1410" w:type="dxa"/>
          </w:tcPr>
          <w:p>
            <w:pPr>
              <w:pStyle w:val="Tabla9"/>
              <w:keepNext/>
              <w:jc w:val="left"/>
            </w:pPr>
            <w:r>
              <w:t xml:space="preserve">EST</w:t>
            </w:r>
          </w:p>
        </w:tc>
        <w:tc>
          <w:tcPr>
            <w:tcW w:w="4065" w:type="dxa"/>
          </w:tcPr>
          <w:p>
            <w:pPr>
              <w:pStyle w:val="Tabla9"/>
              <w:keepNext/>
              <w:jc w:val="left"/>
            </w:pPr>
            <w:r>
              <w:t xml:space="preserve">Efecto estimado con datos y diseño</w:t>
            </w:r>
          </w:p>
        </w:tc>
        <w:tc>
          <w:tcPr>
            <w:tcW w:w="4479" w:type="dxa"/>
          </w:tcPr>
          <w:p>
            <w:pPr>
              <w:pStyle w:val="Tabla9"/>
              <w:keepNext/>
              <w:jc w:val="left"/>
            </w:pPr>
            <w:r>
              <w:t xml:space="preserve">«se estimó…», con intervalo y sensibilidad</w:t>
            </w:r>
          </w:p>
        </w:tc>
      </w:tr>
    </w:tbl>
    <w:p>
      <w:pPr>
        <w:pStyle w:val="TablaNota"/>
      </w:pPr>
      <w:r>
        <w:rPr>
          <w:i/>
          <w:iCs/>
        </w:rPr>
        <w:t xml:space="preserve">Nota.</w:t>
      </w:r>
      <w:r>
        <w:t xml:space="preserve"> </w:t>
      </w:r>
      <w:r>
        <w:t xml:space="preserve">Elaboración propia con Pearl y Mackenzie (2018).</w:t>
      </w:r>
    </w:p>
    <w:bookmarkEnd w:id="60"/>
    <w:bookmarkStart w:id="61" w:name="X419ed33d340417b0e06e6b3520c47bf88ded755"/>
    <w:p>
      <w:pPr>
        <w:pStyle w:val="Heading3"/>
      </w:pPr>
      <w:r>
        <w:t xml:space="preserve">A.8.5 Pruebas de robustez compatibles con el diseño</w:t>
      </w:r>
    </w:p>
    <w:p>
      <w:pPr>
        <w:pStyle w:val="FirstParagraph"/>
      </w:pPr>
      <w:r>
        <w:t xml:space="preserve">El proyecto no estima efectos causales, pero sí aplica pruebas que protegen la validez de sus mediciones. La Tabla A.25 las relaciona con la sección donde se detallan.</w:t>
      </w:r>
    </w:p>
    <w:p>
      <w:pPr>
        <w:pStyle w:val="TablaRotulo"/>
      </w:pPr>
      <w:bookmarkStart w:id="9025" w:name="rot_Tabla_A_25"/>
      <w:r>
        <w:rPr>
          <w:b/>
          <w:bCs/>
        </w:rPr>
        <w:t xml:space="preserve">Tabla A.25</w:t>
      </w:r>
      <w:bookmarkEnd w:id="9025"/>
    </w:p>
    <w:p>
      <w:pPr>
        <w:pStyle w:val="TablaTitulo"/>
      </w:pPr>
      <w:r>
        <w:rPr>
          <w:i/>
          <w:iCs/>
        </w:rPr>
        <w:t xml:space="preserve">Pruebas de robustez que el diseño contempla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35"/>
        <w:gridCol w:w="5226"/>
        <w:gridCol w:w="1493"/>
      </w:tblGrid>
      <w:tr>
        <w:trPr>
          <w:cantSplit/>
          <w:tblHeader w:val="true"/>
          <w:tblHeader/>
        </w:trPr>
        <w:tc>
          <w:tcPr>
            <w:tcW w:w="3235" w:type="dxa"/>
            <w:tcBorders>
              <w:bottom w:val="single" w:sz="12" w:space="0" w:color="6699CC"/>
            </w:tcBorders>
            <w:shd w:val="clear" w:color="auto" w:fill="B9D9EB"/>
          </w:tcPr>
          <w:p>
            <w:pPr>
              <w:pStyle w:val="Tabla9"/>
              <w:keepNext/>
              <w:jc w:val="left"/>
            </w:pPr>
            <w:r>
              <w:rPr>
                <w:b/>
              </w:rPr>
              <w:t xml:space="preserve">Prueba</w:t>
            </w:r>
          </w:p>
        </w:tc>
        <w:tc>
          <w:tcPr>
            <w:tcW w:w="5226" w:type="dxa"/>
            <w:tcBorders>
              <w:bottom w:val="single" w:sz="12" w:space="0" w:color="6699CC"/>
            </w:tcBorders>
            <w:shd w:val="clear" w:color="auto" w:fill="B9D9EB"/>
          </w:tcPr>
          <w:p>
            <w:pPr>
              <w:pStyle w:val="Tabla9"/>
              <w:keepNext/>
              <w:jc w:val="left"/>
            </w:pPr>
            <w:r>
              <w:rPr>
                <w:b/>
              </w:rPr>
              <w:t xml:space="preserve">Aplicación en el proyecto</w:t>
            </w:r>
          </w:p>
        </w:tc>
        <w:tc>
          <w:tcPr>
            <w:tcW w:w="1493" w:type="dxa"/>
            <w:tcBorders>
              <w:bottom w:val="single" w:sz="12" w:space="0" w:color="6699CC"/>
            </w:tcBorders>
            <w:shd w:val="clear" w:color="auto" w:fill="B9D9EB"/>
          </w:tcPr>
          <w:p>
            <w:pPr>
              <w:pStyle w:val="Tabla9"/>
              <w:keepNext/>
              <w:jc w:val="left"/>
            </w:pPr>
            <w:r>
              <w:rPr>
                <w:b/>
              </w:rPr>
              <w:t xml:space="preserve">Sección</w:t>
            </w:r>
          </w:p>
        </w:tc>
      </w:tr>
      <w:tr>
        <w:trPr>
          <w:cantSplit/>
        </w:trPr>
        <w:tc>
          <w:tcPr>
            <w:tcW w:w="3235" w:type="dxa"/>
          </w:tcPr>
          <w:p>
            <w:pPr>
              <w:pStyle w:val="Tabla9"/>
              <w:jc w:val="left"/>
            </w:pPr>
            <w:r>
              <w:t xml:space="preserve">Plan de análisis preestablecido</w:t>
            </w:r>
          </w:p>
        </w:tc>
        <w:tc>
          <w:tcPr>
            <w:tcW w:w="5226" w:type="dxa"/>
          </w:tcPr>
          <w:p>
            <w:pPr>
              <w:pStyle w:val="Tabla9"/>
              <w:jc w:val="left"/>
            </w:pPr>
            <w:r>
              <w:t xml:space="preserve">Criterios de selección de sitios, métricas, reglas de dato válido y umbrales de aceptación se fijan antes del primer dato</w:t>
            </w:r>
          </w:p>
        </w:tc>
        <w:tc>
          <w:tcPr>
            <w:tcW w:w="1493" w:type="dxa"/>
          </w:tcPr>
          <w:p>
            <w:pPr>
              <w:pStyle w:val="Tabla9"/>
              <w:jc w:val="left"/>
            </w:pPr>
            <w:r>
              <w:t xml:space="preserve">14.3</w:t>
            </w:r>
          </w:p>
        </w:tc>
      </w:tr>
      <w:tr>
        <w:trPr>
          <w:cantSplit/>
        </w:trPr>
        <w:tc>
          <w:tcPr>
            <w:tcW w:w="3235" w:type="dxa"/>
            <w:shd w:val="clear" w:color="auto" w:fill="F7F7F7"/>
          </w:tcPr>
          <w:p>
            <w:pPr>
              <w:pStyle w:val="Tabla9"/>
              <w:jc w:val="left"/>
            </w:pPr>
            <w:r>
              <w:t xml:space="preserve">Referencia de medición</w:t>
            </w:r>
          </w:p>
        </w:tc>
        <w:tc>
          <w:tcPr>
            <w:tcW w:w="5226" w:type="dxa"/>
            <w:shd w:val="clear" w:color="auto" w:fill="F7F7F7"/>
          </w:tcPr>
          <w:p>
            <w:pPr>
              <w:pStyle w:val="Tabla9"/>
              <w:jc w:val="left"/>
            </w:pPr>
            <w:r>
              <w:t xml:space="preserve">Conjunto de referencia rotativo, con monitor beta, monitor óptico y muestreador gravimétrico, para 100 nodos y 240 muestras gravimétricas</w:t>
            </w:r>
          </w:p>
        </w:tc>
        <w:tc>
          <w:tcPr>
            <w:tcW w:w="1493" w:type="dxa"/>
            <w:shd w:val="clear" w:color="auto" w:fill="F7F7F7"/>
          </w:tcPr>
          <w:p>
            <w:pPr>
              <w:pStyle w:val="Tabla9"/>
              <w:jc w:val="left"/>
            </w:pPr>
            <w:r>
              <w:t xml:space="preserve">14.2</w:t>
            </w:r>
          </w:p>
        </w:tc>
      </w:tr>
      <w:tr>
        <w:trPr>
          <w:cantSplit/>
        </w:trPr>
        <w:tc>
          <w:tcPr>
            <w:tcW w:w="3235" w:type="dxa"/>
          </w:tcPr>
          <w:p>
            <w:pPr>
              <w:pStyle w:val="Tabla9"/>
              <w:jc w:val="left"/>
            </w:pPr>
            <w:r>
              <w:t xml:space="preserve">Sincronización</w:t>
            </w:r>
          </w:p>
        </w:tc>
        <w:tc>
          <w:tcPr>
            <w:tcW w:w="5226" w:type="dxa"/>
          </w:tcPr>
          <w:p>
            <w:pPr>
              <w:pStyle w:val="Tabla9"/>
              <w:jc w:val="left"/>
            </w:pPr>
            <w:r>
              <w:t xml:space="preserve">El desfase de cada par nodo y referencia se estima por correlación cruzada y se corrige antes de calcular las métricas</w:t>
            </w:r>
          </w:p>
        </w:tc>
        <w:tc>
          <w:tcPr>
            <w:tcW w:w="1493" w:type="dxa"/>
          </w:tcPr>
          <w:p>
            <w:pPr>
              <w:pStyle w:val="Tabla9"/>
              <w:jc w:val="left"/>
            </w:pPr>
            <w:r>
              <w:t xml:space="preserve">14.2</w:t>
            </w:r>
          </w:p>
        </w:tc>
      </w:tr>
      <w:tr>
        <w:trPr>
          <w:cantSplit/>
        </w:trPr>
        <w:tc>
          <w:tcPr>
            <w:tcW w:w="3235" w:type="dxa"/>
            <w:shd w:val="clear" w:color="auto" w:fill="F7F7F7"/>
          </w:tcPr>
          <w:p>
            <w:pPr>
              <w:pStyle w:val="Tabla9"/>
              <w:jc w:val="left"/>
            </w:pPr>
            <w:r>
              <w:t xml:space="preserve">Validación fuera de muestra</w:t>
            </w:r>
          </w:p>
        </w:tc>
        <w:tc>
          <w:tcPr>
            <w:tcW w:w="5226" w:type="dxa"/>
            <w:shd w:val="clear" w:color="auto" w:fill="F7F7F7"/>
          </w:tcPr>
          <w:p>
            <w:pPr>
              <w:pStyle w:val="Tabla9"/>
              <w:jc w:val="left"/>
            </w:pPr>
            <w:r>
              <w:t xml:space="preserve">Particiones por municipio y por periodo; todas las métricas se calculan fuera de muestra</w:t>
            </w:r>
          </w:p>
        </w:tc>
        <w:tc>
          <w:tcPr>
            <w:tcW w:w="1493" w:type="dxa"/>
            <w:shd w:val="clear" w:color="auto" w:fill="F7F7F7"/>
          </w:tcPr>
          <w:p>
            <w:pPr>
              <w:pStyle w:val="Tabla9"/>
              <w:jc w:val="left"/>
            </w:pPr>
            <w:r>
              <w:t xml:space="preserve">14.2</w:t>
            </w:r>
          </w:p>
        </w:tc>
      </w:tr>
      <w:tr>
        <w:trPr>
          <w:cantSplit/>
        </w:trPr>
        <w:tc>
          <w:tcPr>
            <w:tcW w:w="3235" w:type="dxa"/>
          </w:tcPr>
          <w:p>
            <w:pPr>
              <w:pStyle w:val="Tabla9"/>
              <w:jc w:val="left"/>
            </w:pPr>
            <w:r>
              <w:t xml:space="preserve">Valores atípicos</w:t>
            </w:r>
          </w:p>
        </w:tc>
        <w:tc>
          <w:tcPr>
            <w:tcW w:w="5226" w:type="dxa"/>
          </w:tcPr>
          <w:p>
            <w:pPr>
              <w:pStyle w:val="Tabla9"/>
              <w:jc w:val="left"/>
            </w:pPr>
            <w:r>
              <w:t xml:space="preserve">Se marcan y no se eliminan sin causa instrumental documentada</w:t>
            </w:r>
          </w:p>
        </w:tc>
        <w:tc>
          <w:tcPr>
            <w:tcW w:w="1493" w:type="dxa"/>
          </w:tcPr>
          <w:p>
            <w:pPr>
              <w:pStyle w:val="Tabla9"/>
              <w:jc w:val="left"/>
            </w:pPr>
            <w:r>
              <w:t xml:space="preserve">14.2</w:t>
            </w:r>
          </w:p>
        </w:tc>
      </w:tr>
      <w:tr>
        <w:trPr>
          <w:cantSplit/>
        </w:trPr>
        <w:tc>
          <w:tcPr>
            <w:tcW w:w="3235" w:type="dxa"/>
            <w:shd w:val="clear" w:color="auto" w:fill="F7F7F7"/>
          </w:tcPr>
          <w:p>
            <w:pPr>
              <w:pStyle w:val="Tabla9"/>
              <w:jc w:val="left"/>
            </w:pPr>
            <w:r>
              <w:t xml:space="preserve">Pérdida de nodos</w:t>
            </w:r>
          </w:p>
        </w:tc>
        <w:tc>
          <w:tcPr>
            <w:tcW w:w="5226" w:type="dxa"/>
            <w:shd w:val="clear" w:color="auto" w:fill="F7F7F7"/>
          </w:tcPr>
          <w:p>
            <w:pPr>
              <w:pStyle w:val="Tabla9"/>
              <w:jc w:val="left"/>
            </w:pPr>
            <w:r>
              <w:t xml:space="preserve">Una reserva de 20 nodos y un gateway absorbe las fallas por maquinaria; la pérdida se informa por tramo</w:t>
            </w:r>
          </w:p>
        </w:tc>
        <w:tc>
          <w:tcPr>
            <w:tcW w:w="1493" w:type="dxa"/>
            <w:shd w:val="clear" w:color="auto" w:fill="F7F7F7"/>
          </w:tcPr>
          <w:p>
            <w:pPr>
              <w:pStyle w:val="Tabla9"/>
              <w:jc w:val="left"/>
            </w:pPr>
            <w:r>
              <w:t xml:space="preserve">13 y 14</w:t>
            </w:r>
          </w:p>
        </w:tc>
      </w:tr>
      <w:tr>
        <w:trPr>
          <w:cantSplit/>
        </w:trPr>
        <w:tc>
          <w:tcPr>
            <w:tcW w:w="3235" w:type="dxa"/>
          </w:tcPr>
          <w:p>
            <w:pPr>
              <w:pStyle w:val="Tabla9"/>
              <w:jc w:val="left"/>
            </w:pPr>
            <w:r>
              <w:t xml:space="preserve">Datos faltantes</w:t>
            </w:r>
          </w:p>
        </w:tc>
        <w:tc>
          <w:tcPr>
            <w:tcW w:w="5226" w:type="dxa"/>
          </w:tcPr>
          <w:p>
            <w:pPr>
              <w:pStyle w:val="Tabla9"/>
              <w:jc w:val="left"/>
            </w:pPr>
            <w:r>
              <w:t xml:space="preserve">Con completitud de pares de 75 %, el diseño ofrece 60.480 horas-nodo, y la trayectoria de horas válidas se controla cada semana</w:t>
            </w:r>
          </w:p>
        </w:tc>
        <w:tc>
          <w:tcPr>
            <w:tcW w:w="1493" w:type="dxa"/>
          </w:tcPr>
          <w:p>
            <w:pPr>
              <w:pStyle w:val="Tabla9"/>
              <w:jc w:val="left"/>
            </w:pPr>
            <w:r>
              <w:t xml:space="preserve">14.2</w:t>
            </w:r>
          </w:p>
        </w:tc>
      </w:tr>
      <w:tr>
        <w:trPr>
          <w:cantSplit/>
        </w:trPr>
        <w:tc>
          <w:tcPr>
            <w:tcW w:w="3235" w:type="dxa"/>
            <w:shd w:val="clear" w:color="auto" w:fill="F7F7F7"/>
          </w:tcPr>
          <w:p>
            <w:pPr>
              <w:pStyle w:val="Tabla9"/>
              <w:keepNext/>
              <w:jc w:val="left"/>
            </w:pPr>
            <w:r>
              <w:t xml:space="preserve">Predicción frente a causalidad</w:t>
            </w:r>
          </w:p>
        </w:tc>
        <w:tc>
          <w:tcPr>
            <w:tcW w:w="5226" w:type="dxa"/>
            <w:shd w:val="clear" w:color="auto" w:fill="F7F7F7"/>
          </w:tcPr>
          <w:p>
            <w:pPr>
              <w:pStyle w:val="Tabla9"/>
              <w:keepNext/>
              <w:jc w:val="left"/>
            </w:pPr>
            <w:r>
              <w:t xml:space="preserve">Que una variable mejore el ajuste del modelo no la convierte en causa del error</w:t>
            </w:r>
          </w:p>
        </w:tc>
        <w:tc>
          <w:tcPr>
            <w:tcW w:w="1493" w:type="dxa"/>
            <w:shd w:val="clear" w:color="auto" w:fill="F7F7F7"/>
          </w:tcPr>
          <w:p>
            <w:pPr>
              <w:pStyle w:val="Tabla9"/>
              <w:keepNext/>
              <w:jc w:val="left"/>
            </w:pPr>
            <w:r>
              <w:t xml:space="preserve">A.8</w:t>
            </w:r>
          </w:p>
        </w:tc>
      </w:tr>
    </w:tbl>
    <w:p>
      <w:pPr>
        <w:pStyle w:val="TablaNota"/>
      </w:pPr>
      <w:r>
        <w:rPr>
          <w:i/>
          <w:iCs/>
        </w:rPr>
        <w:t xml:space="preserve">Nota.</w:t>
      </w:r>
      <w:r>
        <w:t xml:space="preserve"> </w:t>
      </w:r>
      <w:r>
        <w:t xml:space="preserve">Elaboración propia con las secciones 13 y 14 del Anexo 2.</w:t>
      </w:r>
    </w:p>
    <w:bookmarkEnd w:id="61"/>
    <w:bookmarkEnd w:id="62"/>
    <w:bookmarkStart w:id="66" w:name="a.9.-árbol-de-problemas-completo"/>
    <w:p>
      <w:pPr>
        <w:pStyle w:val="Heading2"/>
      </w:pPr>
      <w:r>
        <w:t xml:space="preserve">A.9. Árbol de problemas completo</w:t>
      </w:r>
    </w:p>
    <w:p>
      <w:pPr>
        <w:pStyle w:val="FirstParagraph"/>
      </w:pPr>
      <w:r>
        <w:t xml:space="preserve">El árbol de problemas usa los resultados de A.4 a A.8. Sus nodos conservan los identificadores de las variables. No selecciona una alternativa y no sustituye al árbol de objetivos de la sección 12. Todas las relaciones son HIE.</w:t>
      </w:r>
    </w:p>
    <w:p>
      <w:pPr>
        <w:pStyle w:val="BodyText"/>
      </w:pPr>
      <w:r>
        <w:t xml:space="preserve">El problema central es V06, el error de medición sin verificar. Se toma de dos observaciones independientes. Primero, V06 es crítica en los cinco escenarios de A.4. Segundo, la construcción del fenómeno en A.2 define como problema la ausencia de mediciones verificadas. El árbol sigue cinco criterios.</w:t>
      </w:r>
    </w:p>
    <w:p>
      <w:pPr>
        <w:pStyle w:val="Compact"/>
        <w:numPr>
          <w:ilvl w:val="0"/>
          <w:numId w:val="1001"/>
        </w:numPr>
      </w:pPr>
      <w:r>
        <w:t xml:space="preserve">Cada nodo es una variable del modelo, formulada como estado problemático y rotulada con su identificador.</w:t>
      </w:r>
    </w:p>
    <w:p>
      <w:pPr>
        <w:pStyle w:val="Compact"/>
        <w:numPr>
          <w:ilvl w:val="0"/>
          <w:numId w:val="1001"/>
        </w:numPr>
      </w:pPr>
      <w:r>
        <w:t xml:space="preserve">Las causas se ubican debajo del problema central y los efectos encima.</w:t>
      </w:r>
    </w:p>
    <w:p>
      <w:pPr>
        <w:pStyle w:val="Compact"/>
        <w:numPr>
          <w:ilvl w:val="0"/>
          <w:numId w:val="1001"/>
        </w:numPr>
      </w:pPr>
      <w:r>
        <w:t xml:space="preserve">Se dibujan las relaciones de peso 2 o 3 que unen niveles contiguos sin compartir trazos ambiguos.</w:t>
      </w:r>
    </w:p>
    <w:p>
      <w:pPr>
        <w:pStyle w:val="Compact"/>
        <w:numPr>
          <w:ilvl w:val="0"/>
          <w:numId w:val="1001"/>
        </w:numPr>
      </w:pPr>
      <w:r>
        <w:t xml:space="preserve">No se dibujan bucles, que se registran aparte.</w:t>
      </w:r>
    </w:p>
    <w:p>
      <w:pPr>
        <w:pStyle w:val="Compact"/>
        <w:numPr>
          <w:ilvl w:val="0"/>
          <w:numId w:val="1001"/>
        </w:numPr>
      </w:pPr>
      <w:r>
        <w:t xml:space="preserve">No se agrega ninguna causa que el modelo no contenga.</w:t>
      </w:r>
    </w:p>
    <w:p>
      <w:pPr>
        <w:pStyle w:val="FirstParagraph"/>
      </w:pPr>
      <w:r>
        <w:t xml:space="preserve">La Tabla A.26 relaciona los enunciados del árbol de la sección 5.4 con los nodos del modelo. La Figura A.6 dibuja el árbol con los identificadores y los pesos. La Tabla A.27 da la explicación rival de cada relación dibujada.</w:t>
      </w:r>
    </w:p>
    <w:p>
      <w:pPr>
        <w:pStyle w:val="TablaRotulo"/>
      </w:pPr>
      <w:bookmarkStart w:id="9026" w:name="rot_Tabla_A_26"/>
      <w:r>
        <w:rPr>
          <w:b/>
          <w:bCs/>
        </w:rPr>
        <w:t xml:space="preserve">Tabla A.26</w:t>
      </w:r>
      <w:bookmarkEnd w:id="9026"/>
    </w:p>
    <w:p>
      <w:pPr>
        <w:pStyle w:val="TablaTitulo"/>
      </w:pPr>
      <w:r>
        <w:rPr>
          <w:i/>
          <w:iCs/>
        </w:rPr>
        <w:t xml:space="preserve">Correspondencia entre el árbol de la sección 5.4 y los nodos del modelo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3484"/>
        <w:gridCol w:w="912"/>
        <w:gridCol w:w="3650"/>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Nivel</w:t>
            </w:r>
          </w:p>
        </w:tc>
        <w:tc>
          <w:tcPr>
            <w:tcW w:w="3484" w:type="dxa"/>
            <w:tcBorders>
              <w:bottom w:val="single" w:sz="12" w:space="0" w:color="6699CC"/>
            </w:tcBorders>
            <w:shd w:val="clear" w:color="auto" w:fill="B9D9EB"/>
          </w:tcPr>
          <w:p>
            <w:pPr>
              <w:pStyle w:val="Tabla9"/>
              <w:keepNext/>
              <w:jc w:val="left"/>
            </w:pPr>
            <w:r>
              <w:rPr>
                <w:b/>
              </w:rPr>
              <w:t xml:space="preserve">Enunciado de la sección 5.4</w:t>
            </w:r>
          </w:p>
        </w:tc>
        <w:tc>
          <w:tcPr>
            <w:tcW w:w="912" w:type="dxa"/>
            <w:tcBorders>
              <w:bottom w:val="single" w:sz="12" w:space="0" w:color="6699CC"/>
            </w:tcBorders>
            <w:shd w:val="clear" w:color="auto" w:fill="B9D9EB"/>
          </w:tcPr>
          <w:p>
            <w:pPr>
              <w:pStyle w:val="Tabla9"/>
              <w:keepNext/>
              <w:jc w:val="left"/>
            </w:pPr>
            <w:r>
              <w:rPr>
                <w:b/>
              </w:rPr>
              <w:t xml:space="preserve">Nodo</w:t>
            </w:r>
          </w:p>
        </w:tc>
        <w:tc>
          <w:tcPr>
            <w:tcW w:w="3650" w:type="dxa"/>
            <w:tcBorders>
              <w:bottom w:val="single" w:sz="12" w:space="0" w:color="6699CC"/>
            </w:tcBorders>
            <w:shd w:val="clear" w:color="auto" w:fill="B9D9EB"/>
          </w:tcPr>
          <w:p>
            <w:pPr>
              <w:pStyle w:val="Tabla9"/>
              <w:keepNext/>
              <w:jc w:val="left"/>
            </w:pPr>
            <w:r>
              <w:rPr>
                <w:b/>
              </w:rPr>
              <w:t xml:space="preserve">Observación</w:t>
            </w:r>
          </w:p>
        </w:tc>
      </w:tr>
      <w:tr>
        <w:trPr>
          <w:cantSplit/>
        </w:trPr>
        <w:tc>
          <w:tcPr>
            <w:tcW w:w="1908" w:type="dxa"/>
          </w:tcPr>
          <w:p>
            <w:pPr>
              <w:pStyle w:val="Tabla9"/>
              <w:jc w:val="left"/>
            </w:pPr>
            <w:r>
              <w:t xml:space="preserve">Efectos indirectos</w:t>
            </w:r>
          </w:p>
        </w:tc>
        <w:tc>
          <w:tcPr>
            <w:tcW w:w="3484" w:type="dxa"/>
          </w:tcPr>
          <w:p>
            <w:pPr>
              <w:pStyle w:val="Tabla9"/>
              <w:jc w:val="left"/>
            </w:pPr>
            <w:r>
              <w:t xml:space="preserve">1.1. Población y personal de remoción sin protección efectiva ante alertas poco confiables</w:t>
            </w:r>
          </w:p>
        </w:tc>
        <w:tc>
          <w:tcPr>
            <w:tcW w:w="912" w:type="dxa"/>
          </w:tcPr>
          <w:p>
            <w:pPr>
              <w:pStyle w:val="Tabla9"/>
              <w:jc w:val="left"/>
            </w:pPr>
            <w:r>
              <w:t xml:space="preserve">V14</w:t>
            </w:r>
          </w:p>
        </w:tc>
        <w:tc>
          <w:tcPr>
            <w:tcW w:w="3650" w:type="dxa"/>
          </w:tcPr>
          <w:p>
            <w:pPr>
              <w:pStyle w:val="Tabla9"/>
              <w:jc w:val="left"/>
            </w:pPr>
            <w:r>
              <w:t xml:space="preserve">Mide protección efectiva sin separar la autónoma de la inducida por alerta</w:t>
            </w:r>
          </w:p>
        </w:tc>
      </w:tr>
      <w:tr>
        <w:trPr>
          <w:cantSplit/>
        </w:trPr>
        <w:tc>
          <w:tcPr>
            <w:tcW w:w="1908" w:type="dxa"/>
            <w:shd w:val="clear" w:color="auto" w:fill="F7F7F7"/>
          </w:tcPr>
          <w:p>
            <w:pPr>
              <w:pStyle w:val="Tabla9"/>
              <w:jc w:val="left"/>
            </w:pPr>
            <w:r>
              <w:t xml:space="preserve">Efectos indirectos</w:t>
            </w:r>
          </w:p>
        </w:tc>
        <w:tc>
          <w:tcPr>
            <w:tcW w:w="3484" w:type="dxa"/>
            <w:shd w:val="clear" w:color="auto" w:fill="F7F7F7"/>
          </w:tcPr>
          <w:p>
            <w:pPr>
              <w:pStyle w:val="Tabla9"/>
              <w:jc w:val="left"/>
            </w:pPr>
            <w:r>
              <w:t xml:space="preserve">1.2. Baja adopción institucional del tablero y de las alertas</w:t>
            </w:r>
          </w:p>
        </w:tc>
        <w:tc>
          <w:tcPr>
            <w:tcW w:w="912" w:type="dxa"/>
            <w:shd w:val="clear" w:color="auto" w:fill="F7F7F7"/>
          </w:tcPr>
          <w:p>
            <w:pPr>
              <w:pStyle w:val="Tabla9"/>
              <w:jc w:val="left"/>
            </w:pPr>
            <w:r>
              <w:t xml:space="preserve">V15</w:t>
            </w:r>
          </w:p>
        </w:tc>
        <w:tc>
          <w:tcPr>
            <w:tcW w:w="3650" w:type="dxa"/>
            <w:shd w:val="clear" w:color="auto" w:fill="F7F7F7"/>
          </w:tcPr>
          <w:p>
            <w:pPr>
              <w:pStyle w:val="Tabla9"/>
              <w:jc w:val="left"/>
            </w:pPr>
            <w:r>
              <w:t xml:space="preserve">Variable de resultado institucional y de sostenibilidad</w:t>
            </w:r>
          </w:p>
        </w:tc>
      </w:tr>
      <w:tr>
        <w:trPr>
          <w:cantSplit/>
        </w:trPr>
        <w:tc>
          <w:tcPr>
            <w:tcW w:w="1908" w:type="dxa"/>
          </w:tcPr>
          <w:p>
            <w:pPr>
              <w:pStyle w:val="Tabla9"/>
              <w:jc w:val="left"/>
            </w:pPr>
            <w:r>
              <w:t xml:space="preserve">Efectos directos</w:t>
            </w:r>
          </w:p>
        </w:tc>
        <w:tc>
          <w:tcPr>
            <w:tcW w:w="3484" w:type="dxa"/>
          </w:tcPr>
          <w:p>
            <w:pPr>
              <w:pStyle w:val="Tabla9"/>
              <w:jc w:val="left"/>
            </w:pPr>
            <w:r>
              <w:t xml:space="preserve">2.1. Índice local de calidad del aire sin fórmula validada y con error de entrada</w:t>
            </w:r>
          </w:p>
        </w:tc>
        <w:tc>
          <w:tcPr>
            <w:tcW w:w="912" w:type="dxa"/>
          </w:tcPr>
          <w:p>
            <w:pPr>
              <w:pStyle w:val="Tabla9"/>
              <w:jc w:val="left"/>
            </w:pPr>
            <w:r>
              <w:t xml:space="preserve">V11</w:t>
            </w:r>
          </w:p>
        </w:tc>
        <w:tc>
          <w:tcPr>
            <w:tcW w:w="3650" w:type="dxa"/>
          </w:tcPr>
          <w:p>
            <w:pPr>
              <w:pStyle w:val="Tabla9"/>
              <w:jc w:val="left"/>
            </w:pPr>
            <w:r>
              <w:t xml:space="preserve">La fórmula local del índice está por definir</w:t>
            </w:r>
          </w:p>
        </w:tc>
      </w:tr>
      <w:tr>
        <w:trPr>
          <w:cantSplit/>
        </w:trPr>
        <w:tc>
          <w:tcPr>
            <w:tcW w:w="1908" w:type="dxa"/>
            <w:shd w:val="clear" w:color="auto" w:fill="F7F7F7"/>
          </w:tcPr>
          <w:p>
            <w:pPr>
              <w:pStyle w:val="Tabla9"/>
              <w:jc w:val="left"/>
            </w:pPr>
            <w:r>
              <w:t xml:space="preserve">Efectos directos</w:t>
            </w:r>
          </w:p>
        </w:tc>
        <w:tc>
          <w:tcPr>
            <w:tcW w:w="3484" w:type="dxa"/>
            <w:shd w:val="clear" w:color="auto" w:fill="F7F7F7"/>
          </w:tcPr>
          <w:p>
            <w:pPr>
              <w:pStyle w:val="Tabla9"/>
              <w:jc w:val="left"/>
            </w:pPr>
            <w:r>
              <w:t xml:space="preserve">2.2. Tasa de falsas alarmas sin medir</w:t>
            </w:r>
          </w:p>
        </w:tc>
        <w:tc>
          <w:tcPr>
            <w:tcW w:w="912" w:type="dxa"/>
            <w:shd w:val="clear" w:color="auto" w:fill="F7F7F7"/>
          </w:tcPr>
          <w:p>
            <w:pPr>
              <w:pStyle w:val="Tabla9"/>
              <w:jc w:val="left"/>
            </w:pPr>
            <w:r>
              <w:t xml:space="preserve">V12</w:t>
            </w:r>
          </w:p>
        </w:tc>
        <w:tc>
          <w:tcPr>
            <w:tcW w:w="3650" w:type="dxa"/>
            <w:shd w:val="clear" w:color="auto" w:fill="F7F7F7"/>
          </w:tcPr>
          <w:p>
            <w:pPr>
              <w:pStyle w:val="Tabla9"/>
              <w:jc w:val="left"/>
            </w:pPr>
            <w:r>
              <w:t xml:space="preserve">Depende del umbral del índice y del error de medición</w:t>
            </w:r>
          </w:p>
        </w:tc>
      </w:tr>
      <w:tr>
        <w:trPr>
          <w:cantSplit/>
        </w:trPr>
        <w:tc>
          <w:tcPr>
            <w:tcW w:w="1908" w:type="dxa"/>
          </w:tcPr>
          <w:p>
            <w:pPr>
              <w:pStyle w:val="Tabla9"/>
              <w:jc w:val="left"/>
            </w:pPr>
            <w:r>
              <w:t xml:space="preserve">Problema central</w:t>
            </w:r>
          </w:p>
        </w:tc>
        <w:tc>
          <w:tcPr>
            <w:tcW w:w="3484" w:type="dxa"/>
          </w:tcPr>
          <w:p>
            <w:pPr>
              <w:pStyle w:val="Tabla9"/>
              <w:jc w:val="left"/>
            </w:pPr>
            <w:r>
              <w:t xml:space="preserve">Los consejos no disponen de mediciones de PM2,5 y PM10 con error conocido</w:t>
            </w:r>
          </w:p>
        </w:tc>
        <w:tc>
          <w:tcPr>
            <w:tcW w:w="912" w:type="dxa"/>
          </w:tcPr>
          <w:p>
            <w:pPr>
              <w:pStyle w:val="Tabla9"/>
              <w:jc w:val="left"/>
            </w:pPr>
            <w:r>
              <w:t xml:space="preserve">V06</w:t>
            </w:r>
          </w:p>
        </w:tc>
        <w:tc>
          <w:tcPr>
            <w:tcW w:w="3650" w:type="dxa"/>
          </w:tcPr>
          <w:p>
            <w:pPr>
              <w:pStyle w:val="Tabla9"/>
              <w:jc w:val="left"/>
            </w:pPr>
            <w:r>
              <w:t xml:space="preserve">La sección 5.4 formula el estado observable; V06 es el error del sensor</w:t>
            </w:r>
          </w:p>
        </w:tc>
      </w:tr>
      <w:tr>
        <w:trPr>
          <w:cantSplit/>
        </w:trPr>
        <w:tc>
          <w:tcPr>
            <w:tcW w:w="1908" w:type="dxa"/>
            <w:shd w:val="clear" w:color="auto" w:fill="F7F7F7"/>
          </w:tcPr>
          <w:p>
            <w:pPr>
              <w:pStyle w:val="Tabla9"/>
              <w:jc w:val="left"/>
            </w:pPr>
            <w:r>
              <w:t xml:space="preserve">Causas directas</w:t>
            </w:r>
          </w:p>
        </w:tc>
        <w:tc>
          <w:tcPr>
            <w:tcW w:w="3484" w:type="dxa"/>
            <w:shd w:val="clear" w:color="auto" w:fill="F7F7F7"/>
          </w:tcPr>
          <w:p>
            <w:pPr>
              <w:pStyle w:val="Tabla9"/>
              <w:jc w:val="left"/>
            </w:pPr>
            <w:r>
              <w:t xml:space="preserve">3.1. Humedad relativa alta en los sitios</w:t>
            </w:r>
          </w:p>
        </w:tc>
        <w:tc>
          <w:tcPr>
            <w:tcW w:w="912" w:type="dxa"/>
            <w:shd w:val="clear" w:color="auto" w:fill="F7F7F7"/>
          </w:tcPr>
          <w:p>
            <w:pPr>
              <w:pStyle w:val="Tabla9"/>
              <w:jc w:val="left"/>
            </w:pPr>
            <w:r>
              <w:t xml:space="preserve">V03</w:t>
            </w:r>
          </w:p>
        </w:tc>
        <w:tc>
          <w:tcPr>
            <w:tcW w:w="3650" w:type="dxa"/>
            <w:shd w:val="clear" w:color="auto" w:fill="F7F7F7"/>
          </w:tcPr>
          <w:p>
            <w:pPr>
              <w:pStyle w:val="Tabla9"/>
              <w:jc w:val="left"/>
            </w:pPr>
            <w:r>
              <w:t xml:space="preserve">Exógena; sin variable de precipitación en el modelo</w:t>
            </w:r>
          </w:p>
        </w:tc>
      </w:tr>
      <w:tr>
        <w:trPr>
          <w:cantSplit/>
        </w:trPr>
        <w:tc>
          <w:tcPr>
            <w:tcW w:w="1908" w:type="dxa"/>
          </w:tcPr>
          <w:p>
            <w:pPr>
              <w:pStyle w:val="Tabla9"/>
              <w:jc w:val="left"/>
            </w:pPr>
            <w:r>
              <w:t xml:space="preserve">Causas directas</w:t>
            </w:r>
          </w:p>
        </w:tc>
        <w:tc>
          <w:tcPr>
            <w:tcW w:w="3484" w:type="dxa"/>
          </w:tcPr>
          <w:p>
            <w:pPr>
              <w:pStyle w:val="Tabla9"/>
              <w:jc w:val="left"/>
            </w:pPr>
            <w:r>
              <w:t xml:space="preserve">3.2. Fracción gruesa de PM10 sin corrección</w:t>
            </w:r>
          </w:p>
        </w:tc>
        <w:tc>
          <w:tcPr>
            <w:tcW w:w="912" w:type="dxa"/>
          </w:tcPr>
          <w:p>
            <w:pPr>
              <w:pStyle w:val="Tabla9"/>
              <w:jc w:val="left"/>
            </w:pPr>
            <w:r>
              <w:t xml:space="preserve">V02</w:t>
            </w:r>
          </w:p>
        </w:tc>
        <w:tc>
          <w:tcPr>
            <w:tcW w:w="3650" w:type="dxa"/>
          </w:tcPr>
          <w:p>
            <w:pPr>
              <w:pStyle w:val="Tabla9"/>
              <w:jc w:val="left"/>
            </w:pPr>
            <w:r>
              <w:t xml:space="preserve">V02 incluye la masa de V01 y se lee como fracción gruesa</w:t>
            </w:r>
          </w:p>
        </w:tc>
      </w:tr>
      <w:tr>
        <w:trPr>
          <w:cantSplit/>
        </w:trPr>
        <w:tc>
          <w:tcPr>
            <w:tcW w:w="1908" w:type="dxa"/>
            <w:shd w:val="clear" w:color="auto" w:fill="F7F7F7"/>
          </w:tcPr>
          <w:p>
            <w:pPr>
              <w:pStyle w:val="Tabla9"/>
              <w:jc w:val="left"/>
            </w:pPr>
            <w:r>
              <w:t xml:space="preserve">Causas directas</w:t>
            </w:r>
          </w:p>
        </w:tc>
        <w:tc>
          <w:tcPr>
            <w:tcW w:w="3484" w:type="dxa"/>
            <w:shd w:val="clear" w:color="auto" w:fill="F7F7F7"/>
          </w:tcPr>
          <w:p>
            <w:pPr>
              <w:pStyle w:val="Tabla9"/>
              <w:jc w:val="left"/>
            </w:pPr>
            <w:r>
              <w:t xml:space="preserve">3.3. PM2,5 sin referencia colocalizada</w:t>
            </w:r>
          </w:p>
        </w:tc>
        <w:tc>
          <w:tcPr>
            <w:tcW w:w="912" w:type="dxa"/>
            <w:shd w:val="clear" w:color="auto" w:fill="F7F7F7"/>
          </w:tcPr>
          <w:p>
            <w:pPr>
              <w:pStyle w:val="Tabla9"/>
              <w:jc w:val="left"/>
            </w:pPr>
            <w:r>
              <w:t xml:space="preserve">V01</w:t>
            </w:r>
          </w:p>
        </w:tc>
        <w:tc>
          <w:tcPr>
            <w:tcW w:w="3650" w:type="dxa"/>
            <w:shd w:val="clear" w:color="auto" w:fill="F7F7F7"/>
          </w:tcPr>
          <w:p>
            <w:pPr>
              <w:pStyle w:val="Tabla9"/>
              <w:jc w:val="left"/>
            </w:pPr>
            <w:r>
              <w:t xml:space="preserve">V01 es la concentración de PM2,5. Su efecto sobre el error solo se cuantifica con una referencia colocalizada</w:t>
            </w:r>
          </w:p>
        </w:tc>
      </w:tr>
      <w:tr>
        <w:trPr>
          <w:cantSplit/>
        </w:trPr>
        <w:tc>
          <w:tcPr>
            <w:tcW w:w="1908" w:type="dxa"/>
          </w:tcPr>
          <w:p>
            <w:pPr>
              <w:pStyle w:val="Tabla9"/>
              <w:jc w:val="left"/>
            </w:pPr>
            <w:r>
              <w:t xml:space="preserve">Causas directas</w:t>
            </w:r>
          </w:p>
        </w:tc>
        <w:tc>
          <w:tcPr>
            <w:tcW w:w="3484" w:type="dxa"/>
          </w:tcPr>
          <w:p>
            <w:pPr>
              <w:pStyle w:val="Tabla9"/>
              <w:jc w:val="left"/>
            </w:pPr>
            <w:r>
              <w:t xml:space="preserve">3.4. Calibración baja o nula</w:t>
            </w:r>
          </w:p>
        </w:tc>
        <w:tc>
          <w:tcPr>
            <w:tcW w:w="912" w:type="dxa"/>
          </w:tcPr>
          <w:p>
            <w:pPr>
              <w:pStyle w:val="Tabla9"/>
              <w:jc w:val="left"/>
            </w:pPr>
            <w:r>
              <w:t xml:space="preserve">V07</w:t>
            </w:r>
          </w:p>
        </w:tc>
        <w:tc>
          <w:tcPr>
            <w:tcW w:w="3650" w:type="dxa"/>
          </w:tcPr>
          <w:p>
            <w:pPr>
              <w:pStyle w:val="Tabla9"/>
              <w:jc w:val="left"/>
            </w:pPr>
            <w:r>
              <w:t xml:space="preserve">Variable de operación y palanca de diseño</w:t>
            </w:r>
          </w:p>
        </w:tc>
      </w:tr>
      <w:tr>
        <w:trPr>
          <w:cantSplit/>
        </w:trPr>
        <w:tc>
          <w:tcPr>
            <w:tcW w:w="1908" w:type="dxa"/>
            <w:shd w:val="clear" w:color="auto" w:fill="F7F7F7"/>
          </w:tcPr>
          <w:p>
            <w:pPr>
              <w:pStyle w:val="Tabla9"/>
              <w:keepNext/>
              <w:jc w:val="left"/>
            </w:pPr>
            <w:r>
              <w:t xml:space="preserve">Causas indirectas</w:t>
            </w:r>
          </w:p>
        </w:tc>
        <w:tc>
          <w:tcPr>
            <w:tcW w:w="3484" w:type="dxa"/>
            <w:shd w:val="clear" w:color="auto" w:fill="F7F7F7"/>
          </w:tcPr>
          <w:p>
            <w:pPr>
              <w:pStyle w:val="Tabla9"/>
              <w:keepNext/>
              <w:jc w:val="left"/>
            </w:pPr>
            <w:r>
              <w:t xml:space="preserve">4.1. Remoción de escombros en curso</w:t>
            </w:r>
          </w:p>
        </w:tc>
        <w:tc>
          <w:tcPr>
            <w:tcW w:w="912" w:type="dxa"/>
            <w:shd w:val="clear" w:color="auto" w:fill="F7F7F7"/>
          </w:tcPr>
          <w:p>
            <w:pPr>
              <w:pStyle w:val="Tabla9"/>
              <w:keepNext/>
              <w:jc w:val="left"/>
            </w:pPr>
            <w:r>
              <w:t xml:space="preserve">V05</w:t>
            </w:r>
          </w:p>
        </w:tc>
        <w:tc>
          <w:tcPr>
            <w:tcW w:w="3650" w:type="dxa"/>
            <w:shd w:val="clear" w:color="auto" w:fill="F7F7F7"/>
          </w:tcPr>
          <w:p>
            <w:pPr>
              <w:pStyle w:val="Tabla9"/>
              <w:keepNext/>
              <w:jc w:val="left"/>
            </w:pPr>
            <w:r>
              <w:t xml:space="preserve">Variable de actividad; modificable por decisión institucional</w:t>
            </w:r>
          </w:p>
        </w:tc>
      </w:tr>
    </w:tbl>
    <w:p>
      <w:pPr>
        <w:pStyle w:val="TablaNota"/>
      </w:pPr>
      <w:r>
        <w:rPr>
          <w:i/>
          <w:iCs/>
        </w:rPr>
        <w:t xml:space="preserve">Nota.</w:t>
      </w:r>
      <w:r>
        <w:t xml:space="preserve"> </w:t>
      </w:r>
      <w:r>
        <w:t xml:space="preserve">Elaboración propia con la sección 5.4 del Anexo 2 y el diccionario de variables de A.3.</w:t>
      </w:r>
    </w:p>
    <w:p>
      <w:pPr>
        <w:pStyle w:val="FiguraRotulo"/>
      </w:pPr>
      <w:bookmarkStart w:id="9037" w:name="rot_Figura_A_6"/>
      <w:r>
        <w:rPr>
          <w:b/>
          <w:bCs/>
        </w:rPr>
        <w:t xml:space="preserve">Figura A.6</w:t>
      </w:r>
      <w:bookmarkEnd w:id="9037"/>
    </w:p>
    <w:p>
      <w:pPr>
        <w:pStyle w:val="FiguraTitulo"/>
      </w:pPr>
      <w:r>
        <w:rPr>
          <w:i/>
          <w:iCs/>
        </w:rPr>
        <w:t xml:space="preserve">El error de medición sin verificar (V06) conecta cuatro causas directas con dos efectos directos</w:t>
      </w:r>
    </w:p>
    <w:p>
      <w:pPr>
        <w:pStyle w:val="BodyText"/>
      </w:pPr>
      <w:r>
        <w:drawing>
          <wp:inline>
            <wp:extent cx="5579999" cy="5133599"/>
            <wp:effectExtent b="0" l="0" r="0" t="0"/>
            <wp:docPr descr="" title="" id="64" name="Picture"/>
            <a:graphic>
              <a:graphicData uri="http://schemas.openxmlformats.org/drawingml/2006/picture">
                <pic:pic>
                  <pic:nvPicPr>
                    <pic:cNvPr descr="/tmp/claude-0/-home-user-docs/8ca5c040-2adb-56b3-8e64-05d4e7e569ed/scratchpad/a2/figs/out/cA_f06.png" id="65" name="Picture"/>
                    <pic:cNvPicPr>
                      <a:picLocks noChangeArrowheads="1" noChangeAspect="1"/>
                    </pic:cNvPicPr>
                  </pic:nvPicPr>
                  <pic:blipFill>
                    <a:blip r:embed="rId63"/>
                    <a:stretch>
                      <a:fillRect/>
                    </a:stretch>
                  </pic:blipFill>
                  <pic:spPr bwMode="auto">
                    <a:xfrm>
                      <a:off x="0" y="0"/>
                      <a:ext cx="5579999" cy="5133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fichas bidireccionales. El número sobre cada flecha es el peso del vínculo en S2 y el signo indica influencia negativa. Las relaciones son hipótesis de influencia estructural y no efectos estimados. Software: Python 3 y matplotlib.</w:t>
      </w:r>
    </w:p>
    <w:p>
      <w:pPr>
        <w:pStyle w:val="TablaRotulo"/>
      </w:pPr>
      <w:bookmarkStart w:id="9027" w:name="rot_Tabla_A_27"/>
      <w:r>
        <w:rPr>
          <w:b/>
          <w:bCs/>
        </w:rPr>
        <w:t xml:space="preserve">Tabla A.27</w:t>
      </w:r>
      <w:bookmarkEnd w:id="9027"/>
    </w:p>
    <w:p>
      <w:pPr>
        <w:pStyle w:val="TablaTitulo"/>
      </w:pPr>
      <w:r>
        <w:rPr>
          <w:i/>
          <w:iCs/>
        </w:rPr>
        <w:t xml:space="preserve">Relaciones dibujadas en el árbol de problemas, con su explicación rival principal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912"/>
        <w:gridCol w:w="1078"/>
        <w:gridCol w:w="1659"/>
        <w:gridCol w:w="472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Relación</w:t>
            </w:r>
          </w:p>
        </w:tc>
        <w:tc>
          <w:tcPr>
            <w:tcW w:w="912" w:type="dxa"/>
            <w:tcBorders>
              <w:bottom w:val="single" w:sz="12" w:space="0" w:color="6699CC"/>
            </w:tcBorders>
            <w:shd w:val="clear" w:color="auto" w:fill="B9D9EB"/>
          </w:tcPr>
          <w:p>
            <w:pPr>
              <w:pStyle w:val="Tabla9"/>
              <w:keepNext/>
              <w:jc w:val="left"/>
            </w:pPr>
            <w:r>
              <w:rPr>
                <w:b/>
              </w:rPr>
              <w:t xml:space="preserve">Peso</w:t>
            </w:r>
          </w:p>
        </w:tc>
        <w:tc>
          <w:tcPr>
            <w:tcW w:w="1078" w:type="dxa"/>
            <w:tcBorders>
              <w:bottom w:val="single" w:sz="12" w:space="0" w:color="6699CC"/>
            </w:tcBorders>
            <w:shd w:val="clear" w:color="auto" w:fill="B9D9EB"/>
          </w:tcPr>
          <w:p>
            <w:pPr>
              <w:pStyle w:val="Tabla9"/>
              <w:keepNext/>
              <w:jc w:val="left"/>
            </w:pPr>
            <w:r>
              <w:rPr>
                <w:b/>
              </w:rPr>
              <w:t xml:space="preserve">Signo</w:t>
            </w:r>
          </w:p>
        </w:tc>
        <w:tc>
          <w:tcPr>
            <w:tcW w:w="1659" w:type="dxa"/>
            <w:tcBorders>
              <w:bottom w:val="single" w:sz="12" w:space="0" w:color="6699CC"/>
            </w:tcBorders>
            <w:shd w:val="clear" w:color="auto" w:fill="B9D9EB"/>
          </w:tcPr>
          <w:p>
            <w:pPr>
              <w:pStyle w:val="Tabla9"/>
              <w:keepNext/>
              <w:jc w:val="left"/>
            </w:pPr>
            <w:r>
              <w:rPr>
                <w:b/>
              </w:rPr>
              <w:t xml:space="preserve">Confianza</w:t>
            </w:r>
          </w:p>
        </w:tc>
        <w:tc>
          <w:tcPr>
            <w:tcW w:w="4729" w:type="dxa"/>
            <w:tcBorders>
              <w:bottom w:val="single" w:sz="12" w:space="0" w:color="6699CC"/>
            </w:tcBorders>
            <w:shd w:val="clear" w:color="auto" w:fill="B9D9EB"/>
          </w:tcPr>
          <w:p>
            <w:pPr>
              <w:pStyle w:val="Tabla9"/>
              <w:keepNext/>
              <w:jc w:val="left"/>
            </w:pPr>
            <w:r>
              <w:rPr>
                <w:b/>
              </w:rPr>
              <w:t xml:space="preserve">Explicación rival principal</w:t>
            </w:r>
          </w:p>
        </w:tc>
      </w:tr>
      <w:tr>
        <w:trPr>
          <w:cantSplit/>
        </w:trPr>
        <w:tc>
          <w:tcPr>
            <w:tcW w:w="1576" w:type="dxa"/>
          </w:tcPr>
          <w:p>
            <w:pPr>
              <w:pStyle w:val="Tabla9"/>
              <w:jc w:val="left"/>
            </w:pPr>
            <w:r>
              <w:t xml:space="preserve">V05→V02</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Alta</w:t>
            </w:r>
          </w:p>
        </w:tc>
        <w:tc>
          <w:tcPr>
            <w:tcW w:w="4729" w:type="dxa"/>
          </w:tcPr>
          <w:p>
            <w:pPr>
              <w:pStyle w:val="Tabla9"/>
              <w:jc w:val="left"/>
            </w:pPr>
            <w:r>
              <w:t xml:space="preserve">El rociado de agua y los cerramientos pueden reducir la emisión. Eso sería una intervención sobre V05, no un cambio de esta relación.</w:t>
            </w:r>
          </w:p>
        </w:tc>
      </w:tr>
      <w:tr>
        <w:trPr>
          <w:cantSplit/>
        </w:trPr>
        <w:tc>
          <w:tcPr>
            <w:tcW w:w="1576" w:type="dxa"/>
            <w:shd w:val="clear" w:color="auto" w:fill="F7F7F7"/>
          </w:tcPr>
          <w:p>
            <w:pPr>
              <w:pStyle w:val="Tabla9"/>
              <w:jc w:val="left"/>
            </w:pPr>
            <w:r>
              <w:t xml:space="preserve">V05→V01</w:t>
            </w:r>
          </w:p>
        </w:tc>
        <w:tc>
          <w:tcPr>
            <w:tcW w:w="912" w:type="dxa"/>
            <w:shd w:val="clear" w:color="auto" w:fill="F7F7F7"/>
          </w:tcPr>
          <w:p>
            <w:pPr>
              <w:pStyle w:val="Tabla9"/>
              <w:jc w:val="left"/>
            </w:pPr>
            <w:r>
              <w:t xml:space="preserve">2</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Con maquinaria eléctrica o con rociado de agua el valor sería menor. Con trituración de concreto sin control podría ser 3.</w:t>
            </w:r>
          </w:p>
        </w:tc>
      </w:tr>
      <w:tr>
        <w:trPr>
          <w:cantSplit/>
        </w:trPr>
        <w:tc>
          <w:tcPr>
            <w:tcW w:w="1576" w:type="dxa"/>
          </w:tcPr>
          <w:p>
            <w:pPr>
              <w:pStyle w:val="Tabla9"/>
              <w:jc w:val="left"/>
            </w:pPr>
            <w:r>
              <w:t xml:space="preserve">V03→V06</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La corrección con referencia cercana puede neutralizar el sesgo. Eso se puntúa en V07→V06. La correlación 0,73 podría reflejar covariación estacional de PM y humedad.</w:t>
            </w:r>
          </w:p>
        </w:tc>
      </w:tr>
      <w:tr>
        <w:trPr>
          <w:cantSplit/>
        </w:trPr>
        <w:tc>
          <w:tcPr>
            <w:tcW w:w="1576" w:type="dxa"/>
            <w:shd w:val="clear" w:color="auto" w:fill="F7F7F7"/>
          </w:tcPr>
          <w:p>
            <w:pPr>
              <w:pStyle w:val="Tabla9"/>
              <w:jc w:val="left"/>
            </w:pPr>
            <w:r>
              <w:t xml:space="preserve">V02→V06</w:t>
            </w:r>
          </w:p>
        </w:tc>
        <w:tc>
          <w:tcPr>
            <w:tcW w:w="912" w:type="dxa"/>
            <w:shd w:val="clear" w:color="auto" w:fill="F7F7F7"/>
          </w:tcPr>
          <w:p>
            <w:pPr>
              <w:pStyle w:val="Tabla9"/>
              <w:jc w:val="left"/>
            </w:pPr>
            <w:r>
              <w:t xml:space="preserve">3</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Los sensores con inlet protegido y limpieza programada reducen el efecto. El valor sería 2 si el mantenimiento preventivo se cumple.</w:t>
            </w:r>
          </w:p>
        </w:tc>
      </w:tr>
      <w:tr>
        <w:trPr>
          <w:cantSplit/>
        </w:trPr>
        <w:tc>
          <w:tcPr>
            <w:tcW w:w="1576" w:type="dxa"/>
          </w:tcPr>
          <w:p>
            <w:pPr>
              <w:pStyle w:val="Tabla9"/>
              <w:jc w:val="left"/>
            </w:pPr>
            <w:r>
              <w:t xml:space="preserve">V01→V06</w:t>
            </w:r>
          </w:p>
        </w:tc>
        <w:tc>
          <w:tcPr>
            <w:tcW w:w="912" w:type="dxa"/>
          </w:tcPr>
          <w:p>
            <w:pPr>
              <w:pStyle w:val="Tabla9"/>
              <w:jc w:val="left"/>
            </w:pPr>
            <w:r>
              <w:t xml:space="preserve">2</w:t>
            </w:r>
          </w:p>
        </w:tc>
        <w:tc>
          <w:tcPr>
            <w:tcW w:w="1078" w:type="dxa"/>
          </w:tcPr>
          <w:p>
            <w:pPr>
              <w:pStyle w:val="Tabla9"/>
              <w:jc w:val="left"/>
            </w:pPr>
            <w:r>
              <w:t xml:space="preserve">+</w:t>
            </w:r>
          </w:p>
        </w:tc>
        <w:tc>
          <w:tcPr>
            <w:tcW w:w="1659" w:type="dxa"/>
          </w:tcPr>
          <w:p>
            <w:pPr>
              <w:pStyle w:val="Tabla9"/>
              <w:jc w:val="left"/>
            </w:pPr>
            <w:r>
              <w:t xml:space="preserve">Baja</w:t>
            </w:r>
          </w:p>
        </w:tc>
        <w:tc>
          <w:tcPr>
            <w:tcW w:w="4729" w:type="dxa"/>
          </w:tcPr>
          <w:p>
            <w:pPr>
              <w:pStyle w:val="Tabla9"/>
              <w:jc w:val="left"/>
            </w:pPr>
            <w:r>
              <w:t xml:space="preserve">El error normalizado puede disminuir con la concentración, porque el cociente se divide por un denominador mayor. El signo podría ser MIXTO.</w:t>
            </w:r>
          </w:p>
        </w:tc>
      </w:tr>
      <w:tr>
        <w:trPr>
          <w:cantSplit/>
        </w:trPr>
        <w:tc>
          <w:tcPr>
            <w:tcW w:w="1576" w:type="dxa"/>
            <w:shd w:val="clear" w:color="auto" w:fill="F7F7F7"/>
          </w:tcPr>
          <w:p>
            <w:pPr>
              <w:pStyle w:val="Tabla9"/>
              <w:jc w:val="left"/>
            </w:pPr>
            <w:r>
              <w:t xml:space="preserve">V07→V06</w:t>
            </w:r>
          </w:p>
        </w:tc>
        <w:tc>
          <w:tcPr>
            <w:tcW w:w="912" w:type="dxa"/>
            <w:shd w:val="clear" w:color="auto" w:fill="F7F7F7"/>
          </w:tcPr>
          <w:p>
            <w:pPr>
              <w:pStyle w:val="Tabla9"/>
              <w:jc w:val="left"/>
            </w:pPr>
            <w:r>
              <w:t xml:space="preserve">3</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La variable explicativa del informe es el método de corrección y la distancia a la referencia. La frecuencia puede tener rendimientos decrecientes y un efecto menor.</w:t>
            </w:r>
          </w:p>
        </w:tc>
      </w:tr>
      <w:tr>
        <w:trPr>
          <w:cantSplit/>
        </w:trPr>
        <w:tc>
          <w:tcPr>
            <w:tcW w:w="1576" w:type="dxa"/>
          </w:tcPr>
          <w:p>
            <w:pPr>
              <w:pStyle w:val="Tabla9"/>
              <w:jc w:val="left"/>
            </w:pPr>
            <w:r>
              <w:t xml:space="preserve">V06→V11</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Un índice con filtros de calidad de dato que descarte lecturas dudosas amortiguaría la propagación. La formulación no los describe.</w:t>
            </w:r>
          </w:p>
        </w:tc>
      </w:tr>
      <w:tr>
        <w:trPr>
          <w:cantSplit/>
        </w:trPr>
        <w:tc>
          <w:tcPr>
            <w:tcW w:w="1576" w:type="dxa"/>
            <w:shd w:val="clear" w:color="auto" w:fill="F7F7F7"/>
          </w:tcPr>
          <w:p>
            <w:pPr>
              <w:pStyle w:val="Tabla9"/>
              <w:jc w:val="left"/>
            </w:pPr>
            <w:r>
              <w:t xml:space="preserve">V06→V12</w:t>
            </w:r>
          </w:p>
        </w:tc>
        <w:tc>
          <w:tcPr>
            <w:tcW w:w="912" w:type="dxa"/>
            <w:shd w:val="clear" w:color="auto" w:fill="F7F7F7"/>
          </w:tcPr>
          <w:p>
            <w:pPr>
              <w:pStyle w:val="Tabla9"/>
              <w:jc w:val="left"/>
            </w:pPr>
            <w:r>
              <w:t xml:space="preserve">2</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Si todas las alertas parten del índice agregado, el valor directo sería 0 o 1.</w:t>
            </w:r>
          </w:p>
        </w:tc>
      </w:tr>
      <w:tr>
        <w:trPr>
          <w:cantSplit/>
        </w:trPr>
        <w:tc>
          <w:tcPr>
            <w:tcW w:w="1576" w:type="dxa"/>
          </w:tcPr>
          <w:p>
            <w:pPr>
              <w:pStyle w:val="Tabla9"/>
              <w:jc w:val="left"/>
            </w:pPr>
            <w:r>
              <w:t xml:space="preserve">V11→V14</w:t>
            </w:r>
          </w:p>
        </w:tc>
        <w:tc>
          <w:tcPr>
            <w:tcW w:w="912" w:type="dxa"/>
          </w:tcPr>
          <w:p>
            <w:pPr>
              <w:pStyle w:val="Tabla9"/>
              <w:jc w:val="left"/>
            </w:pPr>
            <w:r>
              <w:t xml:space="preserve">2</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Si el protocolo obligatorio activa medidas automáticas, el valor sería 3.</w:t>
            </w:r>
          </w:p>
        </w:tc>
      </w:tr>
      <w:tr>
        <w:trPr>
          <w:cantSplit/>
        </w:trPr>
        <w:tc>
          <w:tcPr>
            <w:tcW w:w="1576" w:type="dxa"/>
            <w:shd w:val="clear" w:color="auto" w:fill="F7F7F7"/>
          </w:tcPr>
          <w:p>
            <w:pPr>
              <w:pStyle w:val="Tabla9"/>
              <w:keepNext/>
              <w:jc w:val="left"/>
            </w:pPr>
            <w:r>
              <w:t xml:space="preserve">V12→V15</w:t>
            </w:r>
          </w:p>
        </w:tc>
        <w:tc>
          <w:tcPr>
            <w:tcW w:w="912" w:type="dxa"/>
            <w:shd w:val="clear" w:color="auto" w:fill="F7F7F7"/>
          </w:tcPr>
          <w:p>
            <w:pPr>
              <w:pStyle w:val="Tabla9"/>
              <w:keepNext/>
              <w:jc w:val="left"/>
            </w:pPr>
            <w:r>
              <w:t xml:space="preserve">2</w:t>
            </w:r>
          </w:p>
        </w:tc>
        <w:tc>
          <w:tcPr>
            <w:tcW w:w="1078" w:type="dxa"/>
            <w:shd w:val="clear" w:color="auto" w:fill="F7F7F7"/>
          </w:tcPr>
          <w:p>
            <w:pPr>
              <w:pStyle w:val="Tabla9"/>
              <w:keepNext/>
              <w:jc w:val="left"/>
            </w:pPr>
            <w:r>
              <w:t xml:space="preserve">−</w:t>
            </w:r>
          </w:p>
        </w:tc>
        <w:tc>
          <w:tcPr>
            <w:tcW w:w="1659" w:type="dxa"/>
            <w:shd w:val="clear" w:color="auto" w:fill="F7F7F7"/>
          </w:tcPr>
          <w:p>
            <w:pPr>
              <w:pStyle w:val="Tabla9"/>
              <w:keepNext/>
              <w:jc w:val="left"/>
            </w:pPr>
            <w:r>
              <w:t xml:space="preserve">Media</w:t>
            </w:r>
          </w:p>
        </w:tc>
        <w:tc>
          <w:tcPr>
            <w:tcW w:w="4729" w:type="dxa"/>
            <w:shd w:val="clear" w:color="auto" w:fill="F7F7F7"/>
          </w:tcPr>
          <w:p>
            <w:pPr>
              <w:pStyle w:val="Tabla9"/>
              <w:keepNext/>
              <w:jc w:val="left"/>
            </w:pPr>
            <w:r>
              <w:t xml:space="preserve">Si un municipio suspende el uso tras dos episodios, el valor sería 3.</w:t>
            </w:r>
          </w:p>
        </w:tc>
      </w:tr>
    </w:tbl>
    <w:p>
      <w:pPr>
        <w:pStyle w:val="TablaNota"/>
      </w:pPr>
      <w:r>
        <w:rPr>
          <w:i/>
          <w:iCs/>
        </w:rPr>
        <w:t xml:space="preserve">Nota.</w:t>
      </w:r>
      <w:r>
        <w:t xml:space="preserve"> </w:t>
      </w:r>
      <w:r>
        <w:t xml:space="preserve">Elaboración propia con las fichas bidireccionales. Se dibujan las relaciones de peso 2 o 3 que unen niveles contiguos sin trazos ambiguos. Las demás permanecen en la tabla de vínculos del escenario S2.</w:t>
      </w:r>
    </w:p>
    <w:p>
      <w:pPr>
        <w:pStyle w:val="BodyText"/>
      </w:pPr>
      <w:r>
        <w:t xml:space="preserve">El árbol de problemas inicial del equipo formulador se contrastó con los resultados estructurales. Coincide en el problema central. Difiere en tres puntos. La calibración no es la palanca independiente máxima. La latencia no es un polo estructural de la contradicción de fondo. Y la adopción institucional no es solo un efecto, porque retroalimenta a la fuente y a la calibración.</w:t>
      </w:r>
    </w:p>
    <w:p>
      <w:pPr>
        <w:pStyle w:val="BodyText"/>
      </w:pPr>
      <w:r>
        <w:t xml:space="preserve">El árbol no representa seis elementos.</w:t>
      </w:r>
    </w:p>
    <w:p>
      <w:pPr>
        <w:pStyle w:val="Compact"/>
        <w:numPr>
          <w:ilvl w:val="0"/>
          <w:numId w:val="1002"/>
        </w:numPr>
      </w:pPr>
      <w:r>
        <w:rPr>
          <w:b/>
          <w:bCs/>
        </w:rPr>
        <w:t xml:space="preserve">Bucles.</w:t>
      </w:r>
      <w:r>
        <w:t xml:space="preserve"> </w:t>
      </w:r>
      <w:r>
        <w:t xml:space="preserve">S2 contiene cuatro ciclos de dos vínculos. V15 retroalimenta a V05, V07, V09, V10 y V14.</w:t>
      </w:r>
    </w:p>
    <w:p>
      <w:pPr>
        <w:pStyle w:val="Compact"/>
        <w:numPr>
          <w:ilvl w:val="0"/>
          <w:numId w:val="1002"/>
        </w:numPr>
      </w:pPr>
      <w:r>
        <w:rPr>
          <w:b/>
          <w:bCs/>
        </w:rPr>
        <w:t xml:space="preserve">Variables fuera del tronco.</w:t>
      </w:r>
      <w:r>
        <w:t xml:space="preserve"> </w:t>
      </w:r>
      <w:r>
        <w:t xml:space="preserve">V04, V08, V09, V10 y V13 no se dibujan. V04 y V10 tienen relaciones de confianza baja o de peso 1 con V06. V08 y V13 no se vinculan con V06 en S2. V09 actúa sobre V10 y sobre V15.</w:t>
      </w:r>
    </w:p>
    <w:p>
      <w:pPr>
        <w:pStyle w:val="Compact"/>
        <w:numPr>
          <w:ilvl w:val="0"/>
          <w:numId w:val="1002"/>
        </w:numPr>
      </w:pPr>
      <w:r>
        <w:rPr>
          <w:b/>
          <w:bCs/>
        </w:rPr>
        <w:t xml:space="preserve">Variables latentes omitidas.</w:t>
      </w:r>
      <w:r>
        <w:t xml:space="preserve"> </w:t>
      </w:r>
      <w:r>
        <w:t xml:space="preserve">La distancia a la referencia, la edad del sensor, los episodios de humo y la precipitación no tienen identificador y pueden alterar las relaciones dibujadas.</w:t>
      </w:r>
    </w:p>
    <w:p>
      <w:pPr>
        <w:pStyle w:val="Compact"/>
        <w:numPr>
          <w:ilvl w:val="0"/>
          <w:numId w:val="1002"/>
        </w:numPr>
      </w:pPr>
      <w:r>
        <w:rPr>
          <w:b/>
          <w:bCs/>
        </w:rPr>
        <w:t xml:space="preserve">Marco rival de control en la fuente.</w:t>
      </w:r>
      <w:r>
        <w:t xml:space="preserve"> </w:t>
      </w:r>
      <w:r>
        <w:t xml:space="preserve">Su construcción exigiría otro problema central, la exposición, y ese árbol no se construyó. El gemelo predictivo incorpora la estimación previa de ese marco sin cambiar el árbol (A.10.3).</w:t>
      </w:r>
    </w:p>
    <w:p>
      <w:pPr>
        <w:pStyle w:val="Compact"/>
        <w:numPr>
          <w:ilvl w:val="0"/>
          <w:numId w:val="1002"/>
        </w:numPr>
      </w:pPr>
      <w:r>
        <w:rPr>
          <w:b/>
          <w:bCs/>
        </w:rPr>
        <w:t xml:space="preserve">Continuidad posterior al proyecto.</w:t>
      </w:r>
      <w:r>
        <w:t xml:space="preserve"> </w:t>
      </w:r>
      <w:r>
        <w:t xml:space="preserve">No existe una variable de continuidad en el modelo. Se trata en la sección 18 y en A.10.</w:t>
      </w:r>
    </w:p>
    <w:p>
      <w:pPr>
        <w:pStyle w:val="Compact"/>
        <w:numPr>
          <w:ilvl w:val="0"/>
          <w:numId w:val="1002"/>
        </w:numPr>
      </w:pPr>
      <w:r>
        <w:rPr>
          <w:b/>
          <w:bCs/>
        </w:rPr>
        <w:t xml:space="preserve">Morbilidad.</w:t>
      </w:r>
      <w:r>
        <w:t xml:space="preserve"> </w:t>
      </w:r>
      <w:r>
        <w:t xml:space="preserve">No existe variable de resultado en salud. Se declara como hipótesis y no como compromiso.</w:t>
      </w:r>
    </w:p>
    <w:bookmarkEnd w:id="66"/>
    <w:bookmarkStart w:id="73" w:name="X8c0e5999b4f082f0f81a7e3a244c2d7f84dead7"/>
    <w:p>
      <w:pPr>
        <w:pStyle w:val="Heading2"/>
      </w:pPr>
      <w:r>
        <w:t xml:space="preserve">A.10. Teoría del cambio, alternativas y condiciones de decisión</w:t>
      </w:r>
    </w:p>
    <w:bookmarkStart w:id="67" w:name="X8ddb525eda7c20b0fc32124607fab102e73c136"/>
    <w:p>
      <w:pPr>
        <w:pStyle w:val="Heading3"/>
      </w:pPr>
      <w:r>
        <w:t xml:space="preserve">A.10.1 Alternativas y condiciones de elección</w:t>
      </w:r>
    </w:p>
    <w:p>
      <w:pPr>
        <w:pStyle w:val="FirstParagraph"/>
      </w:pPr>
      <w:r>
        <w:t xml:space="preserve">El análisis evaluó seis alternativas con criterios registrados antes de comparar. La Tabla A.28 las relaciona con las cuatro de la sección 13. La alternativa 1 de esa sección, la red híbrida por tramos con custodia distribuida, corresponde a R4.</w:t>
      </w:r>
    </w:p>
    <w:p>
      <w:pPr>
        <w:pStyle w:val="TablaRotulo"/>
      </w:pPr>
      <w:bookmarkStart w:id="9028" w:name="rot_Tabla_A_28"/>
      <w:r>
        <w:rPr>
          <w:b/>
          <w:bCs/>
        </w:rPr>
        <w:t xml:space="preserve">Tabla A.28</w:t>
      </w:r>
      <w:bookmarkEnd w:id="9028"/>
    </w:p>
    <w:p>
      <w:pPr>
        <w:pStyle w:val="TablaTitulo"/>
      </w:pPr>
      <w:r>
        <w:rPr>
          <w:i/>
          <w:iCs/>
        </w:rPr>
        <w:t xml:space="preserve">Alternativas del análisis y su correspondencia con la sección 13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4"/>
        <w:gridCol w:w="4397"/>
        <w:gridCol w:w="4313"/>
      </w:tblGrid>
      <w:tr>
        <w:trPr>
          <w:cantSplit/>
          <w:tblHeader w:val="true"/>
          <w:tblHeader/>
        </w:trPr>
        <w:tc>
          <w:tcPr>
            <w:tcW w:w="1244" w:type="dxa"/>
            <w:tcBorders>
              <w:bottom w:val="single" w:sz="12" w:space="0" w:color="6699CC"/>
            </w:tcBorders>
            <w:shd w:val="clear" w:color="auto" w:fill="B9D9EB"/>
          </w:tcPr>
          <w:p>
            <w:pPr>
              <w:pStyle w:val="Tabla9"/>
              <w:keepNext/>
              <w:jc w:val="left"/>
            </w:pPr>
            <w:r>
              <w:rPr>
                <w:b/>
              </w:rPr>
              <w:t xml:space="preserve">Código</w:t>
            </w:r>
          </w:p>
        </w:tc>
        <w:tc>
          <w:tcPr>
            <w:tcW w:w="4397" w:type="dxa"/>
            <w:tcBorders>
              <w:bottom w:val="single" w:sz="12" w:space="0" w:color="6699CC"/>
            </w:tcBorders>
            <w:shd w:val="clear" w:color="auto" w:fill="B9D9EB"/>
          </w:tcPr>
          <w:p>
            <w:pPr>
              <w:pStyle w:val="Tabla9"/>
              <w:keepNext/>
              <w:jc w:val="left"/>
            </w:pPr>
            <w:r>
              <w:rPr>
                <w:b/>
              </w:rPr>
              <w:t xml:space="preserve">Alternativa</w:t>
            </w:r>
          </w:p>
        </w:tc>
        <w:tc>
          <w:tcPr>
            <w:tcW w:w="4313" w:type="dxa"/>
            <w:tcBorders>
              <w:bottom w:val="single" w:sz="12" w:space="0" w:color="6699CC"/>
            </w:tcBorders>
            <w:shd w:val="clear" w:color="auto" w:fill="B9D9EB"/>
          </w:tcPr>
          <w:p>
            <w:pPr>
              <w:pStyle w:val="Tabla9"/>
              <w:keepNext/>
              <w:jc w:val="left"/>
            </w:pPr>
            <w:r>
              <w:rPr>
                <w:b/>
              </w:rPr>
              <w:t xml:space="preserve">Correspondencia con la sección 13</w:t>
            </w:r>
          </w:p>
        </w:tc>
      </w:tr>
      <w:tr>
        <w:trPr>
          <w:cantSplit/>
        </w:trPr>
        <w:tc>
          <w:tcPr>
            <w:tcW w:w="1244" w:type="dxa"/>
          </w:tcPr>
          <w:p>
            <w:pPr>
              <w:pStyle w:val="Tabla9"/>
              <w:jc w:val="left"/>
            </w:pPr>
            <w:r>
              <w:t xml:space="preserve">R0</w:t>
            </w:r>
          </w:p>
        </w:tc>
        <w:tc>
          <w:tcPr>
            <w:tcW w:w="4397" w:type="dxa"/>
          </w:tcPr>
          <w:p>
            <w:pPr>
              <w:pStyle w:val="Tabla9"/>
              <w:jc w:val="left"/>
            </w:pPr>
            <w:r>
              <w:t xml:space="preserve">Sin intervención: sensores aislados que transmiten hasta agotar batería o crédito</w:t>
            </w:r>
          </w:p>
        </w:tc>
        <w:tc>
          <w:tcPr>
            <w:tcW w:w="4313" w:type="dxa"/>
          </w:tcPr>
          <w:p>
            <w:pPr>
              <w:pStyle w:val="Tabla9"/>
              <w:jc w:val="left"/>
            </w:pPr>
            <w:r>
              <w:t xml:space="preserve">Alternativa 3, statu quo</w:t>
            </w:r>
          </w:p>
        </w:tc>
      </w:tr>
      <w:tr>
        <w:trPr>
          <w:cantSplit/>
        </w:trPr>
        <w:tc>
          <w:tcPr>
            <w:tcW w:w="1244" w:type="dxa"/>
            <w:shd w:val="clear" w:color="auto" w:fill="F7F7F7"/>
          </w:tcPr>
          <w:p>
            <w:pPr>
              <w:pStyle w:val="Tabla9"/>
              <w:jc w:val="left"/>
            </w:pPr>
            <w:r>
              <w:t xml:space="preserve">R1</w:t>
            </w:r>
          </w:p>
        </w:tc>
        <w:tc>
          <w:tcPr>
            <w:tcW w:w="4397" w:type="dxa"/>
            <w:shd w:val="clear" w:color="auto" w:fill="F7F7F7"/>
          </w:tcPr>
          <w:p>
            <w:pPr>
              <w:pStyle w:val="Tabla9"/>
              <w:jc w:val="left"/>
            </w:pPr>
            <w:r>
              <w:t xml:space="preserve">Estaciones fijas robustas con paneles solares y calibración manual trimestral</w:t>
            </w:r>
          </w:p>
        </w:tc>
        <w:tc>
          <w:tcPr>
            <w:tcW w:w="4313" w:type="dxa"/>
            <w:shd w:val="clear" w:color="auto" w:fill="F7F7F7"/>
          </w:tcPr>
          <w:p>
            <w:pPr>
              <w:pStyle w:val="Tabla9"/>
              <w:jc w:val="left"/>
            </w:pPr>
            <w:r>
              <w:t xml:space="preserve">Alternativa 4, estaciones fijas de referencia</w:t>
            </w:r>
          </w:p>
        </w:tc>
      </w:tr>
      <w:tr>
        <w:trPr>
          <w:cantSplit/>
        </w:trPr>
        <w:tc>
          <w:tcPr>
            <w:tcW w:w="1244" w:type="dxa"/>
          </w:tcPr>
          <w:p>
            <w:pPr>
              <w:pStyle w:val="Tabla9"/>
              <w:jc w:val="left"/>
            </w:pPr>
            <w:r>
              <w:t xml:space="preserve">R2</w:t>
            </w:r>
          </w:p>
        </w:tc>
        <w:tc>
          <w:tcPr>
            <w:tcW w:w="4397" w:type="dxa"/>
          </w:tcPr>
          <w:p>
            <w:pPr>
              <w:pStyle w:val="Tabla9"/>
              <w:jc w:val="left"/>
            </w:pPr>
            <w:r>
              <w:t xml:space="preserve">Malla de sensores con corrección centralizada en la nube</w:t>
            </w:r>
          </w:p>
        </w:tc>
        <w:tc>
          <w:tcPr>
            <w:tcW w:w="4313" w:type="dxa"/>
          </w:tcPr>
          <w:p>
            <w:pPr>
              <w:pStyle w:val="Tabla9"/>
              <w:jc w:val="left"/>
            </w:pPr>
            <w:r>
              <w:t xml:space="preserve">Alternativa 2, calibración centralizada en la nube</w:t>
            </w:r>
          </w:p>
        </w:tc>
      </w:tr>
      <w:tr>
        <w:trPr>
          <w:cantSplit/>
        </w:trPr>
        <w:tc>
          <w:tcPr>
            <w:tcW w:w="1244" w:type="dxa"/>
            <w:shd w:val="clear" w:color="auto" w:fill="F7F7F7"/>
          </w:tcPr>
          <w:p>
            <w:pPr>
              <w:pStyle w:val="Tabla9"/>
              <w:jc w:val="left"/>
            </w:pPr>
            <w:r>
              <w:t xml:space="preserve">R3</w:t>
            </w:r>
          </w:p>
        </w:tc>
        <w:tc>
          <w:tcPr>
            <w:tcW w:w="4397" w:type="dxa"/>
            <w:shd w:val="clear" w:color="auto" w:fill="F7F7F7"/>
          </w:tcPr>
          <w:p>
            <w:pPr>
              <w:pStyle w:val="Tabla9"/>
              <w:jc w:val="left"/>
            </w:pPr>
            <w:r>
              <w:t xml:space="preserve">Red híbrida con corrección local y transferencia a las alcaldías en el mes 25</w:t>
            </w:r>
          </w:p>
        </w:tc>
        <w:tc>
          <w:tcPr>
            <w:tcW w:w="4313" w:type="dxa"/>
            <w:shd w:val="clear" w:color="auto" w:fill="F7F7F7"/>
          </w:tcPr>
          <w:p>
            <w:pPr>
              <w:pStyle w:val="Tabla9"/>
              <w:jc w:val="left"/>
            </w:pPr>
            <w:r>
              <w:t xml:space="preserve">Variante de la alternativa 1 que supone un receptor público único</w:t>
            </w:r>
          </w:p>
        </w:tc>
      </w:tr>
      <w:tr>
        <w:trPr>
          <w:cantSplit/>
        </w:trPr>
        <w:tc>
          <w:tcPr>
            <w:tcW w:w="1244" w:type="dxa"/>
          </w:tcPr>
          <w:p>
            <w:pPr>
              <w:pStyle w:val="Tabla9"/>
              <w:jc w:val="left"/>
            </w:pPr>
            <w:r>
              <w:t xml:space="preserve">R4</w:t>
            </w:r>
          </w:p>
        </w:tc>
        <w:tc>
          <w:tcPr>
            <w:tcW w:w="4397" w:type="dxa"/>
          </w:tcPr>
          <w:p>
            <w:pPr>
              <w:pStyle w:val="Tabla9"/>
              <w:jc w:val="left"/>
            </w:pPr>
            <w:r>
              <w:t xml:space="preserve">La misma tecnología que R3, por tramos, con piloto de contraste y custodia distribuida</w:t>
            </w:r>
          </w:p>
        </w:tc>
        <w:tc>
          <w:tcPr>
            <w:tcW w:w="4313" w:type="dxa"/>
          </w:tcPr>
          <w:p>
            <w:pPr>
              <w:pStyle w:val="Tabla9"/>
              <w:jc w:val="left"/>
            </w:pPr>
            <w:r>
              <w:t xml:space="preserve">Alternativa 1, seleccionada</w:t>
            </w:r>
          </w:p>
        </w:tc>
      </w:tr>
      <w:tr>
        <w:trPr>
          <w:cantSplit/>
        </w:trPr>
        <w:tc>
          <w:tcPr>
            <w:tcW w:w="1244" w:type="dxa"/>
            <w:shd w:val="clear" w:color="auto" w:fill="F7F7F7"/>
          </w:tcPr>
          <w:p>
            <w:pPr>
              <w:pStyle w:val="Tabla9"/>
              <w:keepNext/>
              <w:jc w:val="left"/>
            </w:pPr>
            <w:r>
              <w:t xml:space="preserve">R5</w:t>
            </w:r>
          </w:p>
        </w:tc>
        <w:tc>
          <w:tcPr>
            <w:tcW w:w="4397" w:type="dxa"/>
            <w:shd w:val="clear" w:color="auto" w:fill="F7F7F7"/>
          </w:tcPr>
          <w:p>
            <w:pPr>
              <w:pStyle w:val="Tabla9"/>
              <w:keepNext/>
              <w:jc w:val="left"/>
            </w:pPr>
            <w:r>
              <w:t xml:space="preserve">Control del polvo en la fuente con medición de referencia mínima</w:t>
            </w:r>
          </w:p>
        </w:tc>
        <w:tc>
          <w:tcPr>
            <w:tcW w:w="4313" w:type="dxa"/>
            <w:shd w:val="clear" w:color="auto" w:fill="F7F7F7"/>
          </w:tcPr>
          <w:p>
            <w:pPr>
              <w:pStyle w:val="Tabla9"/>
              <w:keepNext/>
              <w:jc w:val="left"/>
            </w:pPr>
            <w:r>
              <w:t xml:space="preserve">Marco rival (A.2); no se evalúa con datos. La estimación previa se incorpora como módulo (A.10.3)</w:t>
            </w:r>
          </w:p>
        </w:tc>
      </w:tr>
    </w:tbl>
    <w:p>
      <w:pPr>
        <w:pStyle w:val="TablaNota"/>
      </w:pPr>
      <w:r>
        <w:rPr>
          <w:i/>
          <w:iCs/>
        </w:rPr>
        <w:t xml:space="preserve">Nota.</w:t>
      </w:r>
      <w:r>
        <w:t xml:space="preserve"> </w:t>
      </w:r>
      <w:r>
        <w:t xml:space="preserve">Elaboración propia con la sección 13 del Anexo 2.</w:t>
      </w:r>
    </w:p>
    <w:p>
      <w:pPr>
        <w:pStyle w:val="BodyText"/>
      </w:pPr>
      <w:r>
        <w:t xml:space="preserve">La Tabla A.29 compara las alternativas sin agregar los criterios. La matriz describe propiedades de diseño y no resultados medidos. Por eso la sección 13 complementa este análisis con una matriz ponderada de 14 criterios y su sensibilidad. La elección de R4 no depende de ese ponderador.</w:t>
      </w:r>
    </w:p>
    <w:p>
      <w:pPr>
        <w:pStyle w:val="TablaRotulo"/>
      </w:pPr>
      <w:bookmarkStart w:id="9029" w:name="rot_Tabla_A_29"/>
      <w:r>
        <w:rPr>
          <w:b/>
          <w:bCs/>
        </w:rPr>
        <w:t xml:space="preserve">Tabla A.29</w:t>
      </w:r>
      <w:bookmarkEnd w:id="9029"/>
    </w:p>
    <w:p>
      <w:pPr>
        <w:pStyle w:val="TablaTitulo"/>
      </w:pPr>
      <w:r>
        <w:rPr>
          <w:i/>
          <w:iCs/>
        </w:rPr>
        <w:t xml:space="preserve">Matriz de compensaciones sin agregación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2259"/>
        <w:gridCol w:w="2258"/>
        <w:gridCol w:w="1924"/>
        <w:gridCol w:w="2008"/>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Alternativa</w:t>
            </w:r>
          </w:p>
        </w:tc>
        <w:tc>
          <w:tcPr>
            <w:tcW w:w="2259" w:type="dxa"/>
            <w:tcBorders>
              <w:bottom w:val="single" w:sz="12" w:space="0" w:color="6699CC"/>
            </w:tcBorders>
            <w:shd w:val="clear" w:color="auto" w:fill="B9D9EB"/>
          </w:tcPr>
          <w:p>
            <w:pPr>
              <w:pStyle w:val="Tabla9"/>
              <w:keepNext/>
              <w:jc w:val="left"/>
            </w:pPr>
            <w:r>
              <w:rPr>
                <w:b/>
              </w:rPr>
              <w:t xml:space="preserve">Verificabilidad de la medición</w:t>
            </w:r>
          </w:p>
        </w:tc>
        <w:tc>
          <w:tcPr>
            <w:tcW w:w="2258" w:type="dxa"/>
            <w:tcBorders>
              <w:bottom w:val="single" w:sz="12" w:space="0" w:color="6699CC"/>
            </w:tcBorders>
            <w:shd w:val="clear" w:color="auto" w:fill="B9D9EB"/>
          </w:tcPr>
          <w:p>
            <w:pPr>
              <w:pStyle w:val="Tabla9"/>
              <w:keepNext/>
              <w:jc w:val="left"/>
            </w:pPr>
            <w:r>
              <w:rPr>
                <w:b/>
              </w:rPr>
              <w:t xml:space="preserve">Operación sin infraestructura estable</w:t>
            </w:r>
          </w:p>
        </w:tc>
        <w:tc>
          <w:tcPr>
            <w:tcW w:w="1924" w:type="dxa"/>
            <w:tcBorders>
              <w:bottom w:val="single" w:sz="12" w:space="0" w:color="6699CC"/>
            </w:tcBorders>
            <w:shd w:val="clear" w:color="auto" w:fill="B9D9EB"/>
          </w:tcPr>
          <w:p>
            <w:pPr>
              <w:pStyle w:val="Tabla9"/>
              <w:keepNext/>
              <w:jc w:val="left"/>
            </w:pPr>
            <w:r>
              <w:rPr>
                <w:b/>
              </w:rPr>
              <w:t xml:space="preserve">Continuidad sin receptor único</w:t>
            </w:r>
          </w:p>
        </w:tc>
        <w:tc>
          <w:tcPr>
            <w:tcW w:w="2008" w:type="dxa"/>
            <w:tcBorders>
              <w:bottom w:val="single" w:sz="12" w:space="0" w:color="6699CC"/>
            </w:tcBorders>
            <w:shd w:val="clear" w:color="auto" w:fill="B9D9EB"/>
          </w:tcPr>
          <w:p>
            <w:pPr>
              <w:pStyle w:val="Tabla9"/>
              <w:keepNext/>
              <w:jc w:val="left"/>
            </w:pPr>
            <w:r>
              <w:rPr>
                <w:b/>
              </w:rPr>
              <w:t xml:space="preserve">Corregibilidad</w:t>
            </w:r>
          </w:p>
        </w:tc>
      </w:tr>
      <w:tr>
        <w:trPr>
          <w:cantSplit/>
        </w:trPr>
        <w:tc>
          <w:tcPr>
            <w:tcW w:w="1505" w:type="dxa"/>
          </w:tcPr>
          <w:p>
            <w:pPr>
              <w:pStyle w:val="Tabla9"/>
              <w:jc w:val="left"/>
            </w:pPr>
            <w:r>
              <w:t xml:space="preserve">R0</w:t>
            </w:r>
          </w:p>
        </w:tc>
        <w:tc>
          <w:tcPr>
            <w:tcW w:w="2259" w:type="dxa"/>
          </w:tcPr>
          <w:p>
            <w:pPr>
              <w:pStyle w:val="Tabla9"/>
              <w:jc w:val="left"/>
            </w:pPr>
            <w:r>
              <w:t xml:space="preserve">Sin referencia ni contraste</w:t>
            </w:r>
          </w:p>
        </w:tc>
        <w:tc>
          <w:tcPr>
            <w:tcW w:w="2258" w:type="dxa"/>
          </w:tcPr>
          <w:p>
            <w:pPr>
              <w:pStyle w:val="Tabla9"/>
              <w:jc w:val="left"/>
            </w:pPr>
            <w:r>
              <w:t xml:space="preserve">Sin corrección; sensores aislados</w:t>
            </w:r>
          </w:p>
        </w:tc>
        <w:tc>
          <w:tcPr>
            <w:tcW w:w="1924" w:type="dxa"/>
          </w:tcPr>
          <w:p>
            <w:pPr>
              <w:pStyle w:val="Tabla9"/>
              <w:jc w:val="left"/>
            </w:pPr>
            <w:r>
              <w:t xml:space="preserve">Sin servicio que sostener</w:t>
            </w:r>
          </w:p>
        </w:tc>
        <w:tc>
          <w:tcPr>
            <w:tcW w:w="2008" w:type="dxa"/>
          </w:tcPr>
          <w:p>
            <w:pPr>
              <w:pStyle w:val="Tabla9"/>
              <w:jc w:val="left"/>
            </w:pPr>
            <w:r>
              <w:t xml:space="preserve">Sin decisión que corregir</w:t>
            </w:r>
          </w:p>
        </w:tc>
      </w:tr>
      <w:tr>
        <w:trPr>
          <w:cantSplit/>
        </w:trPr>
        <w:tc>
          <w:tcPr>
            <w:tcW w:w="1505" w:type="dxa"/>
            <w:shd w:val="clear" w:color="auto" w:fill="F7F7F7"/>
          </w:tcPr>
          <w:p>
            <w:pPr>
              <w:pStyle w:val="Tabla9"/>
              <w:jc w:val="left"/>
            </w:pPr>
            <w:r>
              <w:t xml:space="preserve">R1</w:t>
            </w:r>
          </w:p>
        </w:tc>
        <w:tc>
          <w:tcPr>
            <w:tcW w:w="2259" w:type="dxa"/>
            <w:shd w:val="clear" w:color="auto" w:fill="F7F7F7"/>
          </w:tcPr>
          <w:p>
            <w:pPr>
              <w:pStyle w:val="Tabla9"/>
              <w:jc w:val="left"/>
            </w:pPr>
            <w:r>
              <w:t xml:space="preserve">Calibración manual trimestral; sin contraste previsto</w:t>
            </w:r>
          </w:p>
        </w:tc>
        <w:tc>
          <w:tcPr>
            <w:tcW w:w="2258" w:type="dxa"/>
            <w:shd w:val="clear" w:color="auto" w:fill="F7F7F7"/>
          </w:tcPr>
          <w:p>
            <w:pPr>
              <w:pStyle w:val="Tabla9"/>
              <w:jc w:val="left"/>
            </w:pPr>
            <w:r>
              <w:t xml:space="preserve">Paneles y radioenlaces propios</w:t>
            </w:r>
          </w:p>
        </w:tc>
        <w:tc>
          <w:tcPr>
            <w:tcW w:w="1924" w:type="dxa"/>
            <w:shd w:val="clear" w:color="auto" w:fill="F7F7F7"/>
          </w:tcPr>
          <w:p>
            <w:pPr>
              <w:pStyle w:val="Tabla9"/>
              <w:jc w:val="left"/>
            </w:pPr>
            <w:r>
              <w:t xml:space="preserve">Operación costosa; custodio no definido</w:t>
            </w:r>
          </w:p>
        </w:tc>
        <w:tc>
          <w:tcPr>
            <w:tcW w:w="2008" w:type="dxa"/>
            <w:shd w:val="clear" w:color="auto" w:fill="F7F7F7"/>
          </w:tcPr>
          <w:p>
            <w:pPr>
              <w:pStyle w:val="Tabla9"/>
              <w:jc w:val="left"/>
            </w:pPr>
            <w:r>
              <w:t xml:space="preserve">Compra en bloque</w:t>
            </w:r>
          </w:p>
        </w:tc>
      </w:tr>
      <w:tr>
        <w:trPr>
          <w:cantSplit/>
        </w:trPr>
        <w:tc>
          <w:tcPr>
            <w:tcW w:w="1505" w:type="dxa"/>
          </w:tcPr>
          <w:p>
            <w:pPr>
              <w:pStyle w:val="Tabla9"/>
              <w:jc w:val="left"/>
            </w:pPr>
            <w:r>
              <w:t xml:space="preserve">R2</w:t>
            </w:r>
          </w:p>
        </w:tc>
        <w:tc>
          <w:tcPr>
            <w:tcW w:w="2259" w:type="dxa"/>
          </w:tcPr>
          <w:p>
            <w:pPr>
              <w:pStyle w:val="Tabla9"/>
              <w:jc w:val="left"/>
            </w:pPr>
            <w:r>
              <w:t xml:space="preserve">Corrección central con datos continuos</w:t>
            </w:r>
          </w:p>
        </w:tc>
        <w:tc>
          <w:tcPr>
            <w:tcW w:w="2258" w:type="dxa"/>
          </w:tcPr>
          <w:p>
            <w:pPr>
              <w:pStyle w:val="Tabla9"/>
              <w:jc w:val="left"/>
            </w:pPr>
            <w:r>
              <w:t xml:space="preserve">Depende del enlace continuo</w:t>
            </w:r>
          </w:p>
        </w:tc>
        <w:tc>
          <w:tcPr>
            <w:tcW w:w="1924" w:type="dxa"/>
          </w:tcPr>
          <w:p>
            <w:pPr>
              <w:pStyle w:val="Tabla9"/>
              <w:jc w:val="left"/>
            </w:pPr>
            <w:r>
              <w:t xml:space="preserve">Depende de contratos de nube; custodio no definido</w:t>
            </w:r>
          </w:p>
        </w:tc>
        <w:tc>
          <w:tcPr>
            <w:tcW w:w="2008" w:type="dxa"/>
          </w:tcPr>
          <w:p>
            <w:pPr>
              <w:pStyle w:val="Tabla9"/>
              <w:jc w:val="left"/>
            </w:pPr>
            <w:r>
              <w:t xml:space="preserve">Compra en bloque</w:t>
            </w:r>
          </w:p>
        </w:tc>
      </w:tr>
      <w:tr>
        <w:trPr>
          <w:cantSplit/>
        </w:trPr>
        <w:tc>
          <w:tcPr>
            <w:tcW w:w="1505" w:type="dxa"/>
            <w:shd w:val="clear" w:color="auto" w:fill="F7F7F7"/>
          </w:tcPr>
          <w:p>
            <w:pPr>
              <w:pStyle w:val="Tabla9"/>
              <w:jc w:val="left"/>
            </w:pPr>
            <w:r>
              <w:t xml:space="preserve">R3</w:t>
            </w:r>
          </w:p>
        </w:tc>
        <w:tc>
          <w:tcPr>
            <w:tcW w:w="2259" w:type="dxa"/>
            <w:shd w:val="clear" w:color="auto" w:fill="F7F7F7"/>
          </w:tcPr>
          <w:p>
            <w:pPr>
              <w:pStyle w:val="Tabla9"/>
              <w:jc w:val="left"/>
            </w:pPr>
            <w:r>
              <w:t xml:space="preserve">Corrección local sin diseño de contraste</w:t>
            </w:r>
          </w:p>
        </w:tc>
        <w:tc>
          <w:tcPr>
            <w:tcW w:w="2258" w:type="dxa"/>
            <w:shd w:val="clear" w:color="auto" w:fill="F7F7F7"/>
          </w:tcPr>
          <w:p>
            <w:pPr>
              <w:pStyle w:val="Tabla9"/>
              <w:jc w:val="left"/>
            </w:pPr>
            <w:r>
              <w:t xml:space="preserve">Transmisión por eventos; enlace celular sin alterno</w:t>
            </w:r>
          </w:p>
        </w:tc>
        <w:tc>
          <w:tcPr>
            <w:tcW w:w="1924" w:type="dxa"/>
            <w:shd w:val="clear" w:color="auto" w:fill="F7F7F7"/>
          </w:tcPr>
          <w:p>
            <w:pPr>
              <w:pStyle w:val="Tabla9"/>
              <w:jc w:val="left"/>
            </w:pPr>
            <w:r>
              <w:t xml:space="preserve">Receptor público único supuesto</w:t>
            </w:r>
          </w:p>
        </w:tc>
        <w:tc>
          <w:tcPr>
            <w:tcW w:w="2008" w:type="dxa"/>
            <w:shd w:val="clear" w:color="auto" w:fill="F7F7F7"/>
          </w:tcPr>
          <w:p>
            <w:pPr>
              <w:pStyle w:val="Tabla9"/>
              <w:jc w:val="left"/>
            </w:pPr>
            <w:r>
              <w:t xml:space="preserve">Compromiso total anticipado</w:t>
            </w:r>
          </w:p>
        </w:tc>
      </w:tr>
      <w:tr>
        <w:trPr>
          <w:cantSplit/>
        </w:trPr>
        <w:tc>
          <w:tcPr>
            <w:tcW w:w="1505" w:type="dxa"/>
          </w:tcPr>
          <w:p>
            <w:pPr>
              <w:pStyle w:val="Tabla9"/>
              <w:jc w:val="left"/>
            </w:pPr>
            <w:r>
              <w:t xml:space="preserve">R4</w:t>
            </w:r>
          </w:p>
        </w:tc>
        <w:tc>
          <w:tcPr>
            <w:tcW w:w="2259" w:type="dxa"/>
          </w:tcPr>
          <w:p>
            <w:pPr>
              <w:pStyle w:val="Tabla9"/>
              <w:jc w:val="left"/>
            </w:pPr>
            <w:r>
              <w:t xml:space="preserve">Referencia gravimétrica, colocalización y validación fuera de muestra</w:t>
            </w:r>
          </w:p>
        </w:tc>
        <w:tc>
          <w:tcPr>
            <w:tcW w:w="2258" w:type="dxa"/>
          </w:tcPr>
          <w:p>
            <w:pPr>
              <w:pStyle w:val="Tabla9"/>
              <w:jc w:val="left"/>
            </w:pPr>
            <w:r>
              <w:t xml:space="preserve">El piloto verifica energía y enlace antes de cada tramo; enlace satelital de respaldo</w:t>
            </w:r>
          </w:p>
        </w:tc>
        <w:tc>
          <w:tcPr>
            <w:tcW w:w="1924" w:type="dxa"/>
          </w:tcPr>
          <w:p>
            <w:pPr>
              <w:pStyle w:val="Tabla9"/>
              <w:jc w:val="left"/>
            </w:pPr>
            <w:r>
              <w:t xml:space="preserve">Custodia por tramos y cláusula de apertura</w:t>
            </w:r>
          </w:p>
        </w:tc>
        <w:tc>
          <w:tcPr>
            <w:tcW w:w="2008" w:type="dxa"/>
          </w:tcPr>
          <w:p>
            <w:pPr>
              <w:pStyle w:val="Tabla9"/>
              <w:jc w:val="left"/>
            </w:pPr>
            <w:r>
              <w:t xml:space="preserve">Decisión de continuar o detener en cada compuerta</w:t>
            </w:r>
          </w:p>
        </w:tc>
      </w:tr>
      <w:tr>
        <w:trPr>
          <w:cantSplit/>
        </w:trPr>
        <w:tc>
          <w:tcPr>
            <w:tcW w:w="1505" w:type="dxa"/>
            <w:shd w:val="clear" w:color="auto" w:fill="F7F7F7"/>
          </w:tcPr>
          <w:p>
            <w:pPr>
              <w:pStyle w:val="Tabla9"/>
              <w:keepNext/>
              <w:jc w:val="left"/>
            </w:pPr>
            <w:r>
              <w:t xml:space="preserve">R5</w:t>
            </w:r>
          </w:p>
        </w:tc>
        <w:tc>
          <w:tcPr>
            <w:tcW w:w="2259" w:type="dxa"/>
            <w:shd w:val="clear" w:color="auto" w:fill="F7F7F7"/>
          </w:tcPr>
          <w:p>
            <w:pPr>
              <w:pStyle w:val="Tabla9"/>
              <w:keepNext/>
              <w:jc w:val="left"/>
            </w:pPr>
            <w:r>
              <w:t xml:space="preserve">No mide el error del sensor; mide exposición con referencia mínima</w:t>
            </w:r>
          </w:p>
        </w:tc>
        <w:tc>
          <w:tcPr>
            <w:tcW w:w="2258" w:type="dxa"/>
            <w:shd w:val="clear" w:color="auto" w:fill="F7F7F7"/>
          </w:tcPr>
          <w:p>
            <w:pPr>
              <w:pStyle w:val="Tabla9"/>
              <w:keepNext/>
              <w:jc w:val="left"/>
            </w:pPr>
            <w:r>
              <w:t xml:space="preserve">Poca electrónica; depende de la maquinaria</w:t>
            </w:r>
          </w:p>
        </w:tc>
        <w:tc>
          <w:tcPr>
            <w:tcW w:w="1924" w:type="dxa"/>
            <w:shd w:val="clear" w:color="auto" w:fill="F7F7F7"/>
          </w:tcPr>
          <w:p>
            <w:pPr>
              <w:pStyle w:val="Tabla9"/>
              <w:keepNext/>
              <w:jc w:val="left"/>
            </w:pPr>
            <w:r>
              <w:t xml:space="preserve">Operación por contratistas; custodio por definir</w:t>
            </w:r>
          </w:p>
        </w:tc>
        <w:tc>
          <w:tcPr>
            <w:tcW w:w="2008" w:type="dxa"/>
            <w:shd w:val="clear" w:color="auto" w:fill="F7F7F7"/>
          </w:tcPr>
          <w:p>
            <w:pPr>
              <w:pStyle w:val="Tabla9"/>
              <w:keepNext/>
              <w:jc w:val="left"/>
            </w:pPr>
            <w:r>
              <w:t xml:space="preserve">Reversible</w:t>
            </w:r>
          </w:p>
        </w:tc>
      </w:tr>
    </w:tbl>
    <w:p>
      <w:pPr>
        <w:pStyle w:val="TablaNota"/>
      </w:pPr>
      <w:r>
        <w:rPr>
          <w:i/>
          <w:iCs/>
        </w:rPr>
        <w:t xml:space="preserve">Nota.</w:t>
      </w:r>
      <w:r>
        <w:t xml:space="preserve"> </w:t>
      </w:r>
      <w:r>
        <w:t xml:space="preserve">Elaboración propia. La matriz no produce un ganador por sí sola, porque ninguna alternativa domina a otra en todos los criterios.</w:t>
      </w:r>
    </w:p>
    <w:p>
      <w:pPr>
        <w:pStyle w:val="BodyText"/>
      </w:pPr>
      <w:r>
        <w:t xml:space="preserve">No se confirma ninguna relación de dominancia entre las alternativas. R4 no empeora a R3 en verificabilidad, operación, continuidad ni corregibilidad por construcción del diseño. El costo del piloto y de la gobernanza se incorpora al presupuesto de la sección 28, dentro del tope de la convocatoria. Cuatro condiciones determinan cuándo cambia la elección.</w:t>
      </w:r>
    </w:p>
    <w:p>
      <w:pPr>
        <w:pStyle w:val="Compact"/>
        <w:numPr>
          <w:ilvl w:val="0"/>
          <w:numId w:val="1003"/>
        </w:numPr>
      </w:pPr>
      <w:r>
        <w:t xml:space="preserve">R4 se prefiere a R3 si el costo adicional del piloto, de la gobernanza y de los tramos cabe en el tope. Debe cumplirse además que la continuidad bajo custodia distribuida no sea menos probable que bajo un receptor único.</w:t>
      </w:r>
    </w:p>
    <w:p>
      <w:pPr>
        <w:pStyle w:val="Compact"/>
        <w:numPr>
          <w:ilvl w:val="0"/>
          <w:numId w:val="1003"/>
        </w:numPr>
      </w:pPr>
      <w:r>
        <w:t xml:space="preserve">R3 se prefiere a R4 si, antes de la firma, cada componente cuenta con una entidad territorial con compromiso presupuestal vinculante y competencia jurídica documentada.</w:t>
      </w:r>
    </w:p>
    <w:p>
      <w:pPr>
        <w:pStyle w:val="Compact"/>
        <w:numPr>
          <w:ilvl w:val="0"/>
          <w:numId w:val="1003"/>
        </w:numPr>
      </w:pPr>
      <w:r>
        <w:t xml:space="preserve">R5 se combina con R4 si la evidencia de emisión en la fuente muestra que la mayor parte de la exposición es controlable. Esa evidencia no existe todavía. Las campañas del laboratorio la producirán para los eventos medidos.</w:t>
      </w:r>
    </w:p>
    <w:p>
      <w:pPr>
        <w:pStyle w:val="Compact"/>
        <w:numPr>
          <w:ilvl w:val="0"/>
          <w:numId w:val="1003"/>
        </w:numPr>
      </w:pPr>
      <w:r>
        <w:t xml:space="preserve">R0 solo se admite si el financiador no acepta R3 ni R4.</w:t>
      </w:r>
    </w:p>
    <w:bookmarkEnd w:id="67"/>
    <w:bookmarkStart w:id="71" w:name="a.10.2-teoría-del-cambio-por-componente"/>
    <w:p>
      <w:pPr>
        <w:pStyle w:val="Heading3"/>
      </w:pPr>
      <w:r>
        <w:t xml:space="preserve">A.10.2 Teoría del cambio por componente</w:t>
      </w:r>
    </w:p>
    <w:p>
      <w:pPr>
        <w:pStyle w:val="FirstParagraph"/>
      </w:pPr>
      <w:r>
        <w:t xml:space="preserve">La teoría del cambio es anidada. Tiene una versión ejecutiva y una cadena por componente (Funnell y Rogers, 2011). La parte de medición es de dominio complicado y la parte de adopción y custodia es de dominio complejo. Por eso cada componente revisa sus supuestos de manera periódica. La Figura A.7 muestra las cuatro cadenas: medición, alertas y adopción, custodia y predicción. Los rombos son los seis supuestos críticos.</w:t>
      </w:r>
    </w:p>
    <w:p>
      <w:pPr>
        <w:pStyle w:val="FiguraRotulo"/>
      </w:pPr>
      <w:bookmarkStart w:id="9038" w:name="rot_Figura_A_7"/>
      <w:r>
        <w:rPr>
          <w:b/>
          <w:bCs/>
        </w:rPr>
        <w:t xml:space="preserve">Figura A.7</w:t>
      </w:r>
      <w:bookmarkEnd w:id="9038"/>
    </w:p>
    <w:p>
      <w:pPr>
        <w:pStyle w:val="FiguraTitulo"/>
      </w:pPr>
      <w:r>
        <w:rPr>
          <w:i/>
          <w:iCs/>
        </w:rPr>
        <w:t xml:space="preserve">Cuatro cadenas llevan de los productos al uso y a la continuidad, y el proyecto se compromete hasta los resultados</w:t>
      </w:r>
    </w:p>
    <w:p>
      <w:pPr>
        <w:pStyle w:val="BodyText"/>
      </w:pPr>
      <w:r>
        <w:drawing>
          <wp:inline>
            <wp:extent cx="5579999" cy="5245199"/>
            <wp:effectExtent b="0" l="0" r="0" t="0"/>
            <wp:docPr descr="" title="" id="69" name="Picture"/>
            <a:graphic>
              <a:graphicData uri="http://schemas.openxmlformats.org/drawingml/2006/picture">
                <pic:pic>
                  <pic:nvPicPr>
                    <pic:cNvPr descr="/tmp/claude-0/-home-user-docs/8ca5c040-2adb-56b3-8e64-05d4e7e569ed/scratchpad/a2/figs/out/cA_f07.png" id="70" name="Picture"/>
                    <pic:cNvPicPr>
                      <a:picLocks noChangeArrowheads="1" noChangeAspect="1"/>
                    </pic:cNvPicPr>
                  </pic:nvPicPr>
                  <pic:blipFill>
                    <a:blip r:embed="rId68"/>
                    <a:stretch>
                      <a:fillRect/>
                    </a:stretch>
                  </pic:blipFill>
                  <pic:spPr bwMode="auto">
                    <a:xfrm>
                      <a:off x="0" y="0"/>
                      <a:ext cx="5579999" cy="5245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secciones 12, 14 y 17 del Anexo 2. R1 a R7 son los resultados al mes 24 e I1 e I2 los impactos a 12 meses del cierre. SC-1 a SC-6 son los supuestos críticos de la Tabla A.30. La flecha discontinua indica que el uso institucional justifica la custodia. Software: Python 3 y matplotlib.</w:t>
      </w:r>
    </w:p>
    <w:p>
      <w:pPr>
        <w:pStyle w:val="BodyText"/>
      </w:pPr>
      <w:r>
        <w:t xml:space="preserve">La línea discontinua vertical de la figura es el techo de rendición de cuentas. Los productos y los resultados R1 a R7 quedan bajo el techo: son responsabilidad del proyecto. Los impactos I1 e I2 quedan sobre el techo, porque dependen de decisiones de los consejos y de las entidades custodias. El proyecto contribuye a ellos y fija metas con esa condición, como establece la sección 17.</w:t>
      </w:r>
    </w:p>
    <w:p>
      <w:pPr>
        <w:pStyle w:val="BodyText"/>
      </w:pPr>
      <w:r>
        <w:t xml:space="preserve">Cada supuesto crítico tiene un mecanismo y una verificación dentro del proyecto. La Tabla A.30 los presenta. Los cuatro primeros se verifican con criterios que las compuertas C1 y C2 ya aplican antes de liberar cada compra. Los dos últimos se verifican con los hitos H10 y H11, que no liberan compras.</w:t>
      </w:r>
    </w:p>
    <w:p>
      <w:pPr>
        <w:pStyle w:val="TablaRotulo"/>
      </w:pPr>
      <w:bookmarkStart w:id="9030" w:name="rot_Tabla_A_30"/>
      <w:r>
        <w:rPr>
          <w:b/>
          <w:bCs/>
        </w:rPr>
        <w:t xml:space="preserve">Tabla A.30</w:t>
      </w:r>
      <w:bookmarkEnd w:id="9030"/>
    </w:p>
    <w:p>
      <w:pPr>
        <w:pStyle w:val="TablaTitulo"/>
      </w:pPr>
      <w:r>
        <w:rPr>
          <w:i/>
          <w:iCs/>
        </w:rPr>
        <w:t xml:space="preserve">Supuestos críticos de la teoría del cambio y su verificación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0"/>
        <w:gridCol w:w="2008"/>
        <w:gridCol w:w="2175"/>
        <w:gridCol w:w="2008"/>
        <w:gridCol w:w="1923"/>
      </w:tblGrid>
      <w:tr>
        <w:trPr>
          <w:cantSplit/>
          <w:tblHeader w:val="true"/>
          <w:tblHeader/>
        </w:trPr>
        <w:tc>
          <w:tcPr>
            <w:tcW w:w="1840" w:type="dxa"/>
            <w:tcBorders>
              <w:bottom w:val="single" w:sz="12" w:space="0" w:color="6699CC"/>
            </w:tcBorders>
            <w:shd w:val="clear" w:color="auto" w:fill="B9D9EB"/>
          </w:tcPr>
          <w:p>
            <w:pPr>
              <w:pStyle w:val="Tabla9"/>
              <w:keepNext/>
              <w:jc w:val="left"/>
            </w:pPr>
            <w:r>
              <w:rPr>
                <w:b/>
              </w:rPr>
              <w:t xml:space="preserve">Supuesto</w:t>
            </w:r>
          </w:p>
        </w:tc>
        <w:tc>
          <w:tcPr>
            <w:tcW w:w="2008" w:type="dxa"/>
            <w:tcBorders>
              <w:bottom w:val="single" w:sz="12" w:space="0" w:color="6699CC"/>
            </w:tcBorders>
            <w:shd w:val="clear" w:color="auto" w:fill="B9D9EB"/>
          </w:tcPr>
          <w:p>
            <w:pPr>
              <w:pStyle w:val="Tabla9"/>
              <w:keepNext/>
              <w:jc w:val="left"/>
            </w:pPr>
            <w:r>
              <w:rPr>
                <w:b/>
              </w:rPr>
              <w:t xml:space="preserve">Si</w:t>
            </w:r>
          </w:p>
        </w:tc>
        <w:tc>
          <w:tcPr>
            <w:tcW w:w="2175" w:type="dxa"/>
            <w:tcBorders>
              <w:bottom w:val="single" w:sz="12" w:space="0" w:color="6699CC"/>
            </w:tcBorders>
            <w:shd w:val="clear" w:color="auto" w:fill="B9D9EB"/>
          </w:tcPr>
          <w:p>
            <w:pPr>
              <w:pStyle w:val="Tabla9"/>
              <w:keepNext/>
              <w:jc w:val="left"/>
            </w:pPr>
            <w:r>
              <w:rPr>
                <w:b/>
              </w:rPr>
              <w:t xml:space="preserve">Entonces</w:t>
            </w:r>
          </w:p>
        </w:tc>
        <w:tc>
          <w:tcPr>
            <w:tcW w:w="2008" w:type="dxa"/>
            <w:tcBorders>
              <w:bottom w:val="single" w:sz="12" w:space="0" w:color="6699CC"/>
            </w:tcBorders>
            <w:shd w:val="clear" w:color="auto" w:fill="B9D9EB"/>
          </w:tcPr>
          <w:p>
            <w:pPr>
              <w:pStyle w:val="Tabla9"/>
              <w:keepNext/>
              <w:jc w:val="left"/>
            </w:pPr>
            <w:r>
              <w:rPr>
                <w:b/>
              </w:rPr>
              <w:t xml:space="preserve">Porque</w:t>
            </w:r>
          </w:p>
        </w:tc>
        <w:tc>
          <w:tcPr>
            <w:tcW w:w="1923" w:type="dxa"/>
            <w:tcBorders>
              <w:bottom w:val="single" w:sz="12" w:space="0" w:color="6699CC"/>
            </w:tcBorders>
            <w:shd w:val="clear" w:color="auto" w:fill="B9D9EB"/>
          </w:tcPr>
          <w:p>
            <w:pPr>
              <w:pStyle w:val="Tabla9"/>
              <w:keepNext/>
              <w:jc w:val="left"/>
            </w:pPr>
            <w:r>
              <w:rPr>
                <w:b/>
              </w:rPr>
              <w:t xml:space="preserve">Verificación</w:t>
            </w:r>
          </w:p>
        </w:tc>
      </w:tr>
      <w:tr>
        <w:trPr>
          <w:cantSplit/>
        </w:trPr>
        <w:tc>
          <w:tcPr>
            <w:tcW w:w="1840" w:type="dxa"/>
          </w:tcPr>
          <w:p>
            <w:pPr>
              <w:pStyle w:val="Tabla9"/>
              <w:jc w:val="left"/>
            </w:pPr>
            <w:r>
              <w:t xml:space="preserve">SC-1. Medición</w:t>
            </w:r>
          </w:p>
        </w:tc>
        <w:tc>
          <w:tcPr>
            <w:tcW w:w="2008" w:type="dxa"/>
          </w:tcPr>
          <w:p>
            <w:pPr>
              <w:pStyle w:val="Tabla9"/>
              <w:jc w:val="left"/>
            </w:pPr>
            <w:r>
              <w:t xml:space="preserve">El modelo de corrección se valida fuera de muestra frente a la referencia colocalizada</w:t>
            </w:r>
          </w:p>
        </w:tc>
        <w:tc>
          <w:tcPr>
            <w:tcW w:w="2175" w:type="dxa"/>
          </w:tcPr>
          <w:p>
            <w:pPr>
              <w:pStyle w:val="Tabla9"/>
              <w:jc w:val="left"/>
            </w:pPr>
            <w:r>
              <w:t xml:space="preserve">El error normalizado cumple R² ≥ 0,70 y NRMSE ≤ 30 %</w:t>
            </w:r>
          </w:p>
        </w:tc>
        <w:tc>
          <w:tcPr>
            <w:tcW w:w="2008" w:type="dxa"/>
          </w:tcPr>
          <w:p>
            <w:pPr>
              <w:pStyle w:val="Tabla9"/>
              <w:jc w:val="left"/>
            </w:pPr>
            <w:r>
              <w:t xml:space="preserve">La humedad y el sesgo por tamaño de partícula explican parte del error (V03→V06 pesa 3) y la corrección los compensa</w:t>
            </w:r>
          </w:p>
        </w:tc>
        <w:tc>
          <w:tcPr>
            <w:tcW w:w="1923" w:type="dxa"/>
          </w:tcPr>
          <w:p>
            <w:pPr>
              <w:pStyle w:val="Tabla9"/>
              <w:jc w:val="left"/>
            </w:pPr>
            <w:r>
              <w:t xml:space="preserve">Compuertas C1 y C2; indicador R1</w:t>
            </w:r>
          </w:p>
        </w:tc>
      </w:tr>
      <w:tr>
        <w:trPr>
          <w:cantSplit/>
        </w:trPr>
        <w:tc>
          <w:tcPr>
            <w:tcW w:w="1840" w:type="dxa"/>
            <w:shd w:val="clear" w:color="auto" w:fill="F7F7F7"/>
          </w:tcPr>
          <w:p>
            <w:pPr>
              <w:pStyle w:val="Tabla9"/>
              <w:jc w:val="left"/>
            </w:pPr>
            <w:r>
              <w:t xml:space="preserve">SC-2. Energía y enlace</w:t>
            </w:r>
          </w:p>
        </w:tc>
        <w:tc>
          <w:tcPr>
            <w:tcW w:w="2008" w:type="dxa"/>
            <w:shd w:val="clear" w:color="auto" w:fill="F7F7F7"/>
          </w:tcPr>
          <w:p>
            <w:pPr>
              <w:pStyle w:val="Tabla9"/>
              <w:jc w:val="left"/>
            </w:pPr>
            <w:r>
              <w:t xml:space="preserve">Los nodos conservan energía y enlace bajo maquinaria, polvo y humedad</w:t>
            </w:r>
          </w:p>
        </w:tc>
        <w:tc>
          <w:tcPr>
            <w:tcW w:w="2175" w:type="dxa"/>
            <w:shd w:val="clear" w:color="auto" w:fill="F7F7F7"/>
          </w:tcPr>
          <w:p>
            <w:pPr>
              <w:pStyle w:val="Tabla9"/>
              <w:jc w:val="left"/>
            </w:pPr>
            <w:r>
              <w:t xml:space="preserve">El gemelo digital recibe datos suficientes: disponibilidad ≥ 90 % y pérdida de paquetes ≤ 10 %</w:t>
            </w:r>
          </w:p>
        </w:tc>
        <w:tc>
          <w:tcPr>
            <w:tcW w:w="2008" w:type="dxa"/>
            <w:shd w:val="clear" w:color="auto" w:fill="F7F7F7"/>
          </w:tcPr>
          <w:p>
            <w:pPr>
              <w:pStyle w:val="Tabla9"/>
              <w:jc w:val="left"/>
            </w:pPr>
            <w:r>
              <w:t xml:space="preserve">La transmisión por eventos reduce el consumo y los nodos averiados se reponen (V05→V09 pesa 2)</w:t>
            </w:r>
          </w:p>
        </w:tc>
        <w:tc>
          <w:tcPr>
            <w:tcW w:w="1923" w:type="dxa"/>
            <w:shd w:val="clear" w:color="auto" w:fill="F7F7F7"/>
          </w:tcPr>
          <w:p>
            <w:pPr>
              <w:pStyle w:val="Tabla9"/>
              <w:jc w:val="left"/>
            </w:pPr>
            <w:r>
              <w:t xml:space="preserve">Compuerta C2; indicador R2</w:t>
            </w:r>
          </w:p>
        </w:tc>
      </w:tr>
      <w:tr>
        <w:trPr>
          <w:cantSplit/>
        </w:trPr>
        <w:tc>
          <w:tcPr>
            <w:tcW w:w="1840" w:type="dxa"/>
          </w:tcPr>
          <w:p>
            <w:pPr>
              <w:pStyle w:val="Tabla9"/>
              <w:jc w:val="left"/>
            </w:pPr>
            <w:r>
              <w:t xml:space="preserve">SC-3. Uso institucional</w:t>
            </w:r>
          </w:p>
        </w:tc>
        <w:tc>
          <w:tcPr>
            <w:tcW w:w="2008" w:type="dxa"/>
          </w:tcPr>
          <w:p>
            <w:pPr>
              <w:pStyle w:val="Tabla9"/>
              <w:jc w:val="left"/>
            </w:pPr>
            <w:r>
              <w:t xml:space="preserve">La autoridad valida el índice local y los umbrales, y los consejos los incorporan en sus protocolos</w:t>
            </w:r>
          </w:p>
        </w:tc>
        <w:tc>
          <w:tcPr>
            <w:tcW w:w="2175" w:type="dxa"/>
          </w:tcPr>
          <w:p>
            <w:pPr>
              <w:pStyle w:val="Tabla9"/>
              <w:jc w:val="left"/>
            </w:pPr>
            <w:r>
              <w:t xml:space="preserve">Las alertas inducen acciones de protección</w:t>
            </w:r>
          </w:p>
        </w:tc>
        <w:tc>
          <w:tcPr>
            <w:tcW w:w="2008" w:type="dxa"/>
          </w:tcPr>
          <w:p>
            <w:pPr>
              <w:pStyle w:val="Tabla9"/>
              <w:jc w:val="left"/>
            </w:pPr>
            <w:r>
              <w:t xml:space="preserve">Una alerta sin portador de decisión no modifica la conducta. V11→V14 y V13→V14 pesan 2 y son HIE</w:t>
            </w:r>
          </w:p>
        </w:tc>
        <w:tc>
          <w:tcPr>
            <w:tcW w:w="1923" w:type="dxa"/>
          </w:tcPr>
          <w:p>
            <w:pPr>
              <w:pStyle w:val="Tabla9"/>
              <w:jc w:val="left"/>
            </w:pPr>
            <w:r>
              <w:t xml:space="preserve">Compuerta C1 (uso en al menos 50 % de los consejos); indicadores R3 e I1</w:t>
            </w:r>
          </w:p>
        </w:tc>
      </w:tr>
      <w:tr>
        <w:trPr>
          <w:cantSplit/>
        </w:trPr>
        <w:tc>
          <w:tcPr>
            <w:tcW w:w="1840" w:type="dxa"/>
            <w:shd w:val="clear" w:color="auto" w:fill="F7F7F7"/>
          </w:tcPr>
          <w:p>
            <w:pPr>
              <w:pStyle w:val="Tabla9"/>
              <w:jc w:val="left"/>
            </w:pPr>
            <w:r>
              <w:t xml:space="preserve">SC-4. Custodia</w:t>
            </w:r>
          </w:p>
        </w:tc>
        <w:tc>
          <w:tcPr>
            <w:tcW w:w="2008" w:type="dxa"/>
            <w:shd w:val="clear" w:color="auto" w:fill="F7F7F7"/>
          </w:tcPr>
          <w:p>
            <w:pPr>
              <w:pStyle w:val="Tabla9"/>
              <w:jc w:val="left"/>
            </w:pPr>
            <w:r>
              <w:t xml:space="preserve">Al menos un custodio por componente demuestra capacidad de absorción antes de cada tramo</w:t>
            </w:r>
          </w:p>
        </w:tc>
        <w:tc>
          <w:tcPr>
            <w:tcW w:w="2175" w:type="dxa"/>
            <w:shd w:val="clear" w:color="auto" w:fill="F7F7F7"/>
          </w:tcPr>
          <w:p>
            <w:pPr>
              <w:pStyle w:val="Tabla9"/>
              <w:jc w:val="left"/>
            </w:pPr>
            <w:r>
              <w:t xml:space="preserve">El servicio continúa después del mes 24 sin un receptor público único</w:t>
            </w:r>
          </w:p>
        </w:tc>
        <w:tc>
          <w:tcPr>
            <w:tcW w:w="2008" w:type="dxa"/>
            <w:shd w:val="clear" w:color="auto" w:fill="F7F7F7"/>
          </w:tcPr>
          <w:p>
            <w:pPr>
              <w:pStyle w:val="Tabla9"/>
              <w:jc w:val="left"/>
            </w:pPr>
            <w:r>
              <w:t xml:space="preserve">Cada tramo exige presupuesto aprobado, personal designado y competencia jurídica documentada. Sin ellos rige la cláusula de apertura</w:t>
            </w:r>
          </w:p>
        </w:tc>
        <w:tc>
          <w:tcPr>
            <w:tcW w:w="1923" w:type="dxa"/>
            <w:shd w:val="clear" w:color="auto" w:fill="F7F7F7"/>
          </w:tcPr>
          <w:p>
            <w:pPr>
              <w:pStyle w:val="Tabla9"/>
              <w:jc w:val="left"/>
            </w:pPr>
            <w:r>
              <w:t xml:space="preserve">Compuerta C2 (convenios con partida); indicadores R5 e I2</w:t>
            </w:r>
          </w:p>
        </w:tc>
      </w:tr>
      <w:tr>
        <w:trPr>
          <w:cantSplit/>
        </w:trPr>
        <w:tc>
          <w:tcPr>
            <w:tcW w:w="1840" w:type="dxa"/>
          </w:tcPr>
          <w:p>
            <w:pPr>
              <w:pStyle w:val="Tabla9"/>
              <w:jc w:val="left"/>
            </w:pPr>
            <w:r>
              <w:t xml:space="preserve">SC-5. Acceso y desempeño del modelo</w:t>
            </w:r>
          </w:p>
        </w:tc>
        <w:tc>
          <w:tcPr>
            <w:tcW w:w="2008" w:type="dxa"/>
          </w:tcPr>
          <w:p>
            <w:pPr>
              <w:pStyle w:val="Tabla9"/>
              <w:jc w:val="left"/>
            </w:pPr>
            <w:r>
              <w:t xml:space="preserve">Se miden al menos seis eventos válidos con acceso acordado y el modelo se calibra con polvo del territorio</w:t>
            </w:r>
          </w:p>
        </w:tc>
        <w:tc>
          <w:tcPr>
            <w:tcW w:w="2175" w:type="dxa"/>
          </w:tcPr>
          <w:p>
            <w:pPr>
              <w:pStyle w:val="Tabla9"/>
              <w:jc w:val="left"/>
            </w:pPr>
            <w:r>
              <w:t xml:space="preserve">El gemelo alcanza FAC2 ≥ 0,5 y sesgo fraccional absoluto ≤ 0,3 fuera de muestra</w:t>
            </w:r>
          </w:p>
        </w:tc>
        <w:tc>
          <w:tcPr>
            <w:tcW w:w="2008" w:type="dxa"/>
          </w:tcPr>
          <w:p>
            <w:pPr>
              <w:pStyle w:val="Tabla9"/>
              <w:jc w:val="left"/>
            </w:pPr>
            <w:r>
              <w:t xml:space="preserve">La emisión depende de la distancia y del viento y se contrasta con mediciones (Dorevitch et al., 2006). El modelo se evalúa con métricas estándar (Chang y Hanna, 2004)</w:t>
            </w:r>
          </w:p>
        </w:tc>
        <w:tc>
          <w:tcPr>
            <w:tcW w:w="1923" w:type="dxa"/>
          </w:tcPr>
          <w:p>
            <w:pPr>
              <w:pStyle w:val="Tabla9"/>
              <w:jc w:val="left"/>
            </w:pPr>
            <w:r>
              <w:t xml:space="preserve">Hitos H10 y H11; indicador R6</w:t>
            </w:r>
          </w:p>
        </w:tc>
      </w:tr>
      <w:tr>
        <w:trPr>
          <w:cantSplit/>
        </w:trPr>
        <w:tc>
          <w:tcPr>
            <w:tcW w:w="1840" w:type="dxa"/>
            <w:shd w:val="clear" w:color="auto" w:fill="F7F7F7"/>
          </w:tcPr>
          <w:p>
            <w:pPr>
              <w:pStyle w:val="Tabla9"/>
              <w:keepNext/>
              <w:jc w:val="left"/>
            </w:pPr>
            <w:r>
              <w:t xml:space="preserve">SC-6. Uso de la evaluación previa</w:t>
            </w:r>
          </w:p>
        </w:tc>
        <w:tc>
          <w:tcPr>
            <w:tcW w:w="2008" w:type="dxa"/>
            <w:shd w:val="clear" w:color="auto" w:fill="F7F7F7"/>
          </w:tcPr>
          <w:p>
            <w:pPr>
              <w:pStyle w:val="Tabla9"/>
              <w:keepNext/>
              <w:jc w:val="left"/>
            </w:pPr>
            <w:r>
              <w:t xml:space="preserve">La entidad territorial o el propietario solicitan la evaluación antes de demoler y la leen como insumo</w:t>
            </w:r>
          </w:p>
        </w:tc>
        <w:tc>
          <w:tcPr>
            <w:tcW w:w="2175" w:type="dxa"/>
            <w:shd w:val="clear" w:color="auto" w:fill="F7F7F7"/>
          </w:tcPr>
          <w:p>
            <w:pPr>
              <w:pStyle w:val="Tabla9"/>
              <w:keepNext/>
              <w:jc w:val="left"/>
            </w:pPr>
            <w:r>
              <w:t xml:space="preserve">Se entregan al menos 12 evaluaciones y las medidas sugeridas entran en la decisión</w:t>
            </w:r>
          </w:p>
        </w:tc>
        <w:tc>
          <w:tcPr>
            <w:tcW w:w="2008" w:type="dxa"/>
            <w:shd w:val="clear" w:color="auto" w:fill="F7F7F7"/>
          </w:tcPr>
          <w:p>
            <w:pPr>
              <w:pStyle w:val="Tabla9"/>
              <w:keepNext/>
              <w:jc w:val="left"/>
            </w:pPr>
            <w:r>
              <w:t xml:space="preserve">Una estimación sin solicitante no modifica la decisión. El protocolo define quién solicita y cómo se usa</w:t>
            </w:r>
          </w:p>
        </w:tc>
        <w:tc>
          <w:tcPr>
            <w:tcW w:w="1923" w:type="dxa"/>
            <w:shd w:val="clear" w:color="auto" w:fill="F7F7F7"/>
          </w:tcPr>
          <w:p>
            <w:pPr>
              <w:pStyle w:val="Tabla9"/>
              <w:keepNext/>
              <w:jc w:val="left"/>
            </w:pPr>
            <w:r>
              <w:t xml:space="preserve">Hito H11, acta de adopción del protocolo e indicador R7</w:t>
            </w:r>
          </w:p>
        </w:tc>
      </w:tr>
    </w:tbl>
    <w:p>
      <w:pPr>
        <w:pStyle w:val="TablaNota"/>
      </w:pPr>
      <w:r>
        <w:rPr>
          <w:i/>
          <w:iCs/>
        </w:rPr>
        <w:t xml:space="preserve">Nota.</w:t>
      </w:r>
      <w:r>
        <w:t xml:space="preserve"> </w:t>
      </w:r>
      <w:r>
        <w:t xml:space="preserve">Elaboración propia con las secciones 14, 17 y 24 del Anexo 2. Los umbrales de las compuertas son los de la sección 14.1.</w:t>
      </w:r>
    </w:p>
    <w:bookmarkEnd w:id="71"/>
    <w:bookmarkStart w:id="72" w:name="Xe6e2c87d2b010229c528c7d87c680260593d606"/>
    <w:p>
      <w:pPr>
        <w:pStyle w:val="Heading3"/>
      </w:pPr>
      <w:r>
        <w:t xml:space="preserve">A.10.3 Teoría del cambio del módulo predictivo</w:t>
      </w:r>
    </w:p>
    <w:p>
      <w:pPr>
        <w:pStyle w:val="FirstParagraph"/>
      </w:pPr>
      <w:r>
        <w:t xml:space="preserve">El módulo predictivo no integra el modelo estructural de quince variables, porque no actúa sobre el error de medición. Su cadena tiene cinco eslabones. Los datos de entrada son la geometría, el material, el método y la meteorología. Los modelos de emisión y de dispersión producen una estimación con su incertidumbre. La evaluación previa la compara con los valores guía y con escenarios de control. La entidad territorial decide el método y las medidas. La exposición real depende de lo que ejecute la obra.</w:t>
      </w:r>
    </w:p>
    <w:p>
      <w:pPr>
        <w:pStyle w:val="BodyText"/>
      </w:pPr>
      <w:r>
        <w:t xml:space="preserve">La rendición de cuentas llega hasta los resultados R6 y R7. El desempeño del modelo y la entrega de las evaluaciones dependen del proyecto. La decisión de la entidad y la reducción real de la exposición quedan sobre el techo, porque dependen de terceros. El proyecto no estima efectos en la salud. El efecto esperado de una medida de control es un supuesto mientras una campaña no lo verifique. Los supuestos SC-5 y SC-6 de la Tabla A.30 fijan las condiciones de la cadena y los hitos H10 y H11 las verifican.</w:t>
      </w:r>
    </w:p>
    <w:bookmarkEnd w:id="72"/>
    <w:bookmarkEnd w:id="73"/>
    <w:bookmarkStart w:id="74" w:name="X533320311b97172f41bdada450a24b1a68fdf3e"/>
    <w:p>
      <w:pPr>
        <w:pStyle w:val="Heading2"/>
      </w:pPr>
      <w:r>
        <w:t xml:space="preserve">A.11. Límites, brechas y ruta de resolución</w:t>
      </w:r>
    </w:p>
    <w:p>
      <w:pPr>
        <w:pStyle w:val="FirstParagraph"/>
      </w:pPr>
      <w:r>
        <w:t xml:space="preserve">El análisis tiene siete límites. Los 210 juicios son de formulación y ninguno fue adjudicado por un panel externo. Las fuentes primarias de los vínculos no se leyeron con localizador de página. La autorrevisión de las fichas no equivale a una revisión independiente. Los dominios admisibles expresan incertidumbre ordinal y no probabilidad. La estabilidad observada de los rangos no demuestra convergencia dinámica. Las posiciones dependen de la definición de las variables y de tres ambigüedades del diccionario. Y el módulo predictivo se trata con una teoría del cambio y no con una matriz.</w:t>
      </w:r>
    </w:p>
    <w:p>
      <w:pPr>
        <w:pStyle w:val="BodyText"/>
      </w:pPr>
      <w:r>
        <w:t xml:space="preserve">La Tabla A.31 registra las brechas, su efecto sobre las conclusiones y la ruta para resolverlas. Las rutas son propuestas de la formulación y se ejecutan con recursos ya presupuestados del proyecto, salvo que se indique otra cosa.</w:t>
      </w:r>
    </w:p>
    <w:p>
      <w:pPr>
        <w:pStyle w:val="TablaRotulo"/>
      </w:pPr>
      <w:bookmarkStart w:id="9031" w:name="rot_Tabla_A_31"/>
      <w:r>
        <w:rPr>
          <w:b/>
          <w:bCs/>
        </w:rPr>
        <w:t xml:space="preserve">Tabla A.31</w:t>
      </w:r>
      <w:bookmarkEnd w:id="9031"/>
    </w:p>
    <w:p>
      <w:pPr>
        <w:pStyle w:val="TablaTitulo"/>
      </w:pPr>
      <w:r>
        <w:rPr>
          <w:i/>
          <w:iCs/>
        </w:rPr>
        <w:t xml:space="preserve">Brechas del análisis, efecto y ruta de resolución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1"/>
        <w:gridCol w:w="2406"/>
        <w:gridCol w:w="2820"/>
        <w:gridCol w:w="2157"/>
      </w:tblGrid>
      <w:tr>
        <w:trPr>
          <w:cantSplit/>
          <w:tblHeader w:val="true"/>
          <w:tblHeader/>
        </w:trPr>
        <w:tc>
          <w:tcPr>
            <w:tcW w:w="2571" w:type="dxa"/>
            <w:tcBorders>
              <w:bottom w:val="single" w:sz="12" w:space="0" w:color="6699CC"/>
            </w:tcBorders>
            <w:shd w:val="clear" w:color="auto" w:fill="B9D9EB"/>
          </w:tcPr>
          <w:p>
            <w:pPr>
              <w:pStyle w:val="Tabla9"/>
              <w:keepNext/>
              <w:jc w:val="left"/>
            </w:pPr>
            <w:r>
              <w:rPr>
                <w:b/>
              </w:rPr>
              <w:t xml:space="preserve">Brecha</w:t>
            </w:r>
          </w:p>
        </w:tc>
        <w:tc>
          <w:tcPr>
            <w:tcW w:w="2406" w:type="dxa"/>
            <w:tcBorders>
              <w:bottom w:val="single" w:sz="12" w:space="0" w:color="6699CC"/>
            </w:tcBorders>
            <w:shd w:val="clear" w:color="auto" w:fill="B9D9EB"/>
          </w:tcPr>
          <w:p>
            <w:pPr>
              <w:pStyle w:val="Tabla9"/>
              <w:keepNext/>
              <w:jc w:val="left"/>
            </w:pPr>
            <w:r>
              <w:rPr>
                <w:b/>
              </w:rPr>
              <w:t xml:space="preserve">Efecto sobre las conclusiones</w:t>
            </w:r>
          </w:p>
        </w:tc>
        <w:tc>
          <w:tcPr>
            <w:tcW w:w="2820" w:type="dxa"/>
            <w:tcBorders>
              <w:bottom w:val="single" w:sz="12" w:space="0" w:color="6699CC"/>
            </w:tcBorders>
            <w:shd w:val="clear" w:color="auto" w:fill="B9D9EB"/>
          </w:tcPr>
          <w:p>
            <w:pPr>
              <w:pStyle w:val="Tabla9"/>
              <w:keepNext/>
              <w:jc w:val="left"/>
            </w:pPr>
            <w:r>
              <w:rPr>
                <w:b/>
              </w:rPr>
              <w:t xml:space="preserve">Ruta de resolución</w:t>
            </w:r>
          </w:p>
        </w:tc>
        <w:tc>
          <w:tcPr>
            <w:tcW w:w="2157"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571" w:type="dxa"/>
          </w:tcPr>
          <w:p>
            <w:pPr>
              <w:pStyle w:val="Tabla9"/>
              <w:jc w:val="left"/>
            </w:pPr>
            <w:r>
              <w:t xml:space="preserve">Ninguna ficha fue adjudicada por un panel externo</w:t>
            </w:r>
          </w:p>
        </w:tc>
        <w:tc>
          <w:tcPr>
            <w:tcW w:w="2406" w:type="dxa"/>
          </w:tcPr>
          <w:p>
            <w:pPr>
              <w:pStyle w:val="Tabla9"/>
              <w:jc w:val="left"/>
            </w:pPr>
            <w:r>
              <w:t xml:space="preserve">Impide certificar la matriz y toda decisión que dependa de ella</w:t>
            </w:r>
          </w:p>
        </w:tc>
        <w:tc>
          <w:tcPr>
            <w:tcW w:w="2820" w:type="dxa"/>
          </w:tcPr>
          <w:p>
            <w:pPr>
              <w:pStyle w:val="Tabla9"/>
              <w:jc w:val="left"/>
            </w:pPr>
            <w:r>
              <w:t xml:space="preserve">Sesión de adjudicación con acta, que comience por los vínculos de la Tabla A.18</w:t>
            </w:r>
          </w:p>
        </w:tc>
        <w:tc>
          <w:tcPr>
            <w:tcW w:w="2157" w:type="dxa"/>
          </w:tcPr>
          <w:p>
            <w:pPr>
              <w:pStyle w:val="Tabla9"/>
              <w:jc w:val="left"/>
            </w:pPr>
            <w:r>
              <w:t xml:space="preserve">Equipo formulador, con un panel externo de expertos</w:t>
            </w:r>
          </w:p>
        </w:tc>
      </w:tr>
      <w:tr>
        <w:trPr>
          <w:cantSplit/>
        </w:trPr>
        <w:tc>
          <w:tcPr>
            <w:tcW w:w="2571" w:type="dxa"/>
            <w:shd w:val="clear" w:color="auto" w:fill="F7F7F7"/>
          </w:tcPr>
          <w:p>
            <w:pPr>
              <w:pStyle w:val="Tabla9"/>
              <w:jc w:val="left"/>
            </w:pPr>
            <w:r>
              <w:t xml:space="preserve">Fuentes primarias sin lectura con localizador</w:t>
            </w:r>
          </w:p>
        </w:tc>
        <w:tc>
          <w:tcPr>
            <w:tcW w:w="2406" w:type="dxa"/>
            <w:shd w:val="clear" w:color="auto" w:fill="F7F7F7"/>
          </w:tcPr>
          <w:p>
            <w:pPr>
              <w:pStyle w:val="Tabla9"/>
              <w:jc w:val="left"/>
            </w:pPr>
            <w:r>
              <w:t xml:space="preserve">El respaldo de 41 vínculos es secundario o interno</w:t>
            </w:r>
          </w:p>
        </w:tc>
        <w:tc>
          <w:tcPr>
            <w:tcW w:w="2820" w:type="dxa"/>
            <w:shd w:val="clear" w:color="auto" w:fill="F7F7F7"/>
          </w:tcPr>
          <w:p>
            <w:pPr>
              <w:pStyle w:val="Tabla9"/>
              <w:jc w:val="left"/>
            </w:pPr>
            <w:r>
              <w:t xml:space="preserve">Leer Suresh et al. (2025), Bang et al. (2026), Ayala-Parra et al. (2026) y Tavella et al. (2026) con localizador de página</w:t>
            </w:r>
          </w:p>
        </w:tc>
        <w:tc>
          <w:tcPr>
            <w:tcW w:w="2157" w:type="dxa"/>
            <w:shd w:val="clear" w:color="auto" w:fill="F7F7F7"/>
          </w:tcPr>
          <w:p>
            <w:pPr>
              <w:pStyle w:val="Tabla9"/>
              <w:jc w:val="left"/>
            </w:pPr>
            <w:r>
              <w:t xml:space="preserve">Universidad</w:t>
            </w:r>
          </w:p>
        </w:tc>
      </w:tr>
      <w:tr>
        <w:trPr>
          <w:cantSplit/>
        </w:trPr>
        <w:tc>
          <w:tcPr>
            <w:tcW w:w="2571" w:type="dxa"/>
          </w:tcPr>
          <w:p>
            <w:pPr>
              <w:pStyle w:val="Tabla9"/>
              <w:jc w:val="left"/>
            </w:pPr>
            <w:r>
              <w:t xml:space="preserve">Variables omitidas: distancia a la referencia, edad del sensor, episodio de humo y precipitación</w:t>
            </w:r>
          </w:p>
        </w:tc>
        <w:tc>
          <w:tcPr>
            <w:tcW w:w="2406" w:type="dxa"/>
          </w:tcPr>
          <w:p>
            <w:pPr>
              <w:pStyle w:val="Tabla9"/>
              <w:jc w:val="left"/>
            </w:pPr>
            <w:r>
              <w:t xml:space="preserve">Pueden inflar la influencia de V03 y V07</w:t>
            </w:r>
          </w:p>
        </w:tc>
        <w:tc>
          <w:tcPr>
            <w:tcW w:w="2820" w:type="dxa"/>
          </w:tcPr>
          <w:p>
            <w:pPr>
              <w:pStyle w:val="Tabla9"/>
              <w:jc w:val="left"/>
            </w:pPr>
            <w:r>
              <w:t xml:space="preserve">Evaluar la ampliación del modelo a 19 variables y rehacer A.4 y A.5</w:t>
            </w:r>
          </w:p>
        </w:tc>
        <w:tc>
          <w:tcPr>
            <w:tcW w:w="2157" w:type="dxa"/>
          </w:tcPr>
          <w:p>
            <w:pPr>
              <w:pStyle w:val="Tabla9"/>
              <w:jc w:val="left"/>
            </w:pPr>
            <w:r>
              <w:t xml:space="preserve">Equipo formulador</w:t>
            </w:r>
          </w:p>
        </w:tc>
      </w:tr>
      <w:tr>
        <w:trPr>
          <w:cantSplit/>
        </w:trPr>
        <w:tc>
          <w:tcPr>
            <w:tcW w:w="2571" w:type="dxa"/>
            <w:shd w:val="clear" w:color="auto" w:fill="F7F7F7"/>
          </w:tcPr>
          <w:p>
            <w:pPr>
              <w:pStyle w:val="Tabla9"/>
              <w:jc w:val="left"/>
            </w:pPr>
            <w:r>
              <w:t xml:space="preserve">Ambigüedades del diccionario: V01 y V02 por inclusión, V10 nominal o efectiva y V06 del sensor o de la red</w:t>
            </w:r>
          </w:p>
        </w:tc>
        <w:tc>
          <w:tcPr>
            <w:tcW w:w="2406" w:type="dxa"/>
            <w:shd w:val="clear" w:color="auto" w:fill="F7F7F7"/>
          </w:tcPr>
          <w:p>
            <w:pPr>
              <w:pStyle w:val="Tabla9"/>
              <w:jc w:val="left"/>
            </w:pPr>
            <w:r>
              <w:t xml:space="preserve">Cambian los vínculos V06→V01, V09→V10 y V10→V06</w:t>
            </w:r>
          </w:p>
        </w:tc>
        <w:tc>
          <w:tcPr>
            <w:tcW w:w="2820" w:type="dxa"/>
            <w:shd w:val="clear" w:color="auto" w:fill="F7F7F7"/>
          </w:tcPr>
          <w:p>
            <w:pPr>
              <w:pStyle w:val="Tabla9"/>
              <w:jc w:val="left"/>
            </w:pPr>
            <w:r>
              <w:t xml:space="preserve">Aclarar el diccionario antes de ratificar las fichas</w:t>
            </w:r>
          </w:p>
        </w:tc>
        <w:tc>
          <w:tcPr>
            <w:tcW w:w="2157" w:type="dxa"/>
            <w:shd w:val="clear" w:color="auto" w:fill="F7F7F7"/>
          </w:tcPr>
          <w:p>
            <w:pPr>
              <w:pStyle w:val="Tabla9"/>
              <w:jc w:val="left"/>
            </w:pPr>
            <w:r>
              <w:t xml:space="preserve">Equipo formulador</w:t>
            </w:r>
          </w:p>
        </w:tc>
      </w:tr>
      <w:tr>
        <w:trPr>
          <w:cantSplit/>
        </w:trPr>
        <w:tc>
          <w:tcPr>
            <w:tcW w:w="2571" w:type="dxa"/>
          </w:tcPr>
          <w:p>
            <w:pPr>
              <w:pStyle w:val="Tabla9"/>
              <w:jc w:val="left"/>
            </w:pPr>
            <w:r>
              <w:t xml:space="preserve">Fórmula local del índice de calidad del aire y salud (Stieb et al., 2008)</w:t>
            </w:r>
          </w:p>
        </w:tc>
        <w:tc>
          <w:tcPr>
            <w:tcW w:w="2406" w:type="dxa"/>
          </w:tcPr>
          <w:p>
            <w:pPr>
              <w:pStyle w:val="Tabla9"/>
              <w:jc w:val="left"/>
            </w:pPr>
            <w:r>
              <w:t xml:space="preserve">Los vínculos V01→V11 y V02→V11 dependen de ella</w:t>
            </w:r>
          </w:p>
        </w:tc>
        <w:tc>
          <w:tcPr>
            <w:tcW w:w="2820" w:type="dxa"/>
          </w:tcPr>
          <w:p>
            <w:pPr>
              <w:pStyle w:val="Tabla9"/>
              <w:jc w:val="left"/>
            </w:pPr>
            <w:r>
              <w:t xml:space="preserve">Definir la fórmula y validarla con la autoridad de salud</w:t>
            </w:r>
          </w:p>
        </w:tc>
        <w:tc>
          <w:tcPr>
            <w:tcW w:w="2157" w:type="dxa"/>
          </w:tcPr>
          <w:p>
            <w:pPr>
              <w:pStyle w:val="Tabla9"/>
              <w:jc w:val="left"/>
            </w:pPr>
            <w:r>
              <w:t xml:space="preserve">Municipios aliados y autoridad de salud</w:t>
            </w:r>
          </w:p>
        </w:tc>
      </w:tr>
      <w:tr>
        <w:trPr>
          <w:cantSplit/>
        </w:trPr>
        <w:tc>
          <w:tcPr>
            <w:tcW w:w="2571" w:type="dxa"/>
            <w:shd w:val="clear" w:color="auto" w:fill="F7F7F7"/>
          </w:tcPr>
          <w:p>
            <w:pPr>
              <w:pStyle w:val="Tabla9"/>
              <w:jc w:val="left"/>
            </w:pPr>
            <w:r>
              <w:t xml:space="preserve">Diseño sin asignación aleatoria</w:t>
            </w:r>
          </w:p>
        </w:tc>
        <w:tc>
          <w:tcPr>
            <w:tcW w:w="2406" w:type="dxa"/>
            <w:shd w:val="clear" w:color="auto" w:fill="F7F7F7"/>
          </w:tcPr>
          <w:p>
            <w:pPr>
              <w:pStyle w:val="Tabla9"/>
              <w:jc w:val="left"/>
            </w:pPr>
            <w:r>
              <w:t xml:space="preserve">El efecto de la calibración sobre el error queda como HIE</w:t>
            </w:r>
          </w:p>
        </w:tc>
        <w:tc>
          <w:tcPr>
            <w:tcW w:w="2820" w:type="dxa"/>
            <w:shd w:val="clear" w:color="auto" w:fill="F7F7F7"/>
          </w:tcPr>
          <w:p>
            <w:pPr>
              <w:pStyle w:val="Tabla9"/>
              <w:jc w:val="left"/>
            </w:pPr>
            <w:r>
              <w:t xml:space="preserve">Si la alianza lo decide, asignar al azar el nivel de calibración por semana en los nodos colocalizados, con registro de la asignación</w:t>
            </w:r>
          </w:p>
        </w:tc>
        <w:tc>
          <w:tcPr>
            <w:tcW w:w="2157" w:type="dxa"/>
            <w:shd w:val="clear" w:color="auto" w:fill="F7F7F7"/>
          </w:tcPr>
          <w:p>
            <w:pPr>
              <w:pStyle w:val="Tabla9"/>
              <w:jc w:val="left"/>
            </w:pPr>
            <w:r>
              <w:t xml:space="preserve">Universidad Santo Tomás</w:t>
            </w:r>
          </w:p>
        </w:tc>
      </w:tr>
      <w:tr>
        <w:trPr>
          <w:cantSplit/>
        </w:trPr>
        <w:tc>
          <w:tcPr>
            <w:tcW w:w="2571" w:type="dxa"/>
          </w:tcPr>
          <w:p>
            <w:pPr>
              <w:pStyle w:val="Tabla9"/>
              <w:jc w:val="left"/>
            </w:pPr>
            <w:r>
              <w:t xml:space="preserve">Gemelo predictivo sin evaluación con eventos reales al formular el proyecto</w:t>
            </w:r>
          </w:p>
        </w:tc>
        <w:tc>
          <w:tcPr>
            <w:tcW w:w="2406" w:type="dxa"/>
          </w:tcPr>
          <w:p>
            <w:pPr>
              <w:pStyle w:val="Tabla9"/>
              <w:jc w:val="left"/>
            </w:pPr>
            <w:r>
              <w:t xml:space="preserve">El desempeño del modelo y su dominio de validez no se conocen</w:t>
            </w:r>
          </w:p>
        </w:tc>
        <w:tc>
          <w:tcPr>
            <w:tcW w:w="2820" w:type="dxa"/>
          </w:tcPr>
          <w:p>
            <w:pPr>
              <w:pStyle w:val="Tabla9"/>
              <w:jc w:val="left"/>
            </w:pPr>
            <w:r>
              <w:t xml:space="preserve">Validar con al menos seis eventos y declarar el dominio (actividad 1.7)</w:t>
            </w:r>
          </w:p>
        </w:tc>
        <w:tc>
          <w:tcPr>
            <w:tcW w:w="2157" w:type="dxa"/>
          </w:tcPr>
          <w:p>
            <w:pPr>
              <w:pStyle w:val="Tabla9"/>
              <w:jc w:val="left"/>
            </w:pPr>
            <w:r>
              <w:t xml:space="preserve">Universidad</w:t>
            </w:r>
          </w:p>
        </w:tc>
      </w:tr>
      <w:tr>
        <w:trPr>
          <w:cantSplit/>
        </w:trPr>
        <w:tc>
          <w:tcPr>
            <w:tcW w:w="2571" w:type="dxa"/>
            <w:shd w:val="clear" w:color="auto" w:fill="F7F7F7"/>
          </w:tcPr>
          <w:p>
            <w:pPr>
              <w:pStyle w:val="Tabla9"/>
              <w:jc w:val="left"/>
            </w:pPr>
            <w:r>
              <w:t xml:space="preserve">Efecto de las medidas de control sin evidencia local</w:t>
            </w:r>
          </w:p>
        </w:tc>
        <w:tc>
          <w:tcPr>
            <w:tcW w:w="2406" w:type="dxa"/>
            <w:shd w:val="clear" w:color="auto" w:fill="F7F7F7"/>
          </w:tcPr>
          <w:p>
            <w:pPr>
              <w:pStyle w:val="Tabla9"/>
              <w:jc w:val="left"/>
            </w:pPr>
            <w:r>
              <w:t xml:space="preserve">Las reducciones de emisión son supuestos</w:t>
            </w:r>
          </w:p>
        </w:tc>
        <w:tc>
          <w:tcPr>
            <w:tcW w:w="2820" w:type="dxa"/>
            <w:shd w:val="clear" w:color="auto" w:fill="F7F7F7"/>
          </w:tcPr>
          <w:p>
            <w:pPr>
              <w:pStyle w:val="Tabla9"/>
              <w:jc w:val="left"/>
            </w:pPr>
            <w:r>
              <w:t xml:space="preserve">Medir el efecto cuando el contratista aplique la medida durante una campaña</w:t>
            </w:r>
          </w:p>
        </w:tc>
        <w:tc>
          <w:tcPr>
            <w:tcW w:w="2157" w:type="dxa"/>
            <w:shd w:val="clear" w:color="auto" w:fill="F7F7F7"/>
          </w:tcPr>
          <w:p>
            <w:pPr>
              <w:pStyle w:val="Tabla9"/>
              <w:jc w:val="left"/>
            </w:pPr>
            <w:r>
              <w:t xml:space="preserve">Universidad y contratistas</w:t>
            </w:r>
          </w:p>
        </w:tc>
      </w:tr>
      <w:tr>
        <w:trPr>
          <w:cantSplit/>
        </w:trPr>
        <w:tc>
          <w:tcPr>
            <w:tcW w:w="2571" w:type="dxa"/>
          </w:tcPr>
          <w:p>
            <w:pPr>
              <w:pStyle w:val="Tabla9"/>
              <w:jc w:val="left"/>
            </w:pPr>
            <w:r>
              <w:t xml:space="preserve">Población expuesta y carga de morbilidad sin variable de resultado</w:t>
            </w:r>
          </w:p>
        </w:tc>
        <w:tc>
          <w:tcPr>
            <w:tcW w:w="2406" w:type="dxa"/>
          </w:tcPr>
          <w:p>
            <w:pPr>
              <w:pStyle w:val="Tabla9"/>
              <w:jc w:val="left"/>
            </w:pPr>
            <w:r>
              <w:t xml:space="preserve">El modelo no alcanza la protección de las personas</w:t>
            </w:r>
          </w:p>
        </w:tc>
        <w:tc>
          <w:tcPr>
            <w:tcW w:w="2820" w:type="dxa"/>
          </w:tcPr>
          <w:p>
            <w:pPr>
              <w:pStyle w:val="Tabla9"/>
              <w:jc w:val="left"/>
            </w:pPr>
            <w:r>
              <w:t xml:space="preserve">Documentar la población en la sección 11 y mantener la morbilidad como hipótesis</w:t>
            </w:r>
          </w:p>
        </w:tc>
        <w:tc>
          <w:tcPr>
            <w:tcW w:w="2157" w:type="dxa"/>
          </w:tcPr>
          <w:p>
            <w:pPr>
              <w:pStyle w:val="Tabla9"/>
              <w:jc w:val="left"/>
            </w:pPr>
            <w:r>
              <w:t xml:space="preserve">Universidad</w:t>
            </w:r>
          </w:p>
        </w:tc>
      </w:tr>
      <w:tr>
        <w:trPr>
          <w:cantSplit/>
        </w:trPr>
        <w:tc>
          <w:tcPr>
            <w:tcW w:w="2571" w:type="dxa"/>
            <w:shd w:val="clear" w:color="auto" w:fill="F7F7F7"/>
          </w:tcPr>
          <w:p>
            <w:pPr>
              <w:pStyle w:val="Tabla9"/>
              <w:keepNext/>
              <w:jc w:val="left"/>
            </w:pPr>
            <w:r>
              <w:t xml:space="preserve">Dependencia de los juicios durante la ejecución</w:t>
            </w:r>
          </w:p>
        </w:tc>
        <w:tc>
          <w:tcPr>
            <w:tcW w:w="2406" w:type="dxa"/>
            <w:shd w:val="clear" w:color="auto" w:fill="F7F7F7"/>
          </w:tcPr>
          <w:p>
            <w:pPr>
              <w:pStyle w:val="Tabla9"/>
              <w:keepNext/>
              <w:jc w:val="left"/>
            </w:pPr>
            <w:r>
              <w:t xml:space="preserve">Las clases pueden cambiar al ratificar las fichas</w:t>
            </w:r>
          </w:p>
        </w:tc>
        <w:tc>
          <w:tcPr>
            <w:tcW w:w="2820" w:type="dxa"/>
            <w:shd w:val="clear" w:color="auto" w:fill="F7F7F7"/>
          </w:tcPr>
          <w:p>
            <w:pPr>
              <w:pStyle w:val="Tabla9"/>
              <w:keepNext/>
              <w:jc w:val="left"/>
            </w:pPr>
            <w:r>
              <w:t xml:space="preserve">Recalcular cada trimestre las clases directa e indirecta con las fichas vigentes y registrar las variables que cambian</w:t>
            </w:r>
          </w:p>
        </w:tc>
        <w:tc>
          <w:tcPr>
            <w:tcW w:w="2157" w:type="dxa"/>
            <w:shd w:val="clear" w:color="auto" w:fill="F7F7F7"/>
          </w:tcPr>
          <w:p>
            <w:pPr>
              <w:pStyle w:val="Tabla9"/>
              <w:keepNext/>
              <w:jc w:val="left"/>
            </w:pPr>
            <w:r>
              <w:t xml:space="preserve">Gerencia del proyecto</w:t>
            </w:r>
          </w:p>
        </w:tc>
      </w:tr>
    </w:tbl>
    <w:p>
      <w:pPr>
        <w:pStyle w:val="TablaNota"/>
      </w:pPr>
      <w:r>
        <w:rPr>
          <w:i/>
          <w:iCs/>
        </w:rPr>
        <w:t xml:space="preserve">Nota.</w:t>
      </w:r>
      <w:r>
        <w:t xml:space="preserve"> </w:t>
      </w:r>
      <w:r>
        <w:t xml:space="preserve">Elaboración propia con los resultados de A.3 a A.10.</w:t>
      </w:r>
    </w:p>
    <w:p>
      <w:pPr>
        <w:pStyle w:val="BodyText"/>
      </w:pPr>
      <w:r>
        <w:t xml:space="preserve">Las mediciones del tramo 1, disponibles en el mes 12, aportan la primera línea base de error con una referencia independiente. Con ellas se actualizan los vínculos que involucran a V06 y se repite el análisis de A.4 a A.6. El equipo formulador conserva las 105 fichas, las matrices de cada escenario y las potencias exactas, y las entrega al evaluador que las solicite.</w:t>
      </w:r>
    </w:p>
    <w:bookmarkEnd w:id="74"/>
    <w:bookmarkEnd w:id="75"/>
    <w:bookmarkStart w:id="76" w:name="referencias-del-anexo-a"/>
    <w:p>
      <w:pPr>
        <w:pStyle w:val="Heading1"/>
      </w:pPr>
      <w:r>
        <w:t xml:space="preserve">REFERENCIAS DEL ANEXO A</w:t>
      </w:r>
    </w:p>
    <w:p>
      <w:pPr>
        <w:pStyle w:val="FirstParagraph"/>
      </w:pPr>
      <w:r>
        <w:t xml:space="preserve">La lista reúne las 22 fuentes que el anexo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Referencia"/>
      </w:pPr>
      <w:r>
        <w:t xml:space="preserve">Ayala-Parra, G. A., Hernández, K. S., Chalán, C. A., Ramírez, M., Zuluaga, M. D., Ceballos, L. I., y Martínez, J. A. (2026). Regional aerosol transport and vertical mixing: Factors contributing to an air pollution event in a highly urbanized Andean valley.</w:t>
      </w:r>
      <w:r>
        <w:t xml:space="preserve"> </w:t>
      </w:r>
      <w:r>
        <w:rPr>
          <w:i/>
          <w:iCs/>
        </w:rPr>
        <w:t xml:space="preserve">Atmospheric Research, 329</w:t>
      </w:r>
      <w:r>
        <w:t xml:space="preserve">, Article 108512. https://doi.org/10.1016/j.atmosres.2025.108512</w:t>
      </w:r>
    </w:p>
    <w:p>
      <w:pPr>
        <w:pStyle w:val="Referencia"/>
      </w:pPr>
      <w:r>
        <w:t xml:space="preserve">Bacchi, C. (2009).</w:t>
      </w:r>
      <w:r>
        <w:t xml:space="preserve"> </w:t>
      </w:r>
      <w:r>
        <w:rPr>
          <w:i/>
          <w:iCs/>
        </w:rPr>
        <w:t xml:space="preserve">Analysing policy: What's the problem represented to be?</w:t>
      </w:r>
      <w:r>
        <w:t xml:space="preserve"> </w:t>
      </w:r>
      <w:r>
        <w:t xml:space="preserve">Pearson Australia.</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Chang, J. C., y Hanna, S. R. (2004). Air quality model performance evaluation.</w:t>
      </w:r>
      <w:r>
        <w:t xml:space="preserve"> </w:t>
      </w:r>
      <w:r>
        <w:rPr>
          <w:i/>
          <w:iCs/>
        </w:rPr>
        <w:t xml:space="preserve">Meteorology and Atmospheric Physics, 87</w:t>
      </w:r>
      <w:r>
        <w:t xml:space="preserve">(1–3), 167–196. https://doi.org/10.1007/s00703-003-0070-7</w:t>
      </w:r>
    </w:p>
    <w:p>
      <w:pPr>
        <w:pStyle w:val="Referencia"/>
      </w:pPr>
      <w:r>
        <w:t xml:space="preserve">Congreso de la República de Colombia. (2012,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Dorevitch, S., Demirtas, H., Persky, V. W., Erdal, S., Conroy, L., Schoonover, T., y Scheff, P. A. (2006). Demolition of high-rise public housing increases particulate matter air pollution in communities of high-risk asthmatics.</w:t>
      </w:r>
      <w:r>
        <w:t xml:space="preserve"> </w:t>
      </w:r>
      <w:r>
        <w:rPr>
          <w:i/>
          <w:iCs/>
        </w:rPr>
        <w:t xml:space="preserve">Journal of the Air &amp; Waste Management Association, 56</w:t>
      </w:r>
      <w:r>
        <w:t xml:space="preserve">(7), 1022–1032. https://doi.org/10.1080/10473289.2006.10464504</w:t>
      </w:r>
    </w:p>
    <w:p>
      <w:pPr>
        <w:pStyle w:val="Referencia"/>
      </w:pPr>
      <w:r>
        <w:t xml:space="preserve">Equipo formulador. (2026).</w:t>
      </w:r>
      <w:r>
        <w:t xml:space="preserve"> </w:t>
      </w:r>
      <w:r>
        <w:rPr>
          <w:i/>
          <w:iCs/>
        </w:rPr>
        <w:t xml:space="preserve">Vigilancia tecnológica y análisis bibliométrico de redes de sensores de bajo costo, IoT y gemelos digitales para la calidad del aire</w:t>
      </w:r>
      <w:r>
        <w:t xml:space="preserve"> </w:t>
      </w:r>
      <w:r>
        <w:t xml:space="preserve">[Informe técnico no publicado, corpus de 42 documentos].</w:t>
      </w:r>
    </w:p>
    <w:p>
      <w:pPr>
        <w:pStyle w:val="Referencia"/>
      </w:pPr>
      <w:r>
        <w:t xml:space="preserve">Funnell, S. C., y Rogers, P. J. (2011).</w:t>
      </w:r>
      <w:r>
        <w:t xml:space="preserve"> </w:t>
      </w:r>
      <w:r>
        <w:rPr>
          <w:i/>
          <w:iCs/>
        </w:rPr>
        <w:t xml:space="preserve">Purposeful program theory: Effective use of theories of change and logic models</w:t>
      </w:r>
      <w:r>
        <w:t xml:space="preserve">. Jossey-Bass.</w:t>
      </w:r>
    </w:p>
    <w:p>
      <w:pPr>
        <w:pStyle w:val="Referencia"/>
      </w:pPr>
      <w:r>
        <w:t xml:space="preserve">Glouberman, S., y Zimmerman, B. (2002).</w:t>
      </w:r>
      <w:r>
        <w:t xml:space="preserve"> </w:t>
      </w:r>
      <w:r>
        <w:rPr>
          <w:i/>
          <w:iCs/>
        </w:rPr>
        <w:t xml:space="preserve">Complicated and complex systems: What would successful reform of Medicare look like?</w:t>
      </w:r>
      <w:r>
        <w:t xml:space="preserve"> </w:t>
      </w:r>
      <w:r>
        <w:t xml:space="preserve">(Discussion Paper No. 8). Commission on the Future of Health Care in Canada.</w:t>
      </w:r>
    </w:p>
    <w:p>
      <w:pPr>
        <w:pStyle w:val="Referencia"/>
      </w:pPr>
      <w:r>
        <w:t xml:space="preserve">Godet, M. (2001).</w:t>
      </w:r>
      <w:r>
        <w:t xml:space="preserve"> </w:t>
      </w:r>
      <w:r>
        <w:rPr>
          <w:i/>
          <w:iCs/>
        </w:rPr>
        <w:t xml:space="preserve">Creating futures: Scenario planning as a strategic management tool</w:t>
      </w:r>
      <w:r>
        <w:t xml:space="preserve">. Economica.</w:t>
      </w:r>
    </w:p>
    <w:p>
      <w:pPr>
        <w:pStyle w:val="Referencia"/>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p>
      <w:pPr>
        <w:pStyle w:val="Referencia"/>
      </w:pPr>
      <w:r>
        <w:t xml:space="preserve">Mills, C. W. (1959).</w:t>
      </w:r>
      <w:r>
        <w:t xml:space="preserve"> </w:t>
      </w:r>
      <w:r>
        <w:rPr>
          <w:i/>
          <w:iCs/>
        </w:rPr>
        <w:t xml:space="preserve">The sociological imagination</w:t>
      </w:r>
      <w:r>
        <w:t xml:space="preserve">. Oxford University Press.</w:t>
      </w:r>
    </w:p>
    <w:p>
      <w:pPr>
        <w:pStyle w:val="Referencia"/>
      </w:pPr>
      <w:r>
        <w:t xml:space="preserve">Ministerio de Ciencia, Tecnología e Innovación. (2026).</w:t>
      </w:r>
      <w:r>
        <w:t xml:space="preserve"> </w:t>
      </w:r>
      <w:r>
        <w:rPr>
          <w:i/>
          <w:iCs/>
        </w:rPr>
        <w:t xml:space="preserve">Términos de referencia (TdR) convocatorias SGR: Convocatoria 56. Convocatoria de emergencia para la recuperación y generación de capacidades transformadoras, en el marco del Decreto 1414 de 17 de septiembre de 2026</w:t>
      </w:r>
      <w:r>
        <w:t xml:space="preserve"> </w:t>
      </w:r>
      <w:r>
        <w:t xml:space="preserve">(versión 1.6). MinCiencias.</w:t>
      </w:r>
    </w:p>
    <w:p>
      <w:pPr>
        <w:pStyle w:val="Referencia"/>
      </w:pPr>
      <w:r>
        <w:t xml:space="preserve">Pearl, J., y Mackenzie, D. (2018).</w:t>
      </w:r>
      <w:r>
        <w:t xml:space="preserve"> </w:t>
      </w:r>
      <w:r>
        <w:rPr>
          <w:i/>
          <w:iCs/>
        </w:rPr>
        <w:t xml:space="preserve">The book of why: The new science of cause and effect</w:t>
      </w:r>
      <w:r>
        <w:t xml:space="preserve">. Basic Books.</w:t>
      </w:r>
    </w:p>
    <w:p>
      <w:pPr>
        <w:pStyle w:val="Referencia"/>
      </w:pPr>
      <w:r>
        <w:t xml:space="preserve">Schön, D. A., y Rein, M. (1994).</w:t>
      </w:r>
      <w:r>
        <w:t xml:space="preserve"> </w:t>
      </w:r>
      <w:r>
        <w:rPr>
          <w:i/>
          <w:iCs/>
        </w:rPr>
        <w:t xml:space="preserve">Frame reflection: Toward the resolution of intractable policy controversies</w:t>
      </w:r>
      <w:r>
        <w:t xml:space="preserve">. Basic Books.</w:t>
      </w:r>
    </w:p>
    <w:p>
      <w:pPr>
        <w:pStyle w:val="Referencia"/>
      </w:pPr>
      <w:r>
        <w:t xml:space="preserve">Simon, H. A. (1973). The structure of ill structured problems.</w:t>
      </w:r>
      <w:r>
        <w:t xml:space="preserve"> </w:t>
      </w:r>
      <w:r>
        <w:rPr>
          <w:i/>
          <w:iCs/>
        </w:rPr>
        <w:t xml:space="preserve">Artificial Intelligence, 4</w:t>
      </w:r>
      <w:r>
        <w:t xml:space="preserve">(3–4), 181–201.</w:t>
      </w:r>
    </w:p>
    <w:p>
      <w:pPr>
        <w:pStyle w:val="Referencia"/>
      </w:pPr>
      <w:r>
        <w:t xml:space="preserve">Snowden, D. J., y Boone, M. E. (2007). A leader's framework for decision making.</w:t>
      </w:r>
      <w:r>
        <w:t xml:space="preserve"> </w:t>
      </w:r>
      <w:r>
        <w:rPr>
          <w:i/>
          <w:iCs/>
        </w:rPr>
        <w:t xml:space="preserve">Harvard Business Review, 85</w:t>
      </w:r>
      <w:r>
        <w:t xml:space="preserve">(11), 68–76.</w:t>
      </w:r>
    </w:p>
    <w:p>
      <w:pPr>
        <w:pStyle w:val="Referencia"/>
      </w:pPr>
      <w:r>
        <w:t xml:space="preserve">Stieb, D. M., Burnett, R. T., Smith-Doiron, M., Brion, O., Shin, H. H., y Economou, V. (2008). A new multipollutant, no-threshold air quality health index based on short-term associations observed in daily time-series analyses.</w:t>
      </w:r>
      <w:r>
        <w:t xml:space="preserve"> </w:t>
      </w:r>
      <w:r>
        <w:rPr>
          <w:i/>
          <w:iCs/>
        </w:rPr>
        <w:t xml:space="preserve">Journal of the Air &amp; Waste Management Association, 58</w:t>
      </w:r>
      <w:r>
        <w:t xml:space="preserve">(3), 435–450. https://doi.org/10.3155/1047-3289.58.3.435</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w:t>
      </w:r>
      <w:r>
        <w:t xml:space="preserve"> </w:t>
      </w:r>
      <w:r>
        <w:rPr>
          <w:i/>
          <w:iCs/>
        </w:rPr>
        <w:t xml:space="preserve">Atmosphere, 17</w:t>
      </w:r>
      <w:r>
        <w:t xml:space="preserve">(8), Article 797. https://doi.org/10.3390/atmos17080797</w:t>
      </w:r>
    </w:p>
    <w:p>
      <w:pPr>
        <w:pStyle w:val="Referencia"/>
      </w:pPr>
      <w:r>
        <w:t xml:space="preserve">Vester, F. (2007).</w:t>
      </w:r>
      <w:r>
        <w:t xml:space="preserve"> </w:t>
      </w:r>
      <w:r>
        <w:rPr>
          <w:i/>
          <w:iCs/>
        </w:rPr>
        <w:t xml:space="preserve">The art of interconnected thinking: Tools and concepts for a new approach to tackling complexity</w:t>
      </w:r>
      <w:r>
        <w:t xml:space="preserve">. MCB Verlag.</w:t>
      </w:r>
    </w:p>
    <w:p>
      <w:pPr>
        <w:pStyle w:val="Referencia"/>
      </w:pPr>
      <w:r>
        <w:t xml:space="preserve">Vickers, G. (1965).</w:t>
      </w:r>
      <w:r>
        <w:t xml:space="preserve"> </w:t>
      </w:r>
      <w:r>
        <w:rPr>
          <w:i/>
          <w:iCs/>
        </w:rPr>
        <w:t xml:space="preserve">The art of judgment: A study of policy making</w:t>
      </w:r>
      <w:r>
        <w:t xml:space="preserve">. Chapman &amp; Hall.</w:t>
      </w:r>
    </w:p>
    <w:bookmarkEnd w:id="76"/>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28" Type="http://schemas.openxmlformats.org/officeDocument/2006/relationships/image" Target="media/rId28.png"/><Relationship Id="rId32" Type="http://schemas.openxmlformats.org/officeDocument/2006/relationships/image" Target="media/rId32.png"/><Relationship Id="rId42" Type="http://schemas.openxmlformats.org/officeDocument/2006/relationships/image" Target="media/rId42.png"/><Relationship Id="rId36" Type="http://schemas.openxmlformats.org/officeDocument/2006/relationships/image" Target="media/rId36.png"/><Relationship Id="rId55" Type="http://schemas.openxmlformats.org/officeDocument/2006/relationships/image" Target="media/rId55.png"/><Relationship Id="rId63" Type="http://schemas.openxmlformats.org/officeDocument/2006/relationships/image" Target="media/rId63.png"/><Relationship Id="rId68" Type="http://schemas.openxmlformats.org/officeDocument/2006/relationships/image" Target="media/rId68.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2026-10-30T04:23:43Z</dcterms:created>
  <dcterms:modified xsi:type="dcterms:W3CDTF">2026-10-30T04:23:43Z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 ANEXO A. ANÁLISIS DEL PROBLEMA PÚBLICO Y DE LA ESTRUCTURA CAUSAL</vt:lpwstr>
  </property>
  <property fmtid="{D5CDD505-2E9C-101B-9397-08002B2CF9AE}" pid="3" name="toc-title">
    <vt:lpwstr>CONTENIDO</vt:lpwstr>
  </property>
</Properties>
</file>