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Asunto:</w:t>
      </w:r>
      <w:r>
        <w:t xml:space="preserve"> </w:t>
      </w:r>
      <w:r>
        <w:t xml:space="preserve">Convocatoria 56 SGR, SIGP 143329: Anexo 2 actualizado, cartas y datos que necesitamos de la universidad antes del 2 de noviembre</w:t>
      </w:r>
    </w:p>
    <w:p>
      <w:pPr>
        <w:pStyle w:val="BodyText"/>
      </w:pPr>
      <w:r>
        <w:t xml:space="preserve">Estimado equipo de la Universidad Santo Tomás, sede Villavicencio:</w:t>
      </w:r>
    </w:p>
    <w:p>
      <w:pPr>
        <w:pStyle w:val="BodyText"/>
      </w:pPr>
      <w:r>
        <w:t xml:space="preserve">Les enviamos para revisión el proyecto «Implementación de una red IoT híbrida Edge-Cloud y gemelo digital para la gestión anticipada del riesgo por material particulado posterremoto». La universidad es la entidad proponente y ejecutora. El cierre de la convocatoria es el martes 3 de noviembre de 2026 a las 4:00 p. m. El lunes 2 de noviembre es festivo. Por eso les pedimos sus observaciones, datos y firmas a más tardar el domingo 1 de noviembre a las 6:00 p. m.</w:t>
      </w:r>
    </w:p>
    <w:p>
      <w:pPr>
        <w:pStyle w:val="BodyText"/>
      </w:pPr>
      <w:r>
        <w:rPr>
          <w:bCs/>
          <w:b/>
        </w:rPr>
        <w:t xml:space="preserve">1. Documentos adjuntos</w:t>
      </w:r>
    </w:p>
    <w:p>
      <w:pPr>
        <w:numPr>
          <w:ilvl w:val="0"/>
          <w:numId w:val="1001"/>
        </w:numPr>
        <w:pStyle w:val="Compact"/>
      </w:pPr>
      <w:r>
        <w:t xml:space="preserve">Anexo 2, documento técnico actualizado al Anexo 3 versión 5 (DOCX y PDF de 289 páginas, 2,8 MB).</w:t>
      </w:r>
    </w:p>
    <w:p>
      <w:pPr>
        <w:numPr>
          <w:ilvl w:val="0"/>
          <w:numId w:val="1001"/>
        </w:numPr>
        <w:pStyle w:val="Compact"/>
      </w:pPr>
      <w:r>
        <w:t xml:space="preserve">Copia del Anexo 2 con control de cambios frente a la versión anterior.</w:t>
      </w:r>
    </w:p>
    <w:p>
      <w:pPr>
        <w:numPr>
          <w:ilvl w:val="0"/>
          <w:numId w:val="1001"/>
        </w:numPr>
        <w:pStyle w:val="Compact"/>
      </w:pPr>
      <w:r>
        <w:t xml:space="preserve">Matriz de correspondencia del presupuesto (Excel): cada partida con objetivo, producto, actividad, cantidad, costo, fuente, responsable, municipio, período y ubicación en el Anexo 2, la MGA y el SIGP.</w:t>
      </w:r>
    </w:p>
    <w:p>
      <w:pPr>
        <w:numPr>
          <w:ilvl w:val="0"/>
          <w:numId w:val="1001"/>
        </w:numPr>
        <w:pStyle w:val="Compact"/>
      </w:pPr>
      <w:r>
        <w:t xml:space="preserve">Estrategia de apropiación social del conocimiento, con los datos que debe aportar la alianza.</w:t>
      </w:r>
    </w:p>
    <w:p>
      <w:pPr>
        <w:numPr>
          <w:ilvl w:val="0"/>
          <w:numId w:val="1001"/>
        </w:numPr>
        <w:pStyle w:val="Compact"/>
      </w:pPr>
      <w:r>
        <w:t xml:space="preserve">Plan de sostenibilidad revisado (numeral 10.16), con un bloque de firma por entidad operadora.</w:t>
      </w:r>
    </w:p>
    <w:p>
      <w:pPr>
        <w:numPr>
          <w:ilvl w:val="0"/>
          <w:numId w:val="1001"/>
        </w:numPr>
        <w:pStyle w:val="Compact"/>
      </w:pPr>
      <w:r>
        <w:t xml:space="preserve">Borradores de los certificados de precios unitarios de Manizales y de Calarcá.</w:t>
      </w:r>
    </w:p>
    <w:p>
      <w:pPr>
        <w:pStyle w:val="FirstParagraph"/>
      </w:pPr>
      <w:r>
        <w:rPr>
          <w:bCs/>
          <w:b/>
        </w:rPr>
        <w:t xml:space="preserve">2. Qué hace cada integrante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Universidad Santo Tomás.</w:t>
      </w:r>
      <w:r>
        <w:t xml:space="preserve"> </w:t>
      </w:r>
      <w:r>
        <w:t xml:space="preserve">Ejecuta y administra los recursos del SGR. Lidera los objetivos específicos 1 y 2: medición verificada, red de 100 nodos, plataforma y laboratorio de modelación. Coordina la apropiación social. Aporta 1.244.000.000 COP en especie: investigador principal, coinvestigadores, laboratorios y espacio del laboratorio de modelación.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Manizales.</w:t>
      </w:r>
      <w:r>
        <w:t xml:space="preserve"> </w:t>
      </w:r>
      <w:r>
        <w:t xml:space="preserve">Lidera en su jurisdicción el uso institucional del tablero y del protocolo de alerta (actividades 3.1 a 3.5). Facilita el acceso a los sitios y a las demoliciones.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Municipio de Calarcá.</w:t>
      </w:r>
      <w:r>
        <w:t xml:space="preserve"> </w:t>
      </w:r>
      <w:r>
        <w:t xml:space="preserve">Cumple las mismas funciones en su jurisdicción. Aporta 60.000.000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Avanciencia.</w:t>
      </w:r>
      <w:r>
        <w:t xml:space="preserve"> </w:t>
      </w:r>
      <w:r>
        <w:t xml:space="preserve">Oficina de transferencia de resultados de investigación. Gestiona la vigilancia tecnológica, la propiedad intelectual, la valoración y los convenios de custodia (actividades 1.1, 1.2, 1.4, 1.6, 3.3 y 3.4). Aporta 150.000.000 COP en especie.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Gestión y Medio Ambiente.</w:t>
      </w:r>
      <w:r>
        <w:t xml:space="preserve"> </w:t>
      </w:r>
      <w:r>
        <w:t xml:space="preserve">Participa como actor técnico externo en calidad del aire. No integra la alianza ni firma cartas de la alianza.</w:t>
      </w:r>
    </w:p>
    <w:p>
      <w:pPr>
        <w:pStyle w:val="FirstParagraph"/>
      </w:pPr>
      <w:r>
        <w:rPr>
          <w:bCs/>
          <w:b/>
        </w:rPr>
        <w:t xml:space="preserve">3. Cartas y certificados que debe firmar el representante legal de la universidad</w:t>
      </w:r>
    </w:p>
    <w:p>
      <w:pPr>
        <w:numPr>
          <w:ilvl w:val="0"/>
          <w:numId w:val="1003"/>
        </w:numPr>
        <w:pStyle w:val="Compact"/>
      </w:pPr>
      <w:r>
        <w:t xml:space="preserve">Carta unificada de aval, compromiso institucional y modelo de gobernanza (Anexo 1), en un solo PDF con las firmas de los cuatro integrantes.</w:t>
      </w:r>
    </w:p>
    <w:p>
      <w:pPr>
        <w:numPr>
          <w:ilvl w:val="0"/>
          <w:numId w:val="1003"/>
        </w:numPr>
        <w:pStyle w:val="Compact"/>
      </w:pPr>
      <w:r>
        <w:t xml:space="preserve">Certificado de participación (numeral 10.18), con el compromiso con sus actividades y la justificación de su capacidad técnica.</w:t>
      </w:r>
    </w:p>
    <w:p>
      <w:pPr>
        <w:numPr>
          <w:ilvl w:val="0"/>
          <w:numId w:val="1003"/>
        </w:numPr>
        <w:pStyle w:val="Compact"/>
      </w:pPr>
      <w:r>
        <w:t xml:space="preserve">Certificado de titularidad, administración, custodia y cuidado de los bienes (numeral 10.19).</w:t>
      </w:r>
    </w:p>
    <w:p>
      <w:pPr>
        <w:numPr>
          <w:ilvl w:val="0"/>
          <w:numId w:val="1003"/>
        </w:numPr>
        <w:pStyle w:val="Compact"/>
      </w:pPr>
      <w:r>
        <w:t xml:space="preserve">Plan de sostenibilidad firmado como entidad operadora (numeral 10.16).</w:t>
      </w:r>
    </w:p>
    <w:p>
      <w:pPr>
        <w:numPr>
          <w:ilvl w:val="0"/>
          <w:numId w:val="1003"/>
        </w:numPr>
        <w:pStyle w:val="Compact"/>
      </w:pPr>
      <w:r>
        <w:t xml:space="preserve">Certificación de la contrapartida en especie, con valor, soporte, actividad financiada y momento del aporte.</w:t>
      </w:r>
    </w:p>
    <w:p>
      <w:pPr>
        <w:numPr>
          <w:ilvl w:val="0"/>
          <w:numId w:val="1003"/>
        </w:numPr>
        <w:pStyle w:val="Compact"/>
      </w:pPr>
      <w:r>
        <w:t xml:space="preserve">Aval del comité de ética o su determinación escrita de que no se requiere (numeral 10.10).</w:t>
      </w:r>
    </w:p>
    <w:p>
      <w:pPr>
        <w:numPr>
          <w:ilvl w:val="0"/>
          <w:numId w:val="1003"/>
        </w:numPr>
        <w:pStyle w:val="Compact"/>
      </w:pPr>
      <w:r>
        <w:t xml:space="preserve">Anexo 3 firmado, con al menos dos cotizaciones vigentes por rubro (numeral 10.8).</w:t>
      </w:r>
    </w:p>
    <w:p>
      <w:pPr>
        <w:pStyle w:val="FirstParagraph"/>
      </w:pPr>
      <w:r>
        <w:rPr>
          <w:bCs/>
          <w:b/>
        </w:rPr>
        <w:t xml:space="preserve">4. Datos y referencias que necesitamos de la universidad</w:t>
      </w:r>
    </w:p>
    <w:p>
      <w:pPr>
        <w:numPr>
          <w:ilvl w:val="0"/>
          <w:numId w:val="1004"/>
        </w:numPr>
        <w:pStyle w:val="Compact"/>
      </w:pPr>
      <w:r>
        <w:t xml:space="preserve">NIT, nombre y cédula del representante legal, y certificado de existencia y representación legal con menos de 90 días.</w:t>
      </w:r>
    </w:p>
    <w:p>
      <w:pPr>
        <w:numPr>
          <w:ilvl w:val="0"/>
          <w:numId w:val="1004"/>
        </w:numPr>
        <w:pStyle w:val="Compact"/>
      </w:pPr>
      <w:r>
        <w:t xml:space="preserve">Responsable institucional del proyecto y delegado al comité directivo.</w:t>
      </w:r>
    </w:p>
    <w:p>
      <w:pPr>
        <w:numPr>
          <w:ilvl w:val="0"/>
          <w:numId w:val="1004"/>
        </w:numPr>
        <w:pStyle w:val="Compact"/>
      </w:pPr>
      <w:r>
        <w:t xml:space="preserve">Grupo de investigación registrado en el SIGP, con su categoría vigente en MinCiencias.</w:t>
      </w:r>
    </w:p>
    <w:p>
      <w:pPr>
        <w:numPr>
          <w:ilvl w:val="0"/>
          <w:numId w:val="1004"/>
        </w:numPr>
        <w:pStyle w:val="Compact"/>
      </w:pPr>
      <w:r>
        <w:t xml:space="preserve">Dos proyectos de CTeI ejecutados por la universidad con fecha de terminación en los últimos cinco años (Anexo 5). Las actividades de apropiación social, divulgación y vocaciones científicas cuentan como CTeI, según la Secretaría Técnica. La participación como aliado no cuenta como experiencia de ejecutor.</w:t>
      </w:r>
    </w:p>
    <w:p>
      <w:pPr>
        <w:numPr>
          <w:ilvl w:val="0"/>
          <w:numId w:val="1004"/>
        </w:numPr>
        <w:pStyle w:val="Compact"/>
      </w:pPr>
      <w:r>
        <w:t xml:space="preserve">Resultado de la última medición de desempeño del DNP y resolución de acreditación institucional.</w:t>
      </w:r>
    </w:p>
    <w:p>
      <w:pPr>
        <w:numPr>
          <w:ilvl w:val="0"/>
          <w:numId w:val="1004"/>
        </w:numPr>
        <w:pStyle w:val="Compact"/>
      </w:pPr>
      <w:r>
        <w:t xml:space="preserve">Nombres y hojas de vida del investigador principal, del coinvestigador técnico y de los coinvestigadores de ambiente y ciencias sociales.</w:t>
      </w:r>
    </w:p>
    <w:p>
      <w:pPr>
        <w:numPr>
          <w:ilvl w:val="0"/>
          <w:numId w:val="1004"/>
        </w:numPr>
        <w:pStyle w:val="Compact"/>
      </w:pPr>
      <w:r>
        <w:t xml:space="preserve">Sede del laboratorio de modelación en Manizales o en Calarcá. Los TdR solo financian equipos ubicados en municipios afectados, y la universidad no tiene sede en esos municipios.</w:t>
      </w:r>
    </w:p>
    <w:p>
      <w:pPr>
        <w:numPr>
          <w:ilvl w:val="0"/>
          <w:numId w:val="1004"/>
        </w:numPr>
        <w:pStyle w:val="Compact"/>
      </w:pPr>
      <w:r>
        <w:t xml:space="preserve">Responsable del tratamiento de datos personales y política de datos de la universidad.</w:t>
      </w:r>
    </w:p>
    <w:p>
      <w:pPr>
        <w:numPr>
          <w:ilvl w:val="0"/>
          <w:numId w:val="1004"/>
        </w:numPr>
        <w:pStyle w:val="Compact"/>
      </w:pPr>
      <w:r>
        <w:t xml:space="preserve">Programas de maestría en modalidad de investigación con registro calificado para los dos estudiantes del proyecto.</w:t>
      </w:r>
    </w:p>
    <w:p>
      <w:pPr>
        <w:pStyle w:val="FirstParagraph"/>
      </w:pPr>
      <w:r>
        <w:rPr>
          <w:bCs/>
          <w:b/>
        </w:rPr>
        <w:t xml:space="preserve">5. Decisiones que necesitamos de la universidad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Aporte en efectivo.</w:t>
      </w:r>
      <w:r>
        <w:t xml:space="preserve"> </w:t>
      </w:r>
      <w:r>
        <w:t xml:space="preserve">La contrapartida actual es toda en especie. Un aporte en efectivo de al menos 139.994.053 COP (1 % del valor solicitado) suma dos puntos en el criterio 7.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Plataforma geoespacial.</w:t>
      </w:r>
      <w:r>
        <w:t xml:space="preserve"> </w:t>
      </w:r>
      <w:r>
        <w:t xml:space="preserve">El servicio de las líneas ST-12 a ST-20 (709.091.250 COP) necesita dos cotizaciones nuevas, porque el proveedor anterior salió de la alianza.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Partidas sin aportante.</w:t>
      </w:r>
      <w:r>
        <w:t xml:space="preserve"> </w:t>
      </w:r>
      <w:r>
        <w:t xml:space="preserve">EQ-13 y VI-05 del Anexo 3 quedaron sin aportante y deben retirarse o reasignarse en el Anexo 3.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Productos del posdoctor.</w:t>
      </w:r>
      <w:r>
        <w:t xml:space="preserve"> </w:t>
      </w:r>
      <w:r>
        <w:t xml:space="preserve">El Anexo 12 pide dos productos TOP o A; el numeral 9 de los TdR pide uno. Proponemos acoger dos en la ejecución.</w:t>
      </w:r>
    </w:p>
    <w:p>
      <w:pPr>
        <w:pStyle w:val="FirstParagraph"/>
      </w:pPr>
      <w:r>
        <w:t xml:space="preserve">Quedamos atentos a sus observaciones sobre el documento técnico. Cualquier ajuste se integra el lunes 2 de noviembre para radicar el martes 3 antes del mediodía.</w:t>
      </w:r>
    </w:p>
    <w:p>
      <w:pPr>
        <w:pStyle w:val="BodyText"/>
      </w:pPr>
      <w:r>
        <w:t xml:space="preserve">Cordialmente,</w:t>
      </w:r>
    </w:p>
    <w:p>
      <w:pPr>
        <w:pStyle w:val="BodyText"/>
      </w:pPr>
      <w:r>
        <w:t xml:space="preserve">[Nombre]</w:t>
      </w:r>
      <w:r>
        <w:t xml:space="preserve"> </w:t>
      </w:r>
      <w:r>
        <w:t xml:space="preserve">[Cargo]</w:t>
      </w:r>
      <w:r>
        <w:t xml:space="preserve"> </w:t>
      </w:r>
      <w:r>
        <w:t xml:space="preserve">[Teléfono y correo]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2026-10-30T04:23:35Z</dcterms:created>
  <dcterms:modified xsi:type="dcterms:W3CDTF">2026-10-30T04:23:35Z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