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c7e40302d7263f698fdc02b6a428a1d153d9fc"/>
    <w:p>
      <w:pPr>
        <w:pStyle w:val="Heading1"/>
      </w:pPr>
      <w:r>
        <w:t xml:space="preserve">Qué sigue faltando para radicar · SIGP 143329 · Anexo 3 v7</w:t>
      </w:r>
    </w:p>
    <w:p>
      <w:pPr>
        <w:pStyle w:val="FirstParagraph"/>
      </w:pPr>
      <w:r>
        <w:t xml:space="preserve">Corte: 31 de octubre de 2026. Cierre: martes 3 de noviembre de 2026, 4:00 p. m. Firmas y soportes: domingo 1 de noviembre, 6:00 p. m.</w:t>
      </w:r>
    </w:p>
    <w:bookmarkStart w:id="20" w:name="X93eff49f79584ce297cd5ec8206de23412764ea"/>
    <w:p>
      <w:pPr>
        <w:pStyle w:val="Heading2"/>
      </w:pPr>
      <w:r>
        <w:t xml:space="preserve">A. Cambios del Anexo 3 v7 y de Avanciencia ya incorporados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quedó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cifras no cambian: SGR 13.999.405.215 COP; contrapartida 1.774.000.000 COP (150.000.000 en efectivo); total 15.773.405.215 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2 y matriz v7 (la conciliación cuadra)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aporte de cada municipio deja de ser «profesionales» (TH-20 y TH-21) y pasa a «uso de software y hardware existentes» (EQ-24 y EQ-25, 60.000.000 COP cada uno): licencias SIG 20.000.000; alojamiento en el centro de datos 15.000.000; equipos de la sala de gestión del riesgo 15.000.000; conectividad 10.000.000. No incluye horas de funcionarios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 10, 19 y 26 del Anexo 2; Anexo 1; certificados 10.18 y de contrapartida de los municipios; resúmenes para los alcaldes; gráfico integrado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soporte de cada partida (hoja «C. Soportes y pendientes» del Anexo 3 v7)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 «Observación» y hoja «Alertas» de la matriz 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Actualización de Avanciencia al componente de apropiación social: liderazgo, trayectoria (Expociencia, Maloka, revista Innovación y Ciencia, podcast y convenciones de interfaz política-ciencia), cinco razones de idoneidad, co-creación y sostenibilidad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19 del Anexo 2 y documento de estrategia ASC; razón social en la sección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ejecutivo para el despacho de cada alcalde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Carpetas B y C de 02_FIRMAR</w:t>
            </w:r>
          </w:p>
        </w:tc>
      </w:tr>
    </w:tbl>
    <w:bookmarkEnd w:id="20"/>
    <w:bookmarkStart w:id="25" w:name="b.-lo-que-sigue-faltando-por-gravedad"/>
    <w:p>
      <w:pPr>
        <w:pStyle w:val="Heading2"/>
      </w:pPr>
      <w:r>
        <w:t xml:space="preserve">B. Lo que sigue faltando, por gravedad</w:t>
      </w:r>
    </w:p>
    <w:bookmarkStart w:id="21" w:name="no-subsanables"/>
    <w:p>
      <w:pPr>
        <w:pStyle w:val="Heading3"/>
      </w:pPr>
      <w:r>
        <w:t xml:space="preserve">No subsanables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según el Anexo 3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cotizaciones y análisis de costos por bien o servicio (TdR 12.2, nota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partidas «por cotizar»; EQ-01 (nodos) y EQ-04 (gateways) con una sola oferta preliminar; EQ-03 (referencias) con oferta de configuración y moneda pendientes; EQ-07 (banco) con oferta parcial; EQ-23 (cámara climática) sin oferta; ST-12 a ST-20 (plataforma geoespacial) sin oferta; PD-04 con oferta preliminar por conciliar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y formulador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Atribución de las escalas de honorarios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partidas de personal y viáticos con escala sin fuente atribuible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 de declaratoria que comprenda Manizales y Calarcá (10.20)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con los municipios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concordancia con el plan de acción específico (10.21), uno por lugar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listos; sin 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Alcaldías o gobernaciones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 del comité de ética y acto de conformación (10.10)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 lista; sin aval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Anexo 3 por representante legal con facultad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«Pendiente de datos y firma verificable»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</w:tbl>
    <w:bookmarkEnd w:id="21"/>
    <w:bookmarkStart w:id="22" w:name="habilitantes-de-las-entidades"/>
    <w:p>
      <w:pPr>
        <w:pStyle w:val="Heading3"/>
      </w:pPr>
      <w:r>
        <w:t xml:space="preserve">Habilitantes de las entidades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 por el que se habilita Avanciencia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se presenta como Asociación Colombiana para el Avance de la Ciencia, entidad privada sin ánimo de lucro. Confirmar si se habilita por 10.12 (sector productivo), 10.13 (sociedad civil: exige domicilio en un departamento afectado) o 10.14 (actor reconocido del SNCTI con resolución vigente). Si es por 10.13 y su domicilio es Bogotá, no cumple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Denominación de Avanciencia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Anexo 2 la llama «oficina de transferencia de resultados de investigación (OTRI)». Confirmar si tiene ese reconocimiento; si no, se cambia por «actor del SNCTI» en todo el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de existencia (menos de 90 días) de Avanciencia y de Gestión y Medio Ambiente (con un año de constitución) y resolución de reconocimiento de Avanciencia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copia</w:t>
            </w:r>
          </w:p>
        </w:tc>
      </w:tr>
    </w:tbl>
    <w:bookmarkEnd w:id="22"/>
    <w:bookmarkStart w:id="23" w:name="firmas-en-curso"/>
    <w:p>
      <w:pPr>
        <w:pStyle w:val="Heading3"/>
      </w:pPr>
      <w:r>
        <w:t xml:space="preserve">Firmas en curso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Cartas de contrapartida de Manizales y Calarcá (EQ-24 y EQ-25) con inventario, periodo de uso, método de valoración y facultad del firmante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«En proceso de firma»; copia no recibida. Modelos en las carpetas B y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1 con las cinco firmas en un solo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v7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10.18, 10.19, compromisos 10.6 y plan de sostenibilidad 10.16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listos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Certificaciones de contrapartida de Avanciencia y de Gestión y Medio Ambiente (sin la del efectivo, el criterio 7 queda en cero)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listos</w:t>
            </w:r>
          </w:p>
        </w:tc>
      </w:tr>
    </w:tbl>
    <w:bookmarkEnd w:id="23"/>
    <w:bookmarkStart w:id="24" w:name="datos-del-documento-técnico"/>
    <w:p>
      <w:pPr>
        <w:pStyle w:val="Heading3"/>
      </w:pPr>
      <w:r>
        <w:t xml:space="preserve">Datos del documento técnico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Soportes de la experiencia de Avanciencia y fuente de la afirmación atribuida a Eduardo Posada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NIT, representantes legales y responsables institucionales de las cinco entidades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de investigación con categoría vigente, dos proyectos para el Anexo 5 y acreditación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Sede del laboratorio de modelación en Manizales o en Calarcá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con los municipios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Demanda territorial (Anexo 4) y reportes oficiales de afectación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en la MGA-Web (tipología D) en la PIIP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del tratamiento de datos y programas de maestría con registro calificado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</w:t>
            </w:r>
          </w:p>
        </w:tc>
      </w:tr>
    </w:tbl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2026-10-31T01:06:45Z</dcterms:created>
  <dcterms:modified xsi:type="dcterms:W3CDTF">2026-10-31T01:06:45Z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