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Universidad Santo Tomás, sede Villavicencio]</w:t>
      </w:r>
    </w:p>
    <w:p>
      <w:pPr>
        <w:spacing w:after="120"/>
        <w:jc w:val="center"/>
      </w:pPr>
      <w:r>
        <w:rPr>
          <w:b/>
          <w:sz w:val="24"/>
        </w:rPr>
        <w:t>CERTIFICADO DE PARTICIPACIÓN</w:t>
      </w:r>
    </w:p>
    <w:p>
      <w:pPr>
        <w:spacing w:after="120"/>
        <w:jc w:val="center"/>
      </w:pPr>
      <w:r>
        <w:rPr>
          <w:b w:val="0"/>
          <w:sz w:val="18"/>
        </w:rPr>
        <w:t>Numeral 10.18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Universidad Santo Tomás, sede Villavicencio certifica que la entidad participa como entidad proponente y ejecutora en el proyecto «Implementación de una red IoT híbrida Edge-Cloud y gemelo digital para la gestión anticipada del riesgo por material particulado posterremoto» (código SIGP 143329), presentado a la Convocatoria 56 del Sistema General de Regalías, Asignación para la CTeI, cuya entidad proponente y ejecutora es la Universidad Santo Tomás, sede Villavicencio, y que se compromete a ejecutar las actividades siguientes: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  <w:sz w:val="18"/>
              </w:rPr>
              <w:t>Objetivo y actividades</w:t>
            </w:r>
          </w:p>
        </w:tc>
        <w:tc>
          <w:tcPr>
            <w:tcW w:type="dxa" w:w="4703"/>
          </w:tcPr>
          <w:p>
            <w:r>
              <w:rPr>
                <w:b/>
                <w:sz w:val="18"/>
              </w:rPr>
              <w:t>Compromiso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OE1 y OE2 (actividades 1.1 a 1.8 y 2.1 a 2.8)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Lidera la medición verificada, la red de 100 nodos y 10 gateways, la plataforma y el laboratorio de modelación; ejecuta y administra los recursos del SGR</w:t>
            </w:r>
          </w:p>
        </w:tc>
      </w:tr>
      <w:tr>
        <w:tc>
          <w:tcPr>
            <w:tcW w:type="dxa" w:w="4703"/>
          </w:tcPr>
          <w:p>
            <w:r>
              <w:rPr>
                <w:sz w:val="18"/>
              </w:rPr>
              <w:t>OE3 (actividades 3.1 a 3.6)</w:t>
            </w:r>
          </w:p>
        </w:tc>
        <w:tc>
          <w:tcPr>
            <w:tcW w:type="dxa" w:w="4703"/>
          </w:tcPr>
          <w:p>
            <w:r>
              <w:rPr>
                <w:sz w:val="18"/>
              </w:rPr>
              <w:t>Contrata con Avanciencia la apropiación social y la transferencia; aporta los coinvestigadores de ambiente y ciencias sociales; custodia permanente de los datos</w:t>
            </w:r>
          </w:p>
        </w:tc>
      </w:tr>
    </w:tbl>
    <w:p/>
    <w:p>
      <w:pPr>
        <w:spacing w:after="120"/>
      </w:pPr>
      <w:r>
        <w:rPr>
          <w:b w:val="0"/>
          <w:sz w:val="21"/>
        </w:rPr>
        <w:t>Contrapartida comprometida: $ 1.244.000.000 en especie, según el Anexo 3 versión 7 y la certificación de contrapartida que se adjunta.</w:t>
      </w:r>
    </w:p>
    <w:p>
      <w:pPr>
        <w:spacing w:after="120"/>
      </w:pPr>
      <w:r>
        <w:rPr>
          <w:b w:val="0"/>
          <w:sz w:val="21"/>
        </w:rPr>
        <w:t>Justificación de la capacidad técnica: Grupo de investigación [Diligenciar: nombre y categoría]; experiencia en [Diligenciar: dos proyectos de CTeI del Anexo 5]; laboratorios y equipo de investigación descritos en la sección 26 del Anexo 2.</w:t>
      </w:r>
    </w:p>
    <w:p>
      <w:pPr>
        <w:spacing w:after="120"/>
      </w:pPr>
      <w:r>
        <w:rPr>
          <w:b w:val="0"/>
          <w:sz w:val="21"/>
        </w:rPr>
        <w:t>Responsable institucional designado: [Diligenciar: nombre, cargo, correo y teléfono].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Universidad Santo Tomás, sede Villavicencio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