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i w:val="0"/>
          <w:color w:val="1F3A5F"/>
          <w:sz w:val="18"/>
        </w:rPr>
        <w:t>RESUMEN EJECUTIVO PARA EL DESPACHO DEL ALCALDE</w:t>
      </w:r>
    </w:p>
    <w:p>
      <w:pPr>
        <w:spacing w:after="40"/>
      </w:pPr>
      <w:r>
        <w:rPr>
          <w:b/>
          <w:i w:val="0"/>
          <w:sz w:val="28"/>
        </w:rPr>
        <w:t>Implementación de una red IoT híbrida Edge-Cloud y gemelo digital para la gestión anticipada del riesgo por material particulado posterremoto</w:t>
      </w:r>
    </w:p>
    <w:p>
      <w:pPr>
        <w:spacing w:after="160"/>
      </w:pPr>
      <w:r>
        <w:rPr>
          <w:b w:val="0"/>
          <w:i/>
          <w:sz w:val="18"/>
        </w:rPr>
        <w:t>Convocatoria 56 del Sistema General de Regalías (Asignación para la CTeI) · Código SIGP 143329 · Municipio de Calarcá (Quindío) · Cierre de la convocatoria: martes 3 de noviembre de 2026, 4:00 p. m.</w:t>
      </w:r>
    </w:p>
    <w:p>
      <w:pPr>
        <w:spacing w:after="60" w:before="160"/>
      </w:pPr>
      <w:r>
        <w:rPr>
          <w:b/>
          <w:i w:val="0"/>
          <w:color w:val="1F3A5F"/>
          <w:sz w:val="24"/>
        </w:rPr>
        <w:t>1. En una frase</w:t>
      </w:r>
    </w:p>
    <w:p>
      <w:pPr>
        <w:spacing w:after="80"/>
      </w:pPr>
      <w:r>
        <w:rPr>
          <w:b w:val="0"/>
          <w:i w:val="0"/>
          <w:sz w:val="20"/>
        </w:rPr>
        <w:t>El proyecto instala en Calarcá una red de 50 sensores de material particulado (PM2,5 y PM10) en los sitios de demolición y remoción de escombros del sismo del 10 de agosto de 2026, verifica su error frente a equipos de referencia y entrega al consejo municipal de gestión del riesgo un tablero y un protocolo de alerta para proteger a trabajadores y vecinos del polvo, más un laboratorio que estima la exposición antes de cada demolición.</w:t>
      </w:r>
    </w:p>
    <w:p>
      <w:pPr>
        <w:spacing w:after="60" w:before="160"/>
      </w:pPr>
      <w:r>
        <w:rPr>
          <w:b/>
          <w:i w:val="0"/>
          <w:color w:val="1F3A5F"/>
          <w:sz w:val="24"/>
        </w:rPr>
        <w:t>2. Objetivo, alcance y justificación</w:t>
      </w:r>
    </w:p>
    <w:p>
      <w:pPr>
        <w:spacing w:after="80"/>
      </w:pPr>
      <w:r>
        <w:rPr>
          <w:b w:val="0"/>
          <w:i w:val="0"/>
          <w:sz w:val="20"/>
        </w:rPr>
        <w:t>Objetivo general: reducir el error de las mediciones de PM2,5 y PM10 en los sitios de remoción de escombros y lograr que los consejos de gestión del riesgo las usen para decidir alertas, en 24 meses.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948"/>
            <w:shd w:val="clear" w:color="auto" w:fill="DCE6F0"/>
          </w:tcPr>
          <w:p>
            <w:r/>
            <w:r>
              <w:rPr>
                <w:b/>
                <w:sz w:val="17"/>
              </w:rPr>
              <w:t>Objetivo específico</w:t>
            </w:r>
          </w:p>
        </w:tc>
        <w:tc>
          <w:tcPr>
            <w:tcW w:type="dxa" w:w="5102"/>
            <w:shd w:val="clear" w:color="auto" w:fill="DCE6F0"/>
          </w:tcPr>
          <w:p>
            <w:r/>
            <w:r>
              <w:rPr>
                <w:b/>
                <w:sz w:val="17"/>
              </w:rPr>
              <w:t>Qué entrega</w:t>
            </w:r>
          </w:p>
        </w:tc>
        <w:tc>
          <w:tcPr>
            <w:tcW w:type="dxa" w:w="1587"/>
            <w:shd w:val="clear" w:color="auto" w:fill="DCE6F0"/>
          </w:tcPr>
          <w:p>
            <w:r/>
            <w:r>
              <w:rPr>
                <w:b/>
                <w:sz w:val="17"/>
              </w:rPr>
              <w:t>Valor SGR (COP)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7"/>
              </w:rPr>
              <w:t>1. Corregir la medición y validar el modelo predictivo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Colocalización con equipos de referencia, modelo de corrección validado en cada municipio, gemelo predictivo probado en al menos seis demoliciones reales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7.807.068.548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7"/>
              </w:rPr>
              <w:t>2. Red disponible y laboratorio de modelación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100 nodos y 10 gateways con energía solar y respaldo satelital (50 y 5 por municipio), plataforma y laboratorio de modelación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4.620.145.795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7"/>
              </w:rPr>
              <w:t>3. Uso institucional y custodia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Umbrales y protocolo de alerta co-diseñados con los consejos, 20 talleres, 9 jornadas, 5.000 cartillas, 60 custodios certificados y convenios de custodia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1.572.190.872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20"/>
        </w:rPr>
        <w:t>Alcance: dos municipios (Manizales, Caldas, y Calarcá, Quindío), cuatro consejos de gestión del riesgo (dos municipales y dos departamentales), despliegue en tres tramos (30, 40 y 30 nodos) con compuertas de decisión en los meses 12, 17 y 24. El proyecto mide y alerta; no ejecuta ni autoriza demoliciones y no sustituye la medición regulatoria de la autoridad ambiental.</w:t>
      </w:r>
    </w:p>
    <w:p>
      <w:pPr>
        <w:spacing w:after="80"/>
      </w:pPr>
      <w:r>
        <w:rPr>
          <w:b w:val="0"/>
          <w:i w:val="0"/>
          <w:sz w:val="20"/>
        </w:rPr>
        <w:t>Justificación: tras el sismo, los consejos deben decidir alertas y protecciones en los sitios de remoción con sensores de bajo costo cuyo error no se conoce. La humedad y el polvo grueso alteran esas lecturas. Una alerta con dato de error desconocido puede ser tardía o falsa. El proyecto cierra esa brecha de ciencia, tecnología e innovación con una red verificada y un uso institucional documentado.</w:t>
      </w:r>
    </w:p>
    <w:p>
      <w:pPr>
        <w:spacing w:after="60" w:before="160"/>
      </w:pPr>
      <w:r>
        <w:rPr>
          <w:b/>
          <w:i w:val="0"/>
          <w:color w:val="1F3A5F"/>
          <w:sz w:val="24"/>
        </w:rPr>
        <w:t>3. Productos y resultados esperados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19"/>
            <w:shd w:val="clear" w:color="auto" w:fill="DCE6F0"/>
          </w:tcPr>
          <w:p>
            <w:r/>
            <w:r>
              <w:rPr>
                <w:b/>
                <w:sz w:val="17"/>
              </w:rPr>
              <w:t>Productos (catálogo MGA, programa 3906)</w:t>
            </w:r>
          </w:p>
        </w:tc>
        <w:tc>
          <w:tcPr>
            <w:tcW w:type="dxa" w:w="4819"/>
            <w:shd w:val="clear" w:color="auto" w:fill="DCE6F0"/>
          </w:tcPr>
          <w:p>
            <w:r/>
            <w:r>
              <w:rPr>
                <w:b/>
                <w:sz w:val="17"/>
              </w:rPr>
              <w:t>Resultados verificables al mes 24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7"/>
              </w:rPr>
              <w:t>Dos prototipos validados: sistema de 100 nodos y 10 gateways, y gemelo predictivo de demolición</w:t>
            </w:r>
          </w:p>
        </w:tc>
        <w:tc>
          <w:tcPr>
            <w:tcW w:type="dxa" w:w="4819"/>
          </w:tcPr>
          <w:p>
            <w:r/>
            <w:r>
              <w:rPr>
                <w:sz w:val="17"/>
              </w:rPr>
              <w:t>Error de los nodos: R² ≥ 0,70 y NRMSE ≤ 30 % frente a la referencia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7"/>
              </w:rPr>
              <w:t>Infraestructura de medición y laboratorio de modelación</w:t>
            </w:r>
          </w:p>
        </w:tc>
        <w:tc>
          <w:tcPr>
            <w:tcW w:type="dxa" w:w="4819"/>
          </w:tcPr>
          <w:p>
            <w:r/>
            <w:r>
              <w:rPr>
                <w:sz w:val="17"/>
              </w:rPr>
              <w:t>Disponibilidad mensual de la red ≥ 90 %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7"/>
              </w:rPr>
              <w:t>Tres documentos de planeación: protocolo de alerta, plan de sostenibilidad y protocolo de evaluación previa de demolición</w:t>
            </w:r>
          </w:p>
        </w:tc>
        <w:tc>
          <w:tcPr>
            <w:tcW w:type="dxa" w:w="4819"/>
          </w:tcPr>
          <w:p>
            <w:r/>
            <w:r>
              <w:rPr>
                <w:sz w:val="17"/>
              </w:rPr>
              <w:t>Al menos 3 de los 4 consejos deciden con el tablero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7"/>
              </w:rPr>
              <w:t>29 actividades de apropiación social y 5.000 cartillas</w:t>
            </w:r>
          </w:p>
        </w:tc>
        <w:tc>
          <w:tcPr>
            <w:tcW w:type="dxa" w:w="4819"/>
          </w:tcPr>
          <w:p>
            <w:r/>
            <w:r>
              <w:rPr>
                <w:sz w:val="17"/>
              </w:rPr>
              <w:t>Reducción de falsas alarmas de 30 % o más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7"/>
              </w:rPr>
              <w:t>Asistencia técnica: 60 personas certificadas y 4 consejos</w:t>
            </w:r>
          </w:p>
        </w:tc>
        <w:tc>
          <w:tcPr>
            <w:tcW w:type="dxa" w:w="4819"/>
          </w:tcPr>
          <w:p>
            <w:r/>
            <w:r>
              <w:rPr>
                <w:sz w:val="17"/>
              </w:rPr>
              <w:t>60 custodios certificados y 12 evaluaciones previas de demolición (al menos 3 por municipio)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7"/>
              </w:rPr>
              <w:t>Nueve documentos de investigación; formación de 6 jóvenes investigadores, 2 magísteres y 1 posdoctor</w:t>
            </w:r>
          </w:p>
        </w:tc>
        <w:tc>
          <w:tcPr>
            <w:tcW w:type="dxa" w:w="4819"/>
          </w:tcPr>
          <w:p>
            <w:r/>
            <w:r>
              <w:rPr>
                <w:sz w:val="17"/>
              </w:rPr>
              <w:t>A 12 meses del cierre: 70 % de la red operando bajo custodia</w:t>
            </w:r>
          </w:p>
        </w:tc>
      </w:tr>
    </w:tbl>
    <w:p>
      <w:pPr>
        <w:spacing w:after="40"/>
      </w:pPr>
    </w:p>
    <w:p>
      <w:pPr>
        <w:spacing w:after="60" w:before="160"/>
      </w:pPr>
      <w:r>
        <w:rPr>
          <w:b/>
          <w:i w:val="0"/>
          <w:color w:val="1F3A5F"/>
          <w:sz w:val="24"/>
        </w:rPr>
        <w:t>4. Entidad proponente y entidades aliadas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8"/>
            <w:shd w:val="clear" w:color="auto" w:fill="DCE6F0"/>
          </w:tcPr>
          <w:p>
            <w:r/>
            <w:r>
              <w:rPr>
                <w:b/>
                <w:sz w:val="17"/>
              </w:rPr>
              <w:t>Entidad</w:t>
            </w:r>
          </w:p>
        </w:tc>
        <w:tc>
          <w:tcPr>
            <w:tcW w:type="dxa" w:w="1814"/>
            <w:shd w:val="clear" w:color="auto" w:fill="DCE6F0"/>
          </w:tcPr>
          <w:p>
            <w:r/>
            <w:r>
              <w:rPr>
                <w:b/>
                <w:sz w:val="17"/>
              </w:rPr>
              <w:t>Calidad</w:t>
            </w:r>
          </w:p>
        </w:tc>
        <w:tc>
          <w:tcPr>
            <w:tcW w:type="dxa" w:w="3572"/>
            <w:shd w:val="clear" w:color="auto" w:fill="DCE6F0"/>
          </w:tcPr>
          <w:p>
            <w:r/>
            <w:r>
              <w:rPr>
                <w:b/>
                <w:sz w:val="17"/>
              </w:rPr>
              <w:t>Función principal</w:t>
            </w:r>
          </w:p>
        </w:tc>
        <w:tc>
          <w:tcPr>
            <w:tcW w:type="dxa" w:w="1814"/>
            <w:shd w:val="clear" w:color="auto" w:fill="DCE6F0"/>
          </w:tcPr>
          <w:p>
            <w:r/>
            <w:r>
              <w:rPr>
                <w:b/>
                <w:sz w:val="17"/>
              </w:rPr>
              <w:t>Contrapartida (COP)</w:t>
            </w:r>
          </w:p>
        </w:tc>
      </w:tr>
      <w:tr>
        <w:tc>
          <w:tcPr>
            <w:tcW w:type="dxa" w:w="2438"/>
          </w:tcPr>
          <w:p>
            <w:r/>
            <w:r>
              <w:rPr>
                <w:sz w:val="17"/>
              </w:rPr>
              <w:t>Universidad Santo Tomás, sede Villavicencio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Proponente y ejecutora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Administra los recursos del SGR; lidera la medición, la red, la plataforma y el laboratorio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1.244.000.000 en especie</w:t>
            </w:r>
          </w:p>
        </w:tc>
      </w:tr>
      <w:tr>
        <w:tc>
          <w:tcPr>
            <w:tcW w:type="dxa" w:w="2438"/>
          </w:tcPr>
          <w:p>
            <w:r/>
            <w:r>
              <w:rPr>
                <w:sz w:val="17"/>
              </w:rPr>
              <w:t>Municipio de Manizales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Aliada No. 1 (entidad territorial)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Uso institucional del tablero y del protocolo en su jurisdicción; acceso a sitios; custodia local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60.000.000 en especie (software y hardware)</w:t>
            </w:r>
          </w:p>
        </w:tc>
      </w:tr>
      <w:tr>
        <w:tc>
          <w:tcPr>
            <w:tcW w:type="dxa" w:w="2438"/>
          </w:tcPr>
          <w:p>
            <w:r/>
            <w:r>
              <w:rPr>
                <w:sz w:val="17"/>
              </w:rPr>
              <w:t>Municipio de Calarcá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Aliada No. 2 (entidad territorial)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Las mismas funciones en su jurisdicción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60.000.000 en especie (software y hardware)</w:t>
            </w:r>
          </w:p>
        </w:tc>
      </w:tr>
      <w:tr>
        <w:tc>
          <w:tcPr>
            <w:tcW w:type="dxa" w:w="2438"/>
          </w:tcPr>
          <w:p>
            <w:r/>
            <w:r>
              <w:rPr>
                <w:sz w:val="17"/>
              </w:rPr>
              <w:t>Avanciencia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Aliada No. 3 (actor del SNCTI)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Apropiación social, formación de custodios, convenios y propiedad intelectual, por contrato con la universidad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150.000.000 en especie</w:t>
            </w:r>
          </w:p>
        </w:tc>
      </w:tr>
      <w:tr>
        <w:tc>
          <w:tcPr>
            <w:tcW w:type="dxa" w:w="2438"/>
          </w:tcPr>
          <w:p>
            <w:r/>
            <w:r>
              <w:rPr>
                <w:sz w:val="17"/>
              </w:rPr>
              <w:t>Gestión y Medio Ambiente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Aliada No. 4 (sector productivo)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Equipos y apoyo técnico en Manizales; logística de instalación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110.000.000 en especie y 150.000.000 en efectivo</w:t>
            </w:r>
          </w:p>
        </w:tc>
      </w:tr>
    </w:tbl>
    <w:p>
      <w:pPr>
        <w:spacing w:after="40"/>
      </w:pPr>
    </w:p>
    <w:p>
      <w:pPr>
        <w:spacing w:after="60" w:before="160"/>
      </w:pPr>
      <w:r>
        <w:rPr>
          <w:b/>
          <w:i w:val="0"/>
          <w:color w:val="1F3A5F"/>
          <w:sz w:val="24"/>
        </w:rPr>
        <w:t>5. Qué se compromete a hacer el Municipio de Calarcá</w:t>
      </w:r>
    </w:p>
    <w:p>
      <w:pPr>
        <w:pStyle w:val="ListBullet"/>
        <w:spacing w:after="40"/>
      </w:pPr>
      <w:r>
        <w:rPr>
          <w:sz w:val="20"/>
        </w:rPr>
        <w:t>Liderar en su jurisdicción el uso institucional del tablero y del protocolo de alerta, a través del consejo municipal de gestión del riesgo, y designar delegados para 20 talleres de co-diseño y la formación (actividades 3.1 a 3.5).</w:t>
      </w:r>
    </w:p>
    <w:p>
      <w:pPr>
        <w:pStyle w:val="ListBullet"/>
        <w:spacing w:after="40"/>
      </w:pPr>
      <w:r>
        <w:rPr>
          <w:sz w:val="20"/>
        </w:rPr>
        <w:t>Facilitar el acceso a los sitios de remoción y a las demoliciones, e informar las demoliciones previstas para validar el modelo predictivo.</w:t>
      </w:r>
    </w:p>
    <w:p>
      <w:pPr>
        <w:pStyle w:val="ListBullet"/>
        <w:spacing w:after="40"/>
      </w:pPr>
      <w:r>
        <w:rPr>
          <w:sz w:val="20"/>
        </w:rPr>
        <w:t>Aportar en especie 60.000.000 COP (partida EQ-25 del Anexo 3 v7) mediante el uso de software y hardware existentes durante la ejecución: licencias del sistema de información geográfica para dos puestos (20.000.000), alojamiento del tablero y de los datos en el centro de datos municipal (15.000.000), equipos de la sala de gestión del riesgo (15.000.000) y conectividad y energía en las sedes donde se instalen nodos (10.000.000). No incluye horas de funcionarios ni desembolsos en efectivo.</w:t>
      </w:r>
    </w:p>
    <w:p>
      <w:pPr>
        <w:pStyle w:val="ListBullet"/>
        <w:spacing w:after="40"/>
      </w:pPr>
      <w:r>
        <w:rPr>
          <w:sz w:val="20"/>
        </w:rPr>
        <w:t>Adoptar el protocolo de evaluación previa de demolición como insumo de decisión (no como autorización).</w:t>
      </w:r>
    </w:p>
    <w:p>
      <w:pPr>
        <w:pStyle w:val="ListBullet"/>
        <w:spacing w:after="40"/>
      </w:pPr>
      <w:r>
        <w:rPr>
          <w:sz w:val="20"/>
        </w:rPr>
        <w:t>Firmar al mes 17 un convenio de custodia de los nodos de su jurisdicción, con personal designado y una partida presupuestal para su operación después del cierre.</w:t>
      </w:r>
    </w:p>
    <w:p>
      <w:pPr>
        <w:spacing w:after="80"/>
      </w:pPr>
      <w:r>
        <w:rPr>
          <w:b w:val="0"/>
          <w:i/>
          <w:sz w:val="19"/>
        </w:rPr>
        <w:t>El municipio no administra recursos del SGR, no figura como beneficiario y no asume obligaciones de compra. La universidad compra los equipos y los entrega por acta al custodio.</w:t>
      </w:r>
    </w:p>
    <w:p>
      <w:pPr>
        <w:spacing w:after="60" w:before="160"/>
      </w:pPr>
      <w:r>
        <w:rPr>
          <w:b/>
          <w:i w:val="0"/>
          <w:color w:val="1F3A5F"/>
          <w:sz w:val="24"/>
        </w:rPr>
        <w:t>6. Valor total, fuentes de financiación y contrapartidas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5953"/>
            <w:shd w:val="clear" w:color="auto" w:fill="DCE6F0"/>
          </w:tcPr>
          <w:p>
            <w:r/>
            <w:r>
              <w:rPr>
                <w:b/>
                <w:sz w:val="17"/>
              </w:rPr>
              <w:t>Fuente</w:t>
            </w:r>
          </w:p>
        </w:tc>
        <w:tc>
          <w:tcPr>
            <w:tcW w:type="dxa" w:w="1984"/>
            <w:shd w:val="clear" w:color="auto" w:fill="DCE6F0"/>
          </w:tcPr>
          <w:p>
            <w:r/>
            <w:r>
              <w:rPr>
                <w:b/>
                <w:sz w:val="17"/>
              </w:rPr>
              <w:t>Valor (COP)</w:t>
            </w:r>
          </w:p>
        </w:tc>
        <w:tc>
          <w:tcPr>
            <w:tcW w:type="dxa" w:w="1701"/>
            <w:shd w:val="clear" w:color="auto" w:fill="DCE6F0"/>
          </w:tcPr>
          <w:p>
            <w:r/>
            <w:r>
              <w:rPr>
                <w:b/>
                <w:sz w:val="17"/>
              </w:rPr>
              <w:t>Participación</w:t>
            </w:r>
          </w:p>
        </w:tc>
      </w:tr>
      <w:tr>
        <w:tc>
          <w:tcPr>
            <w:tcW w:type="dxa" w:w="5953"/>
          </w:tcPr>
          <w:p>
            <w:r/>
            <w:r>
              <w:rPr>
                <w:sz w:val="17"/>
              </w:rPr>
              <w:t>Sistema General de Regalías, Asignación para la CTeI (solicitado)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13.999.405.215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88,75 %</w:t>
            </w:r>
          </w:p>
        </w:tc>
      </w:tr>
      <w:tr>
        <w:tc>
          <w:tcPr>
            <w:tcW w:type="dxa" w:w="5953"/>
          </w:tcPr>
          <w:p>
            <w:r/>
            <w:r>
              <w:rPr>
                <w:sz w:val="17"/>
              </w:rPr>
              <w:t>Contrapartida en especie (universidad, municipios, Avanciencia, Gestión y Medio Ambiente)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1.624.000.000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10,30 %</w:t>
            </w:r>
          </w:p>
        </w:tc>
      </w:tr>
      <w:tr>
        <w:tc>
          <w:tcPr>
            <w:tcW w:type="dxa" w:w="5953"/>
          </w:tcPr>
          <w:p>
            <w:r/>
            <w:r>
              <w:rPr>
                <w:sz w:val="17"/>
              </w:rPr>
              <w:t>Contrapartida en efectivo (Gestión y Medio Ambiente)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150.000.000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0,95 %</w:t>
            </w:r>
          </w:p>
        </w:tc>
      </w:tr>
      <w:tr>
        <w:tc>
          <w:tcPr>
            <w:tcW w:type="dxa" w:w="5953"/>
          </w:tcPr>
          <w:p>
            <w:r/>
            <w:r>
              <w:rPr>
                <w:b/>
                <w:sz w:val="17"/>
              </w:rPr>
              <w:t>Total del proyecto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15.773.405.215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100 %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20"/>
        </w:rPr>
        <w:t>Inversión localizada: el Anexo 3 localiza de forma explícita 399.199.591 COP del SGR en cada municipio (técnicos de campo, estación meteorológica, estudio de cobertura y talleres); el resto (94,3 %) es común a los dos municipios e incluye los 50 nodos y 5 gateways que se instalan en Calarcá.</w:t>
      </w:r>
    </w:p>
    <w:p>
      <w:pPr>
        <w:spacing w:after="80"/>
      </w:pPr>
      <w:r>
        <w:rPr>
          <w:b w:val="0"/>
          <w:i w:val="0"/>
          <w:sz w:val="20"/>
        </w:rPr>
        <w:t>Costo después del cierre: el SGR no financia la operación posterior. El costo anual calculable de toda la red es de 265.716.408 COP (licencias, nube, conectividad satelital y repuestos) y se reparte entre la universidad y los municipios según los convenios de custodia. La parte del municipio se fija en su convenio al mes 17 y debe contar con partida presupuestal.</w:t>
      </w:r>
    </w:p>
    <w:p>
      <w:pPr>
        <w:spacing w:after="60" w:before="160"/>
      </w:pPr>
      <w:r>
        <w:rPr>
          <w:b/>
          <w:i w:val="0"/>
          <w:color w:val="1F3A5F"/>
          <w:sz w:val="24"/>
        </w:rPr>
        <w:t>7. Aliados estratégicos y actores relacionados</w:t>
      </w:r>
    </w:p>
    <w:p>
      <w:pPr>
        <w:pStyle w:val="ListBullet"/>
        <w:spacing w:after="40"/>
      </w:pPr>
      <w:r>
        <w:rPr>
          <w:sz w:val="20"/>
        </w:rPr>
        <w:t>Consejos municipales y departamentales de gestión del riesgo de Caldas y del Quindío: usuarios del tablero y del protocolo.</w:t>
      </w:r>
    </w:p>
    <w:p>
      <w:pPr>
        <w:pStyle w:val="ListBullet"/>
        <w:spacing w:after="40"/>
      </w:pPr>
      <w:r>
        <w:rPr>
          <w:sz w:val="20"/>
        </w:rPr>
        <w:t>Gobernaciones de Caldas y del Quindío: certificado de concordancia con el plan de acción específico (si lo suscribieron) y compromiso de uso de sus consejos.</w:t>
      </w:r>
    </w:p>
    <w:p>
      <w:pPr>
        <w:pStyle w:val="ListBullet"/>
        <w:spacing w:after="40"/>
      </w:pPr>
      <w:r>
        <w:rPr>
          <w:sz w:val="20"/>
        </w:rPr>
        <w:t>Autoridades ambientales (Corpocaldas y CRQ) y UNGRD: reciben el reporte técnico de desempeño de los sensores; no son integrantes.</w:t>
      </w:r>
    </w:p>
    <w:p>
      <w:pPr>
        <w:pStyle w:val="ListBullet"/>
        <w:spacing w:after="40"/>
      </w:pPr>
      <w:r>
        <w:rPr>
          <w:sz w:val="20"/>
        </w:rPr>
        <w:t>Laboratorio acreditado y evaluador externo independiente: verifican el desempeño (TRL 8 al mes 23).</w:t>
      </w:r>
    </w:p>
    <w:p>
      <w:pPr>
        <w:spacing w:after="60" w:before="160"/>
      </w:pPr>
      <w:r>
        <w:rPr>
          <w:b/>
          <w:i w:val="0"/>
          <w:color w:val="1F3A5F"/>
          <w:sz w:val="24"/>
        </w:rPr>
        <w:t>8. Beneficios para el municipio</w:t>
      </w:r>
    </w:p>
    <w:p>
      <w:pPr>
        <w:pStyle w:val="ListBullet"/>
        <w:spacing w:after="40"/>
      </w:pPr>
      <w:r>
        <w:rPr>
          <w:sz w:val="20"/>
        </w:rPr>
        <w:t>Mediciones de PM2,5 y PM10 con error conocido en los sitios de remoción de Calarcá y un tablero con índice local de calidad del aire.</w:t>
      </w:r>
    </w:p>
    <w:p>
      <w:pPr>
        <w:pStyle w:val="ListBullet"/>
        <w:spacing w:after="40"/>
      </w:pPr>
      <w:r>
        <w:rPr>
          <w:sz w:val="20"/>
        </w:rPr>
        <w:t>Protocolo de alerta co-diseñado con el consejo municipal y personal formado como custodio.</w:t>
      </w:r>
    </w:p>
    <w:p>
      <w:pPr>
        <w:pStyle w:val="ListBullet"/>
        <w:spacing w:after="40"/>
      </w:pPr>
      <w:r>
        <w:rPr>
          <w:sz w:val="20"/>
        </w:rPr>
        <w:t>Evaluaciones previas de la exposición al polvo antes de las demoliciones de su jurisdicción.</w:t>
      </w:r>
    </w:p>
    <w:p>
      <w:pPr>
        <w:pStyle w:val="ListBullet"/>
        <w:spacing w:after="40"/>
      </w:pPr>
      <w:r>
        <w:rPr>
          <w:sz w:val="20"/>
        </w:rPr>
        <w:t>Participación en el comité directivo de la alianza y en las decisiones de cada compuerta.</w:t>
      </w:r>
    </w:p>
    <w:p>
      <w:pPr>
        <w:spacing w:after="60" w:before="160"/>
      </w:pPr>
      <w:r>
        <w:rPr>
          <w:b/>
          <w:i w:val="0"/>
          <w:color w:val="1F3A5F"/>
          <w:sz w:val="24"/>
        </w:rPr>
        <w:t>9. Riesgos que el municipio debe conocer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969"/>
            <w:shd w:val="clear" w:color="auto" w:fill="DCE6F0"/>
          </w:tcPr>
          <w:p>
            <w:r/>
            <w:r>
              <w:rPr>
                <w:b/>
                <w:sz w:val="17"/>
              </w:rPr>
              <w:t>Riesgo</w:t>
            </w:r>
          </w:p>
        </w:tc>
        <w:tc>
          <w:tcPr>
            <w:tcW w:type="dxa" w:w="5669"/>
            <w:shd w:val="clear" w:color="auto" w:fill="DCE6F0"/>
          </w:tcPr>
          <w:p>
            <w:r/>
            <w:r>
              <w:rPr>
                <w:b/>
                <w:sz w:val="17"/>
              </w:rPr>
              <w:t>Cómo se maneja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7"/>
              </w:rPr>
              <w:t>Que el consejo no adopte el tablero (probabilidad estimada 40 %)</w:t>
            </w:r>
          </w:p>
        </w:tc>
        <w:tc>
          <w:tcPr>
            <w:tcW w:type="dxa" w:w="5669"/>
          </w:tcPr>
          <w:p>
            <w:r/>
            <w:r>
              <w:rPr>
                <w:sz w:val="17"/>
              </w:rPr>
              <w:t>Co-diseño de umbrales y uso piloto; la compuerta del mes 12 exige que al menos la mitad de los consejos del tramo 1 lo use antes de ampliar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7"/>
              </w:rPr>
              <w:t>Que el custodio no asuma la operación al cierre (50 %)</w:t>
            </w:r>
          </w:p>
        </w:tc>
        <w:tc>
          <w:tcPr>
            <w:tcW w:type="dxa" w:w="5669"/>
          </w:tcPr>
          <w:p>
            <w:r/>
            <w:r>
              <w:rPr>
                <w:sz w:val="17"/>
              </w:rPr>
              <w:t>Convenio con partida exigido al mes 17; custodia alterna; cláusula de apertura de datos y código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7"/>
              </w:rPr>
              <w:t>Robo o vandalismo de nodos (40 %)</w:t>
            </w:r>
          </w:p>
        </w:tc>
        <w:tc>
          <w:tcPr>
            <w:tcW w:type="dxa" w:w="5669"/>
          </w:tcPr>
          <w:p>
            <w:r/>
            <w:r>
              <w:rPr>
                <w:sz w:val="17"/>
              </w:rPr>
              <w:t>Cerramientos, custodia local por sitio y 20 nodos de reserva</w:t>
            </w:r>
          </w:p>
        </w:tc>
      </w:tr>
    </w:tbl>
    <w:p>
      <w:pPr>
        <w:spacing w:after="40"/>
      </w:pPr>
    </w:p>
    <w:p>
      <w:pPr>
        <w:spacing w:after="60" w:before="160"/>
      </w:pPr>
      <w:r>
        <w:rPr>
          <w:b/>
          <w:i w:val="0"/>
          <w:color w:val="1F3A5F"/>
          <w:sz w:val="24"/>
        </w:rPr>
        <w:t>10. Documentos que se solicita firmar al señor Alcalde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969"/>
            <w:shd w:val="clear" w:color="auto" w:fill="DCE6F0"/>
          </w:tcPr>
          <w:p>
            <w:r/>
            <w:r>
              <w:rPr>
                <w:b/>
                <w:sz w:val="17"/>
              </w:rPr>
              <w:t>Documento</w:t>
            </w:r>
          </w:p>
        </w:tc>
        <w:tc>
          <w:tcPr>
            <w:tcW w:type="dxa" w:w="3969"/>
            <w:shd w:val="clear" w:color="auto" w:fill="DCE6F0"/>
          </w:tcPr>
          <w:p>
            <w:r/>
            <w:r>
              <w:rPr>
                <w:b/>
                <w:sz w:val="17"/>
              </w:rPr>
              <w:t>Para qué</w:t>
            </w:r>
          </w:p>
        </w:tc>
        <w:tc>
          <w:tcPr>
            <w:tcW w:type="dxa" w:w="1701"/>
            <w:shd w:val="clear" w:color="auto" w:fill="DCE6F0"/>
          </w:tcPr>
          <w:p>
            <w:r/>
            <w:r>
              <w:rPr>
                <w:b/>
                <w:sz w:val="17"/>
              </w:rPr>
              <w:t>Fecha límite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7"/>
              </w:rPr>
              <w:t>Anexo 1: carta unificada de aval, compromiso y gobernanza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Requisito de la convocatoria (numeral 10.4); la firman los cinco integrantes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Domingo 1 de noviembre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7"/>
              </w:rPr>
              <w:t>Certificado de participación (numeral 10.18)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Acredita las actividades y la capacidad técnica del municipio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Domingo 1 de noviembre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7"/>
              </w:rPr>
              <w:t>Certificación de contrapartida en especie (EQ-25)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Acredita los 60.000.000 COP en software y hardware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Domingo 1 de noviembre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7"/>
              </w:rPr>
              <w:t>Certificado de precios unitarios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Respalda los costos del presupuesto en el territorio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Domingo 1 de noviembre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7"/>
              </w:rPr>
              <w:t>Compromiso de uso (numeral 10.6)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Respalda el uso del tablero por el consejo municipal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Domingo 1 de noviembre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7"/>
              </w:rPr>
              <w:t>Certificado de concordancia con el plan de acción específico (numeral 10.21), si el municipio suscribió el plan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Requisito no subsanable por lugar de ejecución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Domingo 1 de noviembre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7"/>
              </w:rPr>
              <w:t>Plan de sostenibilidad (numeral 10.16)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Compromiso de operación posterior del tablero y de los nodos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Domingo 1 de noviembre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/>
          <w:sz w:val="19"/>
        </w:rPr>
        <w:t>Firmar estos documentos no compromete recursos distintos de la contrapartida en especie descrita y de la partida de custodia que se fije en el convenio del mes 17.</w:t>
      </w:r>
    </w:p>
    <w:p>
      <w:pPr>
        <w:spacing w:after="80"/>
      </w:pPr>
      <w:r>
        <w:rPr>
          <w:b w:val="0"/>
          <w:i w:val="0"/>
          <w:sz w:val="19"/>
        </w:rPr>
        <w:t>Contacto del proyecto: [Diligenciar: nombre, cargo, correo y teléfono del responsable de la Universidad Santo Tomás].</w:t>
      </w:r>
    </w:p>
    <w:p>
      <w:pPr>
        <w:sectPr>
          <w:pgSz w:w="12240" w:h="15840"/>
          <w:pgMar w:top="1020" w:right="1247" w:bottom="1020" w:left="1247" w:header="720" w:footer="720" w:gutter="0"/>
          <w:cols w:space="720"/>
          <w:docGrid w:linePitch="360"/>
        </w:sectPr>
      </w:pPr>
    </w:p>
    <w:p>
      <w:pPr>
        <w:spacing w:after="80"/>
      </w:pPr>
      <w:r>
        <w:rPr>
          <w:b/>
          <w:i w:val="0"/>
          <w:color w:val="1F3A5F"/>
          <w:sz w:val="18"/>
        </w:rPr>
        <w:t>Anexo: esquema integrado del proyecto (red del problema a la solución, árbol de decisión, marco conceptual y compromisos de cada actor)</w:t>
      </w:r>
    </w:p>
    <w:p>
      <w:r>
        <w:drawing>
          <wp:inline xmlns:a="http://schemas.openxmlformats.org/drawingml/2006/main" xmlns:pic="http://schemas.openxmlformats.org/drawingml/2006/picture">
            <wp:extent cx="7095652" cy="61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integra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95652" cy="612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5840" w:h="12240" w:orient="landscape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