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18"/>
        </w:rPr>
        <w:t>[Diligenciar: membrete de Avanciencia]</w:t>
      </w:r>
    </w:p>
    <w:p>
      <w:pPr>
        <w:spacing w:after="120"/>
        <w:jc w:val="center"/>
      </w:pPr>
      <w:r>
        <w:rPr>
          <w:b/>
          <w:sz w:val="24"/>
        </w:rPr>
        <w:t>CERTIFICADO DE PARTICIPACIÓN</w:t>
      </w:r>
    </w:p>
    <w:p>
      <w:pPr>
        <w:spacing w:after="120"/>
        <w:jc w:val="center"/>
      </w:pPr>
      <w:r>
        <w:rPr>
          <w:b w:val="0"/>
          <w:sz w:val="18"/>
        </w:rPr>
        <w:t>Numeral 10.18 de los términos de referencia de la Convocatoria 56</w:t>
      </w:r>
    </w:p>
    <w:p>
      <w:pPr>
        <w:spacing w:after="120"/>
      </w:pPr>
      <w:r>
        <w:rPr>
          <w:b w:val="0"/>
          <w:sz w:val="21"/>
        </w:rPr>
        <w:t>El suscrito representante legal de Avanciencia certifica que la entidad participa como entidad aliada No. 3, actor del SNCTI (oficina de transferencia de resultados de investigación) en el proyecto «Implementación de una red IoT híbrida Edge-Cloud y gemelo digital para la gestión anticipada del riesgo por material particulado posterremoto» (código SIGP 143329), presentado a la Convocatoria 56 del Sistema General de Regalías, Asignación para la CTeI, cuya entidad proponente y ejecutora es la Universidad Santo Tomás, sede Villavicencio, y que se compromete a ejecutar las actividades siguientes: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Objetivo y actividades</w:t>
            </w:r>
          </w:p>
        </w:tc>
        <w:tc>
          <w:tcPr>
            <w:tcW w:type="dxa" w:w="4703"/>
          </w:tcPr>
          <w:p>
            <w:r>
              <w:rPr>
                <w:b/>
                <w:sz w:val="18"/>
              </w:rPr>
              <w:t>Compromiso</w:t>
            </w:r>
          </w:p>
        </w:tc>
      </w:tr>
      <w:tr>
        <w:tc>
          <w:tcPr>
            <w:tcW w:type="dxa" w:w="4703"/>
          </w:tcPr>
          <w:p>
            <w:r>
              <w:rPr>
                <w:sz w:val="18"/>
              </w:rPr>
              <w:t>OE1 (actividades 1.1, 1.2, 1.4 y 1.6)</w:t>
            </w:r>
          </w:p>
        </w:tc>
        <w:tc>
          <w:tcPr>
            <w:tcW w:type="dxa" w:w="4703"/>
          </w:tcPr>
          <w:p>
            <w:r>
              <w:rPr>
                <w:sz w:val="18"/>
              </w:rPr>
              <w:t>Vigilancia tecnológica, análisis de libertad de operación, documentación del modelo como resultado protegible y valoración de resultados</w:t>
            </w:r>
          </w:p>
        </w:tc>
      </w:tr>
      <w:tr>
        <w:tc>
          <w:tcPr>
            <w:tcW w:type="dxa" w:w="4703"/>
          </w:tcPr>
          <w:p>
            <w:r>
              <w:rPr>
                <w:sz w:val="18"/>
              </w:rPr>
              <w:t>OE3 (actividades 3.1 a 3.5)</w:t>
            </w:r>
          </w:p>
        </w:tc>
        <w:tc>
          <w:tcPr>
            <w:tcW w:type="dxa" w:w="4703"/>
          </w:tcPr>
          <w:p>
            <w:r>
              <w:rPr>
                <w:sz w:val="18"/>
              </w:rPr>
              <w:t>Ejecuta, por contrato con la universidad, la apropiación social (co-diseño, jornadas, cartillas y publicaciones), forma a 60 custodios, estructura los convenios y gestiona la propiedad intelectual y los registros</w:t>
            </w:r>
          </w:p>
        </w:tc>
      </w:tr>
    </w:tbl>
    <w:p/>
    <w:p>
      <w:pPr>
        <w:spacing w:after="120"/>
      </w:pPr>
      <w:r>
        <w:rPr>
          <w:b w:val="0"/>
          <w:sz w:val="21"/>
        </w:rPr>
        <w:t>Contrapartida comprometida: $ 150.000.000 en especie, según el Anexo 3 versión 7 y la certificación de contrapartida que se adjunta.</w:t>
      </w:r>
    </w:p>
    <w:p>
      <w:pPr>
        <w:spacing w:after="120"/>
      </w:pPr>
      <w:r>
        <w:rPr>
          <w:b w:val="0"/>
          <w:sz w:val="21"/>
        </w:rPr>
        <w:t>Justificación de la capacidad técnica: Reconocimiento de MinCiencias como actor del SNCTI [Diligenciar: resolución y vigencia]; procesos de transferencia acompañados [Diligenciar].</w:t>
      </w:r>
    </w:p>
    <w:p>
      <w:pPr>
        <w:spacing w:after="120"/>
      </w:pPr>
      <w:r>
        <w:rPr>
          <w:b w:val="0"/>
          <w:sz w:val="21"/>
        </w:rPr>
        <w:t>Responsable institucional designado: [Diligenciar: nombre, cargo, correo y teléfono].</w:t>
      </w:r>
    </w:p>
    <w:p>
      <w:pPr>
        <w:spacing w:after="120"/>
      </w:pPr>
      <w:r>
        <w:rPr>
          <w:b w:val="0"/>
          <w:sz w:val="21"/>
        </w:rPr>
        <w:t>Se expide en [Diligenciar: ciudad], el [Diligenciar: día] de noviembre de 2026.</w:t>
      </w:r>
    </w:p>
    <w:p>
      <w:pPr>
        <w:spacing w:after="40"/>
      </w:pPr>
      <w:r>
        <w:rPr>
          <w:b w:val="0"/>
          <w:sz w:val="21"/>
        </w:rPr>
        <w:br/>
        <w:br/>
        <w:t>Firma: ______________________________</w:t>
      </w:r>
    </w:p>
    <w:p>
      <w:pPr>
        <w:spacing w:after="40"/>
      </w:pPr>
      <w:r>
        <w:rPr>
          <w:b/>
          <w:sz w:val="21"/>
        </w:rPr>
        <w:t>[Diligenciar: nombre completo]</w:t>
      </w:r>
    </w:p>
    <w:p>
      <w:pPr>
        <w:spacing w:after="40"/>
      </w:pPr>
      <w:r>
        <w:rPr>
          <w:b w:val="0"/>
          <w:sz w:val="21"/>
        </w:rPr>
        <w:t>Representante legal · C. C. [Diligenciar: número]</w:t>
      </w:r>
    </w:p>
    <w:p>
      <w:pPr>
        <w:spacing w:after="40"/>
      </w:pPr>
      <w:r>
        <w:rPr>
          <w:b w:val="0"/>
          <w:sz w:val="21"/>
        </w:rPr>
        <w:t>Avanciencia · NIT [Diligenciar]</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