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Convocatoria 56 SGR, SIGP 143329: Anexo 2 versión 6, cartas y datos que necesitamos de la universidad antes del 2 de noviembre</w:t>
      </w:r>
    </w:p>
    <w:p>
      <w:pPr>
        <w:pStyle w:val="BodyText"/>
      </w:pPr>
      <w:r>
        <w:t xml:space="preserve">Estimado equipo de la Universidad Santo Tomás, sede Villavicencio:</w:t>
      </w:r>
    </w:p>
    <w:p>
      <w:pPr>
        <w:pStyle w:val="BodyText"/>
      </w:pPr>
      <w:r>
        <w:t xml:space="preserve">Les enviamos para revisión el proyecto «Implementación de una red IoT híbrida Edge-Cloud y gemelo digital para la gestión anticipada del riesgo por material particulado posterremoto», actualizado al Anexo 3 versión 6. La universidad es la entidad proponente y ejecutora. El cierre de la convocatoria es el martes 3 de noviembre de 2026 a las 4:00 p. m., y como el lunes 2 de noviembre es festivo, les pedimos sus observaciones, datos y firmas a más tardar el domingo 1 de noviembre a las 6:00 p. m.</w:t>
      </w:r>
    </w:p>
    <w:p>
      <w:pPr>
        <w:pStyle w:val="BodyText"/>
      </w:pPr>
      <w:r>
        <w:rPr>
          <w:bCs/>
          <w:b/>
        </w:rPr>
        <w:t xml:space="preserve">1. Documentos adjuntos</w:t>
      </w:r>
    </w:p>
    <w:p>
      <w:pPr>
        <w:numPr>
          <w:ilvl w:val="0"/>
          <w:numId w:val="1001"/>
        </w:numPr>
        <w:pStyle w:val="Compact"/>
      </w:pPr>
      <w:r>
        <w:t xml:space="preserve">Anexo 2, documento técnico versión 6 (DOCX y PDF de 292 páginas, 2,8 MB), con su copia con control de cambios frente a la versión 5.</w:t>
      </w:r>
    </w:p>
    <w:p>
      <w:pPr>
        <w:numPr>
          <w:ilvl w:val="0"/>
          <w:numId w:val="1001"/>
        </w:numPr>
        <w:pStyle w:val="Compact"/>
      </w:pPr>
      <w:r>
        <w:t xml:space="preserve">Anexo A, análisis del problema público y de la estructura causal.</w:t>
      </w:r>
    </w:p>
    <w:p>
      <w:pPr>
        <w:numPr>
          <w:ilvl w:val="0"/>
          <w:numId w:val="1001"/>
        </w:numPr>
        <w:pStyle w:val="Compact"/>
      </w:pPr>
      <w:r>
        <w:t xml:space="preserve">Relación de cambios relevantes y vacíos de la versión 6.</w:t>
      </w:r>
    </w:p>
    <w:p>
      <w:pPr>
        <w:numPr>
          <w:ilvl w:val="0"/>
          <w:numId w:val="1001"/>
        </w:numPr>
        <w:pStyle w:val="Compact"/>
      </w:pPr>
      <w:r>
        <w:t xml:space="preserve">Matriz de correspondencia del presupuesto (Excel), con la entidad que ejecuta cada partida.</w:t>
      </w:r>
    </w:p>
    <w:p>
      <w:pPr>
        <w:numPr>
          <w:ilvl w:val="0"/>
          <w:numId w:val="1001"/>
        </w:numPr>
        <w:pStyle w:val="Compact"/>
      </w:pPr>
      <w:r>
        <w:t xml:space="preserve">Estrategia de apropiación social del conocimiento, que ahora ejecuta Avanciencia.</w:t>
      </w:r>
    </w:p>
    <w:p>
      <w:pPr>
        <w:numPr>
          <w:ilvl w:val="0"/>
          <w:numId w:val="1001"/>
        </w:numPr>
        <w:pStyle w:val="Compact"/>
      </w:pPr>
      <w:r>
        <w:t xml:space="preserve">Plan de sostenibilidad (numeral 10.16), con un bloque de firma por entidad operadora.</w:t>
      </w:r>
    </w:p>
    <w:p>
      <w:pPr>
        <w:numPr>
          <w:ilvl w:val="0"/>
          <w:numId w:val="1001"/>
        </w:numPr>
        <w:pStyle w:val="Compact"/>
      </w:pPr>
      <w:r>
        <w:t xml:space="preserve">Borradores de los certificados de precios unitarios de Manizales y de Calarcá, con la partida CA-05 y las nuevas cantidades de VI-01 a VI-03.</w:t>
      </w:r>
    </w:p>
    <w:p>
      <w:pPr>
        <w:numPr>
          <w:ilvl w:val="0"/>
          <w:numId w:val="1001"/>
        </w:numPr>
        <w:pStyle w:val="Compact"/>
      </w:pPr>
      <w:r>
        <w:t xml:space="preserve">Carta unificada del Anexo 1 con los cinco integrantes.</w:t>
      </w:r>
    </w:p>
    <w:p>
      <w:pPr>
        <w:pStyle w:val="FirstParagraph"/>
      </w:pPr>
      <w:r>
        <w:rPr>
          <w:bCs/>
          <w:b/>
        </w:rPr>
        <w:t xml:space="preserve">2. Qué hace cada integrante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Universidad Santo Tomás.</w:t>
      </w:r>
      <w:r>
        <w:t xml:space="preserve"> </w:t>
      </w:r>
      <w:r>
        <w:t xml:space="preserve">Ejecuta y administra los recursos del SGR. Lidera los objetivos específicos 1 y 2: medición verificada, red de 100 nodos, plataforma y laboratorio de modelación. Contrata con Avanciencia la apropiación social y la transferencia. Aporta 1.244.000.000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Manizales.</w:t>
      </w:r>
      <w:r>
        <w:t xml:space="preserve"> </w:t>
      </w:r>
      <w:r>
        <w:t xml:space="preserve">Lidera en su jurisdicción el uso institucional del tablero y del protocolo de alerta y facilita el acceso a los sitios y a las demoliciones.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Calarcá.</w:t>
      </w:r>
      <w:r>
        <w:t xml:space="preserve"> </w:t>
      </w:r>
      <w:r>
        <w:t xml:space="preserve">Cumple las mismas funciones en su jurisdicción.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Avanciencia.</w:t>
      </w:r>
      <w:r>
        <w:t xml:space="preserve"> </w:t>
      </w:r>
      <w:r>
        <w:t xml:space="preserve">Ejecuta, por contrato con la universidad, la apropiación social (co-diseño, jornadas, cartillas, formación de custodios; 892.587.696 COP del SGR) y la transferencia (vigilancia tecnológica, libertad de operación, propiedad intelectual y convenios). Aporta 150.000.000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y Medio Ambiente.</w:t>
      </w:r>
      <w:r>
        <w:t xml:space="preserve"> </w:t>
      </w:r>
      <w:r>
        <w:t xml:space="preserve">Aliado del sector productivo. Aporta equipos de monitoreo y apoyo técnico en Manizales (110.000.000 COP en especie) y la logística de instalación de los tramos 2 y 3 (150.000.000 COP en efectivo). Ese efectivo equivale a 1,07 % del valor solicitado y suma dos puntos en el criterio 7.</w:t>
      </w:r>
    </w:p>
    <w:p>
      <w:pPr>
        <w:pStyle w:val="FirstParagraph"/>
      </w:pPr>
      <w:r>
        <w:rPr>
          <w:bCs/>
          <w:b/>
        </w:rPr>
        <w:t xml:space="preserve">3. Cartas y certificados que debe firmar el representante legal de la universidad</w:t>
      </w:r>
    </w:p>
    <w:p>
      <w:pPr>
        <w:numPr>
          <w:ilvl w:val="0"/>
          <w:numId w:val="1003"/>
        </w:numPr>
        <w:pStyle w:val="Compact"/>
      </w:pPr>
      <w:r>
        <w:t xml:space="preserve">Carta unificada de aval, compromiso institucional y modelo de gobernanza (Anexo 1), en un solo PDF con las firmas de los cinco integrantes.</w:t>
      </w:r>
    </w:p>
    <w:p>
      <w:pPr>
        <w:numPr>
          <w:ilvl w:val="0"/>
          <w:numId w:val="1003"/>
        </w:numPr>
        <w:pStyle w:val="Compact"/>
      </w:pPr>
      <w:r>
        <w:t xml:space="preserve">Certificado de participación (numeral 10.18).</w:t>
      </w:r>
    </w:p>
    <w:p>
      <w:pPr>
        <w:numPr>
          <w:ilvl w:val="0"/>
          <w:numId w:val="1003"/>
        </w:numPr>
        <w:pStyle w:val="Compact"/>
      </w:pPr>
      <w:r>
        <w:t xml:space="preserve">Certificado de titularidad, administración, custodia y cuidado de los bienes (numeral 10.19).</w:t>
      </w:r>
    </w:p>
    <w:p>
      <w:pPr>
        <w:numPr>
          <w:ilvl w:val="0"/>
          <w:numId w:val="1003"/>
        </w:numPr>
        <w:pStyle w:val="Compact"/>
      </w:pPr>
      <w:r>
        <w:t xml:space="preserve">Plan de sostenibilidad firmado como entidad operadora (numeral 10.16).</w:t>
      </w:r>
    </w:p>
    <w:p>
      <w:pPr>
        <w:numPr>
          <w:ilvl w:val="0"/>
          <w:numId w:val="1003"/>
        </w:numPr>
        <w:pStyle w:val="Compact"/>
      </w:pPr>
      <w:r>
        <w:t xml:space="preserve">Certificación de la contrapartida en especie, con valor, soporte, actividad financiada y momento del aporte.</w:t>
      </w:r>
    </w:p>
    <w:p>
      <w:pPr>
        <w:numPr>
          <w:ilvl w:val="0"/>
          <w:numId w:val="1003"/>
        </w:numPr>
        <w:pStyle w:val="Compact"/>
      </w:pPr>
      <w:r>
        <w:t xml:space="preserve">Aval del comité de ética y acto de conformación del comité (numeral 10.10). El aval es obligatorio, porque el proyecto trata datos personales de participantes en talleres y encuestas.</w:t>
      </w:r>
    </w:p>
    <w:p>
      <w:pPr>
        <w:numPr>
          <w:ilvl w:val="0"/>
          <w:numId w:val="1003"/>
        </w:numPr>
        <w:pStyle w:val="Compact"/>
      </w:pPr>
      <w:r>
        <w:t xml:space="preserve">Anexo 3 firmado, con al menos dos cotizaciones vigentes por rubro (numeral 10.8).</w:t>
      </w:r>
    </w:p>
    <w:p>
      <w:pPr>
        <w:pStyle w:val="FirstParagraph"/>
      </w:pPr>
      <w:r>
        <w:rPr>
          <w:bCs/>
          <w:b/>
        </w:rPr>
        <w:t xml:space="preserve">4. Datos que necesitamos de la universidad</w:t>
      </w:r>
    </w:p>
    <w:p>
      <w:pPr>
        <w:numPr>
          <w:ilvl w:val="0"/>
          <w:numId w:val="1004"/>
        </w:numPr>
        <w:pStyle w:val="Compact"/>
      </w:pPr>
      <w:r>
        <w:t xml:space="preserve">NIT, nombre y cédula del representante legal, y certificado de existencia y representación legal con menos de 90 días.</w:t>
      </w:r>
    </w:p>
    <w:p>
      <w:pPr>
        <w:numPr>
          <w:ilvl w:val="0"/>
          <w:numId w:val="1004"/>
        </w:numPr>
        <w:pStyle w:val="Compact"/>
      </w:pPr>
      <w:r>
        <w:t xml:space="preserve">Responsable institucional del proyecto y delegado al comité directivo.</w:t>
      </w:r>
    </w:p>
    <w:p>
      <w:pPr>
        <w:numPr>
          <w:ilvl w:val="0"/>
          <w:numId w:val="1004"/>
        </w:numPr>
        <w:pStyle w:val="Compact"/>
      </w:pPr>
      <w:r>
        <w:t xml:space="preserve">Grupo de investigación registrado en el SIGP, con su categoría vigente.</w:t>
      </w:r>
    </w:p>
    <w:p>
      <w:pPr>
        <w:numPr>
          <w:ilvl w:val="0"/>
          <w:numId w:val="1004"/>
        </w:numPr>
        <w:pStyle w:val="Compact"/>
      </w:pPr>
      <w:r>
        <w:t xml:space="preserve">Dos proyectos de CTeI ejecutados por la universidad con terminación en los últimos cinco años (Anexo 5).</w:t>
      </w:r>
    </w:p>
    <w:p>
      <w:pPr>
        <w:numPr>
          <w:ilvl w:val="0"/>
          <w:numId w:val="1004"/>
        </w:numPr>
        <w:pStyle w:val="Compact"/>
      </w:pPr>
      <w:r>
        <w:t xml:space="preserve">Resultado de la última medición de desempeño del DNP y resolución de acreditación institucional.</w:t>
      </w:r>
    </w:p>
    <w:p>
      <w:pPr>
        <w:numPr>
          <w:ilvl w:val="0"/>
          <w:numId w:val="1004"/>
        </w:numPr>
        <w:pStyle w:val="Compact"/>
      </w:pPr>
      <w:r>
        <w:t xml:space="preserve">Nombres y hojas de vida del investigador principal y de los coinvestigadores.</w:t>
      </w:r>
    </w:p>
    <w:p>
      <w:pPr>
        <w:numPr>
          <w:ilvl w:val="0"/>
          <w:numId w:val="1004"/>
        </w:numPr>
        <w:pStyle w:val="Compact"/>
      </w:pPr>
      <w:r>
        <w:t xml:space="preserve">Sede del laboratorio de modelación en Manizales o en Calarcá.</w:t>
      </w:r>
    </w:p>
    <w:p>
      <w:pPr>
        <w:numPr>
          <w:ilvl w:val="0"/>
          <w:numId w:val="1004"/>
        </w:numPr>
        <w:pStyle w:val="Compact"/>
      </w:pPr>
      <w:r>
        <w:t xml:space="preserve">Responsable del tratamiento de datos personales y política de datos.</w:t>
      </w:r>
    </w:p>
    <w:p>
      <w:pPr>
        <w:numPr>
          <w:ilvl w:val="0"/>
          <w:numId w:val="1004"/>
        </w:numPr>
        <w:pStyle w:val="Compact"/>
      </w:pPr>
      <w:r>
        <w:t xml:space="preserve">Programas de maestría en modalidad de investigación con registro calificado.</w:t>
      </w:r>
    </w:p>
    <w:p>
      <w:pPr>
        <w:pStyle w:val="FirstParagraph"/>
      </w:pPr>
      <w:r>
        <w:rPr>
          <w:bCs/>
          <w:b/>
        </w:rPr>
        <w:t xml:space="preserve">5. Decisiones que necesitamos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Perfil de pagos de la asesoría jurídica (PD-02).</w:t>
      </w:r>
      <w:r>
        <w:t xml:space="preserve"> </w:t>
      </w:r>
      <w:r>
        <w:t xml:space="preserve">El Anexo 3 v6 la paga en los meses 2 a 4, pero el Plan de transferencia programa servicios hasta el mes 23. Confirmar si el contrato se paga por anticipado con entregas posteriores.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Contrato con Avanciencia.</w:t>
      </w:r>
      <w:r>
        <w:t xml:space="preserve"> </w:t>
      </w:r>
      <w:r>
        <w:t xml:space="preserve">Definir la modalidad de contratación de la apropiación social y la transferencia.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Plataforma geoespacial.</w:t>
      </w:r>
      <w:r>
        <w:t xml:space="preserve"> </w:t>
      </w:r>
      <w:r>
        <w:t xml:space="preserve">Las líneas ST-12 a ST-20 necesitan dos cotizaciones nuevas.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Productos del posdoctor.</w:t>
      </w:r>
      <w:r>
        <w:t xml:space="preserve"> </w:t>
      </w:r>
      <w:r>
        <w:t xml:space="preserve">El Anexo 12 pide dos productos TOP o A; el numeral 9 de los TdR pide uno. Proponemos acoger dos.</w:t>
      </w:r>
    </w:p>
    <w:p>
      <w:pPr>
        <w:pStyle w:val="FirstParagraph"/>
      </w:pPr>
      <w:r>
        <w:t xml:space="preserve">Quedamos atentos a sus observaciones. Cualquier ajuste se integra el lunes 2 de noviembre para radicar el martes 3 antes del mediodía.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[Nombre]</w:t>
      </w:r>
      <w:r>
        <w:t xml:space="preserve"> </w:t>
      </w:r>
      <w:r>
        <w:t xml:space="preserve">[Cargo]</w:t>
      </w:r>
      <w:r>
        <w:t xml:space="preserve"> </w:t>
      </w:r>
      <w:r>
        <w:t xml:space="preserve">[Teléfono y correo]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2026-10-30T18:18:26Z</dcterms:created>
  <dcterms:modified xsi:type="dcterms:W3CDTF">2026-10-30T18:18:26Z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