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Gobernación del Quindío]</w:t>
      </w:r>
    </w:p>
    <w:p>
      <w:pPr>
        <w:spacing w:after="120"/>
        <w:jc w:val="center"/>
      </w:pPr>
      <w:r>
        <w:rPr>
          <w:b/>
          <w:sz w:val="24"/>
        </w:rPr>
        <w:t>COMPROMISO DE USO Y ADOPCIÓN DE LOS RESULTADOS</w:t>
      </w:r>
    </w:p>
    <w:p>
      <w:pPr>
        <w:spacing w:after="120"/>
        <w:jc w:val="center"/>
      </w:pPr>
      <w:r>
        <w:rPr>
          <w:b w:val="0"/>
          <w:sz w:val="18"/>
        </w:rPr>
        <w:t>Numeral 10.6 y Anexo 14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Gobernación del Quindío manifiesta que, en caso de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resulte financiado, la entidad se compromete a:</w:t>
      </w:r>
    </w:p>
    <w:p>
      <w:pPr>
        <w:spacing w:after="120"/>
      </w:pPr>
      <w:r>
        <w:rPr>
          <w:b w:val="0"/>
          <w:sz w:val="21"/>
        </w:rPr>
        <w:t>• Designar delegados del consejo departamental de gestión del riesgo del Quindío para participar en el co-diseño de los umbrales y del protocolo de alerta (actividad 3.1) y en el uso del tablero (actividad 3.2).</w:t>
      </w:r>
    </w:p>
    <w:p>
      <w:pPr>
        <w:spacing w:after="120"/>
      </w:pPr>
      <w:r>
        <w:rPr>
          <w:b w:val="0"/>
          <w:sz w:val="21"/>
        </w:rPr>
        <w:t>• Registrar las decisiones de alerta y de protección tomadas con el tablero, para verificar el resultado R3 (uso por al menos 75 % de los consejos al mes 24).</w:t>
      </w:r>
    </w:p>
    <w:p>
      <w:pPr>
        <w:spacing w:after="120"/>
      </w:pPr>
      <w:r>
        <w:rPr>
          <w:b w:val="0"/>
          <w:sz w:val="21"/>
        </w:rPr>
        <w:t>• Recibir, según el convenio de custodia, los componentes que le correspondan, con partida presupuestal y personal designado para su operación después del cierre.</w:t>
      </w:r>
    </w:p>
    <w:p>
      <w:pPr>
        <w:spacing w:after="120"/>
      </w:pPr>
      <w:r>
        <w:rPr>
          <w:b w:val="0"/>
          <w:sz w:val="21"/>
        </w:rPr>
        <w:t>• Solicitar y usar las evaluaciones previas de demolición conforme al protocolo que adopte la actividad 3.5, como insumo de decisión y no como autorización.</w:t>
      </w:r>
    </w:p>
    <w:p>
      <w:pPr>
        <w:spacing w:after="120"/>
      </w:pPr>
      <w:r>
        <w:rPr>
          <w:b w:val="0"/>
          <w:sz w:val="21"/>
        </w:rPr>
        <w:t>Este compromiso no genera erogaciones adicionales a las que la entidad apruebe en su presupuesto ordinario para la custodia.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Gobernación del Quindío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