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4"/>
        </w:rPr>
        <w:t>PLAN DE SOSTENIBILIDAD Y MODELO DE NEGOCIO MÍNIMO</w:t>
      </w:r>
    </w:p>
    <w:p>
      <w:pPr>
        <w:spacing w:after="120"/>
        <w:jc w:val="center"/>
      </w:pPr>
      <w:r>
        <w:rPr>
          <w:b w:val="0"/>
          <w:i/>
          <w:sz w:val="18"/>
        </w:rPr>
        <w:t>Adaptación editable del Anexo 7 del Acuerdo 12 de 2024 (numeral 10.16 de los TdR de la Convocatoria 56). Versión revisada.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20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Código SIGP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143329 (identificación distinta del BPIN)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proyecto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Implementación de una red IoT híbrida Edge-Cloud y gemelo digital para la gestión anticipada del riesgo por material particulado posterremoto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 operadora principal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Universidad Santo Tomás, sede Villavicencio: nodos, gateways, plataforma, gemelo digital, datos, banco de calibración y laboratorio de modelación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Entidades operadoras por componente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Municipio de Manizales y Municipio de Calarcá: tablero, protocolo de alerta y custodia local de los nodos de su jurisdicción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Apoyo a la transferencia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Avanciencia: formación de custodios, licencias de uso, acuerdo de titularidad y convenios de custodia; no opera componentes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Apoyo técnico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Gestión y Medio Ambiente: puede prestar mantenimiento o verificación a los custodios por contrato posterior; no opera componentes al radicar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Territorios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Manizales (Caldas) y Calarcá (Quindío)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BPIN</w:t>
            </w:r>
          </w:p>
        </w:tc>
        <w:tc>
          <w:tcPr>
            <w:tcW w:type="dxa" w:w="6520"/>
          </w:tcPr>
          <w:p>
            <w:r/>
            <w:r>
              <w:rPr>
                <w:color w:val="008000"/>
                <w:sz w:val="17"/>
              </w:rPr>
              <w:t>[Diligenciar: BPIN, si se asigna]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Período de costeo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Un año de operación posterior a la entrega del mes 24; no equivale a la vida útil total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i w:val="0"/>
          <w:sz w:val="22"/>
        </w:rPr>
        <w:t>1. Alcance y organización de la operación</w:t>
      </w:r>
    </w:p>
    <w:p>
      <w:pPr>
        <w:spacing w:after="120"/>
      </w:pPr>
      <w:r>
        <w:rPr>
          <w:b w:val="0"/>
          <w:i w:val="0"/>
        </w:rPr>
        <w:t>La operación conserva la red de 100 nodos y 10 gateways, la plataforma y el laboratorio de modelación. Cada componente se transfiere a un custodio con partida, personal designado y competencia jurídica. La universidad opera la red, los datos y el laboratorio. Cada municipio opera el tablero y la custodia local de los nodos de su jurisdicción.</w:t>
      </w:r>
    </w:p>
    <w:p>
      <w:pPr>
        <w:spacing w:after="120"/>
      </w:pPr>
      <w:r>
        <w:rPr>
          <w:b w:val="0"/>
          <w:i w:val="0"/>
        </w:rPr>
        <w:t xml:space="preserve">Horizonte: escenario inicial de 12 meses después de la entrega, coherente con la medición de los impactos I1 e I2 en el mes 36. La vida útil total y sus fechas se validan con las fichas técnicas de los equipos </w:t>
      </w:r>
      <w:r>
        <w:rPr>
          <w:b w:val="0"/>
          <w:i w:val="0"/>
          <w:color w:val="008000"/>
        </w:rPr>
        <w:t>[Diligenciar: vida útil declarada por el fabricante]</w:t>
      </w:r>
      <w:r>
        <w:rPr>
          <w:b w:val="0"/>
          <w:i w:val="0"/>
        </w:rPr>
        <w:t>.</w:t>
      </w:r>
    </w:p>
    <w:p>
      <w:pPr>
        <w:spacing w:after="80" w:before="160"/>
      </w:pPr>
      <w:r>
        <w:rPr>
          <w:b/>
          <w:i w:val="0"/>
          <w:sz w:val="22"/>
        </w:rPr>
        <w:t>2. Actividades y recursos del año 1 de operación</w:t>
      </w:r>
    </w:p>
    <w:p>
      <w:pPr>
        <w:spacing w:after="120"/>
      </w:pPr>
      <w:r>
        <w:rPr>
          <w:b w:val="0"/>
          <w:i/>
          <w:sz w:val="18"/>
        </w:rPr>
        <w:t>Valores en millones de COP. ND: no determinado; PV: por validar. ND y PV no equivalen a cero.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b/>
                <w:sz w:val="17"/>
              </w:rPr>
              <w:t>Actividad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7"/>
              </w:rPr>
              <w:t>Año 1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17"/>
              </w:rPr>
              <w:t>Años 2 a n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Fuente propuesta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7"/>
              </w:rPr>
              <w:t>Responsable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Licencias del sistema de geociencias (SIG y geoestadística)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76,94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Nube reservada (reserva de formulación)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90,00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Conectividad: planes celulares de 12 gateways y enlace satelital de 10 terminales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41,28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Repuestos y consumibles de mantenimiento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30,00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Licencias de modelación urbana, de dispersión y SIG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27,50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Calibración periódica (gravimetría y rotación con referencia)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Tablero, alertas y custodia local de nodos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Presupuesto municipal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Municipios de Manizales y de Calarcá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Personal de operación, calidad de datos y soporte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Subtotal calculable con precios del Anexo 3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265,72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Universidad Santo Tomás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sz w:val="17"/>
              </w:rPr>
              <w:t>Costo integral de operación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ND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PV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F1 / F2 / municipal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Todas las operadoras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18"/>
        </w:rPr>
        <w:t>F1: recursos institucionales sujetos a aprobación. F2: convenios o cofinanciación por gestionar. Son fuentes propuestas sin certificación. Los ingresos del modelo de negocio son escenarios y no se suman como recursos asegurados.</w:t>
      </w:r>
    </w:p>
    <w:p>
      <w:pPr>
        <w:spacing w:after="80" w:before="160"/>
      </w:pPr>
      <w:r>
        <w:rPr>
          <w:b/>
          <w:i w:val="0"/>
          <w:sz w:val="22"/>
        </w:rPr>
        <w:t>3. Memoria de costos anuales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7"/>
              </w:rPr>
              <w:t>Base de cálculo anual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7"/>
              </w:rPr>
              <w:t>COP por año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Soporte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Sistema de geociencias, nivel profesional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4 usuarios × 12 meses × $ 995.103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$ 47.764.944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EQ-14 (referencia de compra pública)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Sistema de geociencias, nivel superior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 usuario × 12 meses × $ 1.983.712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$ 23.804.544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Complemento de geoestadística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 usuario-año × $ 5.366.920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$ 5.366.920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EQ-16 (condicional)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Nube reservada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$ 180.000.000 ÷ 24 × 12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$ 90.000.000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EQ-10 (reserva de formulación)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Planes celulares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12 SIM × 12 meses × $ 120.000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$ 17.280.000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ST-01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Enlace satelital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10 módulos × 12 meses × $ 200.000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$ 24.000.000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ST-07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Repuestos y consumibles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$ 60.000.000 ÷ 2 años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$ 30.000.000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MA-06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Licencias de modelación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$ 55.000.000 ÷ 2 años, con renovación anual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$ 27.500.000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Anexo 3, EQ-21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Subtotal calculable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Suma de las filas anteriores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$ 265.716.408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Igual a la tabla 16.6 del Anexo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Si la geoestadística ya está incluida en la licencia de nivel superior, el subtotal baja a $ 260.349.488. No debe contratarse dos veces la misma funcionalidad. La reserva de nube divide el valor de formulación entre 24 meses; no acredita capacidad ni oferta de renovación. El IVA de las referencias de licencias debe confirmarse.</w:t>
      </w:r>
    </w:p>
    <w:p>
      <w:pPr>
        <w:spacing w:after="120"/>
      </w:pPr>
      <w:r>
        <w:rPr>
          <w:b w:val="0"/>
          <w:i w:val="0"/>
        </w:rPr>
        <w:t>Costos por completar: personal de operación y calidad de datos; calibración del banco y del conjunto de referencia; gravimetría a 350.000 COP por muestra con frecuencia por definir; energía y visitas en ambos municipios; baterías al fin de su vida útil; seguros y logística.</w:t>
      </w:r>
    </w:p>
    <w:p>
      <w:pPr>
        <w:spacing w:after="80" w:before="160"/>
      </w:pPr>
      <w:r>
        <w:rPr>
          <w:b/>
          <w:i w:val="0"/>
          <w:sz w:val="22"/>
        </w:rPr>
        <w:t>4. Cronograma y seguimiento</w:t>
      </w:r>
    </w:p>
    <w:p>
      <w:pPr>
        <w:spacing w:after="120"/>
      </w:pPr>
      <w:r>
        <w:rPr>
          <w:b w:val="0"/>
          <w:i w:val="0"/>
        </w:rPr>
        <w:t>La calibración y el mantenimiento siguen las especificaciones de los equipos. Las licencias y la nube se renuevan según sus ciclos. El seguimiento registra cumplimiento técnico, disponibilidad mensual de nodos, uso del tablero por los consejos, disponibilidad de recursos y renovaciones. La meta de continuidad es de 70 % o más de los nodos bajo custodia a los 12 meses del cierre.</w:t>
      </w:r>
    </w:p>
    <w:p>
      <w:pPr>
        <w:spacing w:after="80" w:before="160"/>
      </w:pPr>
      <w:r>
        <w:rPr>
          <w:b/>
          <w:i w:val="0"/>
          <w:sz w:val="22"/>
        </w:rPr>
        <w:t>5. Modelo de negocio mínimo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7"/>
              </w:rPr>
              <w:t>Propuesta (hipótesis por validar)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Usuarios y posibles clientes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Entidades territoriales, autoridades ambientales, contratistas de demolición y empresas que requieran información local de calidad del aire. Ser usuario no supone capacidad de pago.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Propuesta de valor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Monitoreo con error conocido, evaluación previa de demoliciones, analítica espacial y mantenimiento o calibración. No implica acreditación ni equivalencia con mediciones regulatorias.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Ingresos posibles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Contratos de monitoreo y analítica, evaluaciones previas de demolición, soporte y mantenimiento, y convenios de cofinanciación. No son recursos comprometidos.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Canales y validación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Demostraciones a posibles clientes, pilotos y propuestas por los canales institucionales autorizados.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Propiedad intelectual y datos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Titularidad y licencias definidas en el acuerdo marco del mes 6, con Avanciencia. Los datos públicos se separan de los servicios técnicos contratables.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Gobernanza y reinversión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La universidad y los aliados aprueban el esquema de prestación y el destino de los ingresos a los gastos recurrentes.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Indicadores</w:t>
            </w:r>
          </w:p>
        </w:tc>
        <w:tc>
          <w:tcPr>
            <w:tcW w:type="dxa" w:w="7030"/>
          </w:tcPr>
          <w:p>
            <w:r/>
            <w:r>
              <w:rPr>
                <w:sz w:val="17"/>
              </w:rPr>
              <w:t>Contratos o convenios vigentes, cobertura de gastos recurrentes, continuidad de la red, calidad de los datos y uso efectivo de la información.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i w:val="0"/>
          <w:sz w:val="22"/>
        </w:rPr>
        <w:t>6. Validación y firma de cada entidad operadora</w:t>
      </w:r>
    </w:p>
    <w:p>
      <w:pPr>
        <w:spacing w:after="120"/>
      </w:pPr>
      <w:r>
        <w:rPr>
          <w:b w:val="0"/>
          <w:i/>
        </w:rPr>
        <w:t>El formato definitivo contiene la garantía de operación y funcionamiento respaldada en ingresos de naturaleza permanente. Este borrador no contiene firmas ni acredita esa garantía.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Universidad Santo Tomás, sede Villavicencio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Bienes, servicios y actividades a su cargo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Nodos, gateways, plataforma, gemelo digital, datos, banco de calibración, conjunto de referencia y laboratorio de modelación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Fuente permanente de financiación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rubro presupuestal permanente]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representante legal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Cargo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Lugar y fecha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lugar y fecha]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Municipio de Manizales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Bienes, servicios y actividades a su cargo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Tablero y protocolo de alerta de su jurisdicción; custodia local de los nodos instalados en Manizales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Fuente permanente de financiación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rubro presupuestal permanente]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representante legal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Cargo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Lugar y fecha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lugar y fecha]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Entidad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Municipio de Calarcá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Bienes, servicios y actividades a su cargo</w:t>
            </w:r>
          </w:p>
        </w:tc>
        <w:tc>
          <w:tcPr>
            <w:tcW w:type="dxa" w:w="6576"/>
          </w:tcPr>
          <w:p>
            <w:r/>
            <w:r>
              <w:rPr>
                <w:sz w:val="17"/>
              </w:rPr>
              <w:t>Tablero y protocolo de alerta de su jurisdicción; custodia local de los nodos instalados en Calarcá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Fuente permanente de financiación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rubro presupuestal permanente]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Nombre del representante legal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nombre]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Cargo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6576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Lugar y fecha</w:t>
            </w:r>
          </w:p>
        </w:tc>
        <w:tc>
          <w:tcPr>
            <w:tcW w:type="dxa" w:w="6576"/>
          </w:tcPr>
          <w:p>
            <w:r/>
            <w:r>
              <w:rPr>
                <w:color w:val="008000"/>
                <w:sz w:val="17"/>
              </w:rPr>
              <w:t>[Diligenciar: lugar y fecha]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b/>
          <w:i w:val="0"/>
          <w:sz w:val="22"/>
        </w:rPr>
        <w:t>Fuentes</w:t>
      </w:r>
    </w:p>
    <w:p>
      <w:pPr>
        <w:spacing w:after="40"/>
      </w:pPr>
      <w:r>
        <w:rPr>
          <w:b w:val="0"/>
          <w:i w:val="0"/>
          <w:sz w:val="18"/>
        </w:rPr>
        <w:t>Anexo 3 del proyecto, versión 5: líneas EQ-10, EQ-14, EQ-15, EQ-16, EQ-21, ST-01, ST-07 y MA-06, y estudio de mercado.</w:t>
      </w:r>
    </w:p>
    <w:p>
      <w:pPr>
        <w:spacing w:after="40"/>
      </w:pPr>
      <w:r>
        <w:rPr>
          <w:b w:val="0"/>
          <w:i w:val="0"/>
          <w:sz w:val="18"/>
        </w:rPr>
        <w:t>Colombia Compra Eficiente, órdenes 150119 del 12 de agosto de 2025 y 149044 del 16 de julio de 2025 (referencias del sistema de geociencias citadas en el Anexo 3).</w:t>
      </w:r>
    </w:p>
    <w:p>
      <w:pPr>
        <w:spacing w:after="40"/>
      </w:pPr>
      <w:r>
        <w:rPr>
          <w:b w:val="0"/>
          <w:i w:val="0"/>
          <w:sz w:val="18"/>
        </w:rPr>
        <w:t>Acuerdo 12 de 2024 de la Comisión Rectora del SGR, Anexo 7: formato del plan de sostenibilidad.</w:t>
      </w:r>
    </w:p>
    <w:p>
      <w:pPr>
        <w:spacing w:after="40"/>
      </w:pPr>
      <w:r>
        <w:rPr>
          <w:b w:val="0"/>
          <w:i w:val="0"/>
          <w:sz w:val="18"/>
        </w:rPr>
        <w:t>MinCiencias (2026). Términos de referencia de la Convocatoria 56, numeral 10.16.</w:t>
      </w:r>
    </w:p>
    <w:sectPr w:rsidR="00FC693F" w:rsidRPr="0006063C" w:rsidSect="00034616"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