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Municipio de Manizales]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Municipio de Manizales [Diligenciar: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Municipio de Manizales se compromete a aportar al proyecto la contrapartida siguiente, cuantificada en términos monetarios, con la actividad que financia y el momento del aporte, según el Anexo 3 versión 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Momento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Licencias del sistema de información geográfica corporativo para dos puestos de trabajo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Alojamiento del tablero y de los datos del índice en los servidores y el almacenamiento del centro de datos municipal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Equipos de cómputo y pantalla de la sala de gestión del riesgo para el uso institucional del tablero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EQ-24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Conectividad, puntos de red y energía en las sedes municipales donde se instalen nodos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 (uso)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3.1 a 3.4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3 a 24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60.000.000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/>
    <w:p>
      <w:r>
        <w:rPr>
          <w:b w:val="0"/>
          <w:sz w:val="21"/>
        </w:rPr>
        <w:t>Que el valor se calcula por uso, con el costo de licencia o la depreciación proporcional al tiempo y a la capacidad asignados al proyecto, según el inventario y la memoria de valoración que se adjuntan [Diligenciar: inventario y memoria de valoración]. El aporte no incluye horas de funcionarios ni desembolsos en efectivo, y los bienes siguen siendo propiedad del municipio, sin transferencia.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el [Diligenciar: día]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Municipio de Manizales · NIT [Diligenciar]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