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F3A5F"/>
          <w:sz w:val="18"/>
        </w:rPr>
        <w:t>RESUMEN EJECUTIVO PARA EL DESPACHO DEL ALCALDE</w:t>
      </w:r>
    </w:p>
    <w:p>
      <w:pPr>
        <w:spacing w:after="40"/>
      </w:pPr>
      <w:r>
        <w:rPr>
          <w:b/>
          <w:i w:val="0"/>
          <w:sz w:val="28"/>
        </w:rPr>
        <w:t>Implementación de una red IoT híbrida Edge-Cloud y gemelo digital para la gestión anticipada del riesgo por material particulado posterremoto</w:t>
      </w:r>
    </w:p>
    <w:p>
      <w:pPr>
        <w:spacing w:after="160"/>
      </w:pPr>
      <w:r>
        <w:rPr>
          <w:b w:val="0"/>
          <w:i/>
          <w:sz w:val="18"/>
        </w:rPr>
        <w:t>Convocatoria 56 del Sistema General de Regalías (Asignación para la CTeI) · Código SIGP 143329 · Municipio de Manizales (Caldas) · Cierre de la convocatoria: martes 3 de noviembre de 2026, 4:00 p. m.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1. En una frase</w:t>
      </w:r>
    </w:p>
    <w:p>
      <w:pPr>
        <w:spacing w:after="80"/>
      </w:pPr>
      <w:r>
        <w:rPr>
          <w:b w:val="0"/>
          <w:i w:val="0"/>
          <w:sz w:val="20"/>
        </w:rPr>
        <w:t>El proyecto instala en Manizales una red de 50 sensores de material particulado (PM2,5 y PM10) en los sitios de demolición y remoción de escombros del sismo del 10 de agosto de 2026, verifica su error frente a equipos de referencia y entrega al consejo municipal de gestión del riesgo un tablero y un protocolo de alerta para proteger a trabajadores y vecinos del polvo, más un laboratorio que estima la exposición antes de cada demolición.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2. Objetivo, alcance y justificación</w:t>
      </w:r>
    </w:p>
    <w:p>
      <w:pPr>
        <w:spacing w:after="80"/>
      </w:pPr>
      <w:r>
        <w:rPr>
          <w:b w:val="0"/>
          <w:i w:val="0"/>
          <w:sz w:val="20"/>
        </w:rPr>
        <w:t>Objetivo general: reducir el error de las mediciones de PM2,5 y PM10 en los sitios de remoción de escombros y lograr que los consejos de gestión del riesgo las usen para decidir alertas, en 24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DCE6F0"/>
          </w:tcPr>
          <w:p>
            <w:r/>
            <w:r>
              <w:rPr>
                <w:b/>
                <w:sz w:val="17"/>
              </w:rPr>
              <w:t>Objetivo específico</w:t>
            </w:r>
          </w:p>
        </w:tc>
        <w:tc>
          <w:tcPr>
            <w:tcW w:type="dxa" w:w="5102"/>
            <w:shd w:val="clear" w:color="auto" w:fill="DCE6F0"/>
          </w:tcPr>
          <w:p>
            <w:r/>
            <w:r>
              <w:rPr>
                <w:b/>
                <w:sz w:val="17"/>
              </w:rPr>
              <w:t>Qué entrega</w:t>
            </w:r>
          </w:p>
        </w:tc>
        <w:tc>
          <w:tcPr>
            <w:tcW w:type="dxa" w:w="1587"/>
            <w:shd w:val="clear" w:color="auto" w:fill="DCE6F0"/>
          </w:tcPr>
          <w:p>
            <w:r/>
            <w:r>
              <w:rPr>
                <w:b/>
                <w:sz w:val="17"/>
              </w:rPr>
              <w:t>Valor SGR (COP)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1. Corregir la medición y validar el modelo predictivo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Colocalización con equipos de referencia, modelo de corrección validado en cada municipio, gemelo predictivo probado en al menos seis demoliciones reales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7.807.068.548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2. Red disponible y laboratorio de modelación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100 nodos y 10 gateways con energía solar y respaldo satelital (50 y 5 por municipio), plataforma y laboratorio de modelación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4.620.145.795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3. Uso institucional y custodia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Umbrales y protocolo de alerta co-diseñados con los consejos, 20 talleres, 9 jornadas, 5.000 cartillas, 60 custodios certificados y convenios de custodia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1.572.190.872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Alcance: dos municipios (Manizales, Caldas, y Calarcá, Quindío), cuatro consejos de gestión del riesgo (dos municipales y dos departamentales), despliegue en tres tramos (30, 40 y 30 nodos) con compuertas de decisión en los meses 12, 17 y 24. El proyecto mide y alerta; no ejecuta ni autoriza demoliciones y no sustituye la medición regulatoria de la autoridad ambiental.</w:t>
      </w:r>
    </w:p>
    <w:p>
      <w:pPr>
        <w:spacing w:after="80"/>
      </w:pPr>
      <w:r>
        <w:rPr>
          <w:b w:val="0"/>
          <w:i w:val="0"/>
          <w:sz w:val="20"/>
        </w:rPr>
        <w:t>Justificación: tras el sismo, los consejos deben decidir alertas y protecciones en los sitios de remoción con sensores de bajo costo cuyo error no se conoce. La humedad y el polvo grueso alteran esas lecturas. Una alerta con dato de error desconocido puede ser tardía o falsa. El proyecto cierra esa brecha de ciencia, tecnología e innovación con una red verificada y un uso institucional documentado.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3. Productos y resultados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DCE6F0"/>
          </w:tcPr>
          <w:p>
            <w:r/>
            <w:r>
              <w:rPr>
                <w:b/>
                <w:sz w:val="17"/>
              </w:rPr>
              <w:t>Productos (catálogo MGA, programa 3906)</w:t>
            </w:r>
          </w:p>
        </w:tc>
        <w:tc>
          <w:tcPr>
            <w:tcW w:type="dxa" w:w="4819"/>
            <w:shd w:val="clear" w:color="auto" w:fill="DCE6F0"/>
          </w:tcPr>
          <w:p>
            <w:r/>
            <w:r>
              <w:rPr>
                <w:b/>
                <w:sz w:val="17"/>
              </w:rPr>
              <w:t>Resultados verificables al mes 24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Dos prototipos validados: sistema de 100 nodos y 10 gateways, y gemelo predictivo de demolición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Error de los nodos: R² ≥ 0,70 y NRMSE ≤ 30 % frente a la referencia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Infraestructura de medición y laboratorio de modelación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Disponibilidad mensual de la red ≥ 90 %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Tres documentos de planeación: protocolo de alerta, plan de sostenibilidad y protocolo de evaluación previa de demolición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Al menos 3 de los 4 consejos deciden con el tablero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29 actividades de apropiación social y 5.000 cartillas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Reducción de falsas alarmas de 30 % o más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Asistencia técnica: 60 personas certificadas y 4 consejos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60 custodios certificados y 12 evaluaciones previas de demolición (al menos 3 por municipio)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Nueve documentos de investigación; formación de 6 jóvenes investigadores, 2 magísteres y 1 posdoctor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 12 meses del cierre: 70 % de la red operando bajo custodia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4. Entidad proponente y entidades aliadas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8"/>
            <w:shd w:val="clear" w:color="auto" w:fill="DCE6F0"/>
          </w:tcPr>
          <w:p>
            <w:r/>
            <w:r>
              <w:rPr>
                <w:b/>
                <w:sz w:val="17"/>
              </w:rPr>
              <w:t>Entidad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7"/>
              </w:rPr>
              <w:t>Calidad</w:t>
            </w:r>
          </w:p>
        </w:tc>
        <w:tc>
          <w:tcPr>
            <w:tcW w:type="dxa" w:w="3572"/>
            <w:shd w:val="clear" w:color="auto" w:fill="DCE6F0"/>
          </w:tcPr>
          <w:p>
            <w:r/>
            <w:r>
              <w:rPr>
                <w:b/>
                <w:sz w:val="17"/>
              </w:rPr>
              <w:t>Función principal</w:t>
            </w:r>
          </w:p>
        </w:tc>
        <w:tc>
          <w:tcPr>
            <w:tcW w:type="dxa" w:w="1814"/>
            <w:shd w:val="clear" w:color="auto" w:fill="DCE6F0"/>
          </w:tcPr>
          <w:p>
            <w:r/>
            <w:r>
              <w:rPr>
                <w:b/>
                <w:sz w:val="17"/>
              </w:rPr>
              <w:t>Contrapartida (COP)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Universidad Santo Tomás, sede Villavicencio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Proponente y ejecutora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Administra los recursos del SGR; lidera la medición, la red, la plataforma y el laboratorio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1.244.000.000 en especie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Municipio de Manizales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1 (entidad territorial)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Uso institucional del tablero y del protocolo en su jurisdicción; acceso a sitios; custodia local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60.000.000 en especie (software y hardware)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Municipio de Calarcá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2 (entidad territorial)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Las mismas funciones en su jurisdicción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60.000.000 en especie (software y hardware)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Avanciencia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3 (actor del SNCTI)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Apropiación social, formación de custodios, convenios y propiedad intelectual, por contrato con la universidad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150.000.000 en especie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Gestión y Medio Ambiente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Aliada No. 4 (sector productivo)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Equipos y apoyo técnico en Manizales; logística de instalación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110.000.000 en especie y 150.000.000 en efectivo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5. Qué se compromete a hacer el Municipio de Manizales</w:t>
      </w:r>
    </w:p>
    <w:p>
      <w:pPr>
        <w:pStyle w:val="ListBullet"/>
        <w:spacing w:after="40"/>
      </w:pPr>
      <w:r>
        <w:rPr>
          <w:sz w:val="20"/>
        </w:rPr>
        <w:t>Liderar en su jurisdicción el uso institucional del tablero y del protocolo de alerta, a través del consejo municipal de gestión del riesgo, y designar delegados para 20 talleres de co-diseño y la formación (actividades 3.1 a 3.5).</w:t>
      </w:r>
    </w:p>
    <w:p>
      <w:pPr>
        <w:pStyle w:val="ListBullet"/>
        <w:spacing w:after="40"/>
      </w:pPr>
      <w:r>
        <w:rPr>
          <w:sz w:val="20"/>
        </w:rPr>
        <w:t>Facilitar el acceso a los sitios de remoción y a las demoliciones, e informar las demoliciones previstas para validar el modelo predictivo.</w:t>
      </w:r>
    </w:p>
    <w:p>
      <w:pPr>
        <w:pStyle w:val="ListBullet"/>
        <w:spacing w:after="40"/>
      </w:pPr>
      <w:r>
        <w:rPr>
          <w:sz w:val="20"/>
        </w:rPr>
        <w:t>Aportar en especie 60.000.000 COP (partida EQ-24 del Anexo 3 v7) mediante el uso de software y hardware existentes durante la ejecución: licencias del sistema de información geográfica para dos puestos (20.000.000), alojamiento del tablero y de los datos en el centro de datos municipal (15.000.000), equipos de la sala de gestión del riesgo (15.000.000) y conectividad y energía en las sedes donde se instalen nodos (10.000.000). No incluye horas de funcionarios ni desembolsos en efectivo.</w:t>
      </w:r>
    </w:p>
    <w:p>
      <w:pPr>
        <w:pStyle w:val="ListBullet"/>
        <w:spacing w:after="40"/>
      </w:pPr>
      <w:r>
        <w:rPr>
          <w:sz w:val="20"/>
        </w:rPr>
        <w:t>Adoptar el protocolo de evaluación previa de demolición como insumo de decisión (no como autorización).</w:t>
      </w:r>
    </w:p>
    <w:p>
      <w:pPr>
        <w:pStyle w:val="ListBullet"/>
        <w:spacing w:after="40"/>
      </w:pPr>
      <w:r>
        <w:rPr>
          <w:sz w:val="20"/>
        </w:rPr>
        <w:t>Firmar al mes 17 un convenio de custodia de los nodos de su jurisdicción, con personal designado y una partida presupuestal para su operación después del cierre.</w:t>
      </w:r>
    </w:p>
    <w:p>
      <w:pPr>
        <w:spacing w:after="80"/>
      </w:pPr>
      <w:r>
        <w:rPr>
          <w:b w:val="0"/>
          <w:i/>
          <w:sz w:val="19"/>
        </w:rPr>
        <w:t>El municipio no administra recursos del SGR, no figura como beneficiario y no asume obligaciones de compra. La universidad compra los equipos y los entrega por acta al custodio.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6. Valor total, fuentes de financiación y contrapartidas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953"/>
            <w:shd w:val="clear" w:color="auto" w:fill="DCE6F0"/>
          </w:tcPr>
          <w:p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1984"/>
            <w:shd w:val="clear" w:color="auto" w:fill="DCE6F0"/>
          </w:tcPr>
          <w:p>
            <w:r/>
            <w:r>
              <w:rPr>
                <w:b/>
                <w:sz w:val="17"/>
              </w:rPr>
              <w:t>Valor (COP)</w:t>
            </w:r>
          </w:p>
        </w:tc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7"/>
              </w:rPr>
              <w:t>Participación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Sistema General de Regalías, Asignación para la CTeI (solicitado)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13.999.405.215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88,75 %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Contrapartida en especie (universidad, municipios, Avanciencia, Gestión y Medio Ambiente)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1.624.000.000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10,30 %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Contrapartida en efectivo (Gestión y Medio Ambiente)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150.000.000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0,95 %</w:t>
            </w:r>
          </w:p>
        </w:tc>
      </w:tr>
      <w:tr>
        <w:tc>
          <w:tcPr>
            <w:tcW w:type="dxa" w:w="5953"/>
          </w:tcPr>
          <w:p>
            <w:r/>
            <w:r>
              <w:rPr>
                <w:b/>
                <w:sz w:val="17"/>
              </w:rPr>
              <w:t>Total del proyecto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15.773.405.215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Inversión localizada: el Anexo 3 localiza de forma explícita 399.199.591 COP del SGR en cada municipio (técnicos de campo, estación meteorológica, estudio de cobertura y talleres); el resto (94,3 %) es común a los dos municipios e incluye los 50 nodos y 5 gateways que se instalan en Manizales.</w:t>
      </w:r>
    </w:p>
    <w:p>
      <w:pPr>
        <w:spacing w:after="80"/>
      </w:pPr>
      <w:r>
        <w:rPr>
          <w:b w:val="0"/>
          <w:i w:val="0"/>
          <w:sz w:val="20"/>
        </w:rPr>
        <w:t>Costo después del cierre: el SGR no financia la operación posterior. El costo anual calculable de toda la red es de 265.716.408 COP (licencias, nube, conectividad satelital y repuestos) y se reparte entre la universidad y los municipios según los convenios de custodia. La parte del municipio se fija en su convenio al mes 17 y debe contar con partida presupuestal.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7. Aliados estratégicos y actores relacionados</w:t>
      </w:r>
    </w:p>
    <w:p>
      <w:pPr>
        <w:pStyle w:val="ListBullet"/>
        <w:spacing w:after="40"/>
      </w:pPr>
      <w:r>
        <w:rPr>
          <w:sz w:val="20"/>
        </w:rPr>
        <w:t>Consejos municipales y departamentales de gestión del riesgo de Caldas y del Quindío: usuarios del tablero y del protocolo.</w:t>
      </w:r>
    </w:p>
    <w:p>
      <w:pPr>
        <w:pStyle w:val="ListBullet"/>
        <w:spacing w:after="40"/>
      </w:pPr>
      <w:r>
        <w:rPr>
          <w:sz w:val="20"/>
        </w:rPr>
        <w:t>Gobernaciones de Caldas y del Quindío: certificado de concordancia con el plan de acción específico (si lo suscribieron) y compromiso de uso de sus consejos.</w:t>
      </w:r>
    </w:p>
    <w:p>
      <w:pPr>
        <w:pStyle w:val="ListBullet"/>
        <w:spacing w:after="40"/>
      </w:pPr>
      <w:r>
        <w:rPr>
          <w:sz w:val="20"/>
        </w:rPr>
        <w:t>Autoridades ambientales (Corpocaldas y CRQ) y UNGRD: reciben el reporte técnico de desempeño de los sensores; no son integrantes.</w:t>
      </w:r>
    </w:p>
    <w:p>
      <w:pPr>
        <w:pStyle w:val="ListBullet"/>
        <w:spacing w:after="40"/>
      </w:pPr>
      <w:r>
        <w:rPr>
          <w:sz w:val="20"/>
        </w:rPr>
        <w:t>Laboratorio acreditado y evaluador externo independiente: verifican el desempeño (TRL 8 al mes 23).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8. Beneficios para el municipio</w:t>
      </w:r>
    </w:p>
    <w:p>
      <w:pPr>
        <w:pStyle w:val="ListBullet"/>
        <w:spacing w:after="40"/>
      </w:pPr>
      <w:r>
        <w:rPr>
          <w:sz w:val="20"/>
        </w:rPr>
        <w:t>Mediciones de PM2,5 y PM10 con error conocido en los sitios de remoción de Manizales y un tablero con índice local de calidad del aire.</w:t>
      </w:r>
    </w:p>
    <w:p>
      <w:pPr>
        <w:pStyle w:val="ListBullet"/>
        <w:spacing w:after="40"/>
      </w:pPr>
      <w:r>
        <w:rPr>
          <w:sz w:val="20"/>
        </w:rPr>
        <w:t>Protocolo de alerta co-diseñado con el consejo municipal y personal formado como custodio.</w:t>
      </w:r>
    </w:p>
    <w:p>
      <w:pPr>
        <w:pStyle w:val="ListBullet"/>
        <w:spacing w:after="40"/>
      </w:pPr>
      <w:r>
        <w:rPr>
          <w:sz w:val="20"/>
        </w:rPr>
        <w:t>Evaluaciones previas de la exposición al polvo antes de las demoliciones de su jurisdicción.</w:t>
      </w:r>
    </w:p>
    <w:p>
      <w:pPr>
        <w:pStyle w:val="ListBullet"/>
        <w:spacing w:after="40"/>
      </w:pPr>
      <w:r>
        <w:rPr>
          <w:sz w:val="20"/>
        </w:rPr>
        <w:t>Participación en el comité directivo de la alianza y en las decisiones de cada compuerta.</w:t>
      </w:r>
    </w:p>
    <w:p>
      <w:pPr>
        <w:spacing w:after="60" w:before="160"/>
      </w:pPr>
      <w:r>
        <w:rPr>
          <w:b/>
          <w:i w:val="0"/>
          <w:color w:val="1F3A5F"/>
          <w:sz w:val="24"/>
        </w:rPr>
        <w:t>9. Riesgos que el municipio debe conocer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Riesgo</w:t>
            </w:r>
          </w:p>
        </w:tc>
        <w:tc>
          <w:tcPr>
            <w:tcW w:type="dxa" w:w="5669"/>
            <w:shd w:val="clear" w:color="auto" w:fill="DCE6F0"/>
          </w:tcPr>
          <w:p>
            <w:r/>
            <w:r>
              <w:rPr>
                <w:b/>
                <w:sz w:val="17"/>
              </w:rPr>
              <w:t>Cómo se maneja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Que el consejo no adopte el tablero (probabilidad estimada 40 %)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Co-diseño de umbrales y uso piloto; la compuerta del mes 12 exige que al menos la mitad de los consejos del tramo 1 lo use antes de ampliar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Que el custodio no asuma la operación al cierre (50 %)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Convenio con partida exigido al mes 17; custodia alterna; cláusula de apertura de datos y código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Robo o vandalismo de nodos (40 %)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Cerramientos, custodia local por sitio y 20 nodos de reserva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F3A5F"/>
          <w:sz w:val="24"/>
        </w:rPr>
        <w:t>10. Documentos que se solicita firmar al señor Alcalde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7"/>
              </w:rPr>
              <w:t>Para qué</w:t>
            </w:r>
          </w:p>
        </w:tc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7"/>
              </w:rPr>
              <w:t>Fecha límite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Anexo 1: carta unificada de aval, compromiso y gobernanza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Requisito de la convocatoria (numeral 10.4); la firman los cinco integrantes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participación (numeral 10.18)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Acredita las actividades y la capacidad técnica del municipio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Certificación de contrapartida en especie (EQ-24)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Acredita los 60.000.000 COP en software y hardware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precios unitarios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Respalda los costos del presupuesto en el territorio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Compromiso de uso (numeral 10.6)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Respalda el uso del tablero por el consejo municipal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Certificado de concordancia con el plan de acción específico (numeral 10.21), si el municipio suscribió el plan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Requisito no subsanable por lugar de ejecución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Plan de sostenibilidad (numeral 10.16)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Compromiso de operación posterior del tablero y de los nodos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Domingo 1 de noviembre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Firmar estos documentos no compromete recursos distintos de la contrapartida en especie descrita y de la partida de custodia que se fije en el convenio del mes 17.</w:t>
      </w:r>
    </w:p>
    <w:p>
      <w:pPr>
        <w:spacing w:after="80"/>
      </w:pPr>
      <w:r>
        <w:rPr>
          <w:b w:val="0"/>
          <w:i w:val="0"/>
          <w:sz w:val="19"/>
        </w:rPr>
        <w:t>Contacto del proyecto: [Diligenciar: nombre, cargo, correo y teléfono del responsable de la Universidad Santo Tomás].</w:t>
      </w:r>
    </w:p>
    <w:p>
      <w:pPr>
        <w:sectPr>
          <w:pgSz w:w="12240" w:h="15840"/>
          <w:pgMar w:top="1020" w:right="1247" w:bottom="1020" w:left="124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 w:val="0"/>
          <w:color w:val="1F3A5F"/>
          <w:sz w:val="18"/>
        </w:rPr>
        <w:t>Anexo: esquema integrado del proyecto (red del problema a la solución, árbol de decisión, marco conceptual y compromisos de cada actor)</w:t>
      </w:r>
    </w:p>
    <w:p>
      <w:r>
        <w:drawing>
          <wp:inline xmlns:a="http://schemas.openxmlformats.org/drawingml/2006/main" xmlns:pic="http://schemas.openxmlformats.org/drawingml/2006/picture">
            <wp:extent cx="7095652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nteg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565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