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 w:val="0"/>
          <w:sz w:val="18"/>
        </w:rPr>
        <w:t>[Diligenciar: membrete de Municipio de Manizales]</w:t>
      </w:r>
    </w:p>
    <w:p>
      <w:pPr>
        <w:spacing w:after="120"/>
        <w:jc w:val="center"/>
      </w:pPr>
      <w:r>
        <w:rPr>
          <w:b/>
          <w:sz w:val="24"/>
        </w:rPr>
        <w:t>CERTIFICADO DE PARTICIPACIÓN</w:t>
      </w:r>
    </w:p>
    <w:p>
      <w:pPr>
        <w:spacing w:after="120"/>
        <w:jc w:val="center"/>
      </w:pPr>
      <w:r>
        <w:rPr>
          <w:b w:val="0"/>
          <w:sz w:val="18"/>
        </w:rPr>
        <w:t>Numeral 10.18 de los términos de referencia de la Convocatoria 56</w:t>
      </w:r>
    </w:p>
    <w:p>
      <w:pPr>
        <w:spacing w:after="120"/>
      </w:pPr>
      <w:r>
        <w:rPr>
          <w:b w:val="0"/>
          <w:sz w:val="21"/>
        </w:rPr>
        <w:t>El suscrito representante legal de Municipio de Manizales certifica que la entidad participa como entidad territorial aliada No. 1 en el proyecto «Implementación de una red IoT híbrida Edge-Cloud y gemelo digital para la gestión anticipada del riesgo por material particulado posterremoto» (código SIGP 143329), presentado a la Convocatoria 56 del Sistema General de Regalías, Asignación para la CTeI, cuya entidad proponente y ejecutora es la Universidad Santo Tomás, sede Villavicencio, y que se compromete a ejecutar las actividades siguientes: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Objetivo y actividades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Compromiso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OE3 (actividades 3.1 a 3.5)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Lidera en su jurisdicción el uso institucional del tablero y del protocolo de alerta y adopta el protocolo de evaluación previa de demolición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OE1 y OE2 (actividades 1.1, 1.3 a 1.7, 2.1, 2.3 a 2.5)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Facilita el acceso a los sitios de remoción y a las demoliciones e informa las demoliciones previstas; custodia local de los nodos de su jurisdicción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Contrapartida comprometida: $ 60.000.000 en especie, según el Anexo 3 versión 6 y la certificación de contrapartida que se adjunta.</w:t>
      </w:r>
    </w:p>
    <w:p>
      <w:pPr>
        <w:spacing w:after="120"/>
      </w:pPr>
      <w:r>
        <w:rPr>
          <w:b w:val="0"/>
          <w:sz w:val="21"/>
        </w:rPr>
        <w:t>Justificación de la capacidad técnica: Consejo municipal de gestión del riesgo en funcionamiento (Ley 1523 de 2012); plan municipal de gestión del riesgo [Diligenciar: acto de adopción].</w:t>
      </w:r>
    </w:p>
    <w:p>
      <w:pPr>
        <w:spacing w:after="120"/>
      </w:pPr>
      <w:r>
        <w:rPr>
          <w:b w:val="0"/>
          <w:sz w:val="21"/>
        </w:rPr>
        <w:t>Responsable institucional designado: [Diligenciar: nombre, cargo, correo y teléfono].</w:t>
      </w:r>
    </w:p>
    <w:p>
      <w:pPr>
        <w:spacing w:after="120"/>
      </w:pPr>
      <w:r>
        <w:rPr>
          <w:b w:val="0"/>
          <w:sz w:val="21"/>
        </w:rPr>
        <w:t>Se expide en [Diligenciar: ciudad], el [Diligenciar: día] de noviembre de 2026.</w:t>
      </w:r>
    </w:p>
    <w:p>
      <w:pPr>
        <w:spacing w:after="40"/>
      </w:pPr>
      <w:r>
        <w:rPr>
          <w:b w:val="0"/>
          <w:sz w:val="21"/>
        </w:rPr>
        <w:br/>
        <w:br/>
        <w:t>Firma: ______________________________</w:t>
      </w:r>
    </w:p>
    <w:p>
      <w:pPr>
        <w:spacing w:after="40"/>
      </w:pPr>
      <w:r>
        <w:rPr>
          <w:b/>
          <w:sz w:val="21"/>
        </w:rPr>
        <w:t>[Diligenciar: nombre completo]</w:t>
      </w:r>
    </w:p>
    <w:p>
      <w:pPr>
        <w:spacing w:after="40"/>
      </w:pPr>
      <w:r>
        <w:rPr>
          <w:b w:val="0"/>
          <w:sz w:val="21"/>
        </w:rPr>
        <w:t>Representante legal · C. C. [Diligenciar: número]</w:t>
      </w:r>
    </w:p>
    <w:p>
      <w:pPr>
        <w:spacing w:after="40"/>
      </w:pPr>
      <w:r>
        <w:rPr>
          <w:b w:val="0"/>
          <w:sz w:val="21"/>
        </w:rPr>
        <w:t>Municipio de Manizales · NIT [Diligenciar]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