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Municipio de Calarcá]</w:t>
      </w:r>
    </w:p>
    <w:p>
      <w:pPr>
        <w:spacing w:after="120"/>
        <w:jc w:val="center"/>
      </w:pPr>
      <w:r>
        <w:rPr>
          <w:b/>
          <w:sz w:val="24"/>
        </w:rPr>
        <w:t>CERTIFICADO DE PARTICIPACIÓN</w:t>
      </w:r>
    </w:p>
    <w:p>
      <w:pPr>
        <w:spacing w:after="120"/>
        <w:jc w:val="center"/>
      </w:pPr>
      <w:r>
        <w:rPr>
          <w:b w:val="0"/>
          <w:sz w:val="18"/>
        </w:rPr>
        <w:t>Numeral 10.18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Municipio de Calarcá certifica que la entidad participa como entidad territorial aliada No. 2 en el proyecto «Implementación de una red IoT híbrida Edge-Cloud y gemelo digital para la gestión anticipada del riesgo por material particulado posterremoto» (código SIGP 143329), presentado a la Convocatoria 56 del Sistema General de Regalías, Asignación para la CTeI, cuya entidad proponente y ejecutora es la Universidad Santo Tomás, sede Villavicencio, y que se compromete a ejecutar las actividades siguientes: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Objetivo y actividades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Compromiso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OE3 (actividades 3.1 a 3.5)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Lidera en su jurisdicción el uso institucional del tablero y del protocolo de alerta y adopta el protocolo de evaluación previa de demolición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OE1 y OE2 (actividades 1.1, 1.3 a 1.7, 2.1, 2.3 a 2.5)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Facilita el acceso a los sitios de remoción y a las demoliciones e informa las demoliciones previstas; custodia local de los nodos de su jurisdicción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Contrapartida comprometida: $ 60.000.000 en especie, según el Anexo 3 versión 6 y la certificación de contrapartida que se adjunta.</w:t>
      </w:r>
    </w:p>
    <w:p>
      <w:pPr>
        <w:spacing w:after="120"/>
      </w:pPr>
      <w:r>
        <w:rPr>
          <w:b w:val="0"/>
          <w:sz w:val="21"/>
        </w:rPr>
        <w:t>Justificación de la capacidad técnica: Consejo municipal de gestión del riesgo en funcionamiento (Ley 1523 de 2012); plan municipal de gestión del riesgo [Diligenciar: acto de adopción].</w:t>
      </w:r>
    </w:p>
    <w:p>
      <w:pPr>
        <w:spacing w:after="120"/>
      </w:pPr>
      <w:r>
        <w:rPr>
          <w:b w:val="0"/>
          <w:sz w:val="21"/>
        </w:rPr>
        <w:t>Responsable institucional designado: [Diligenciar: nombre, cargo, correo y teléfono].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Municipio de Calarcá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