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p>
      <w:pPr>
        <w:spacing w:before="0" w:after="160" w:line="276" w:lineRule="auto"/>
        <w:ind w:firstLine="0"/>
        <w:jc w:val="center"/>
      </w:pPr>
      <w:r>
        <w:rPr>
          <w:b w:val="0"/>
          <w:i/>
          <w:sz w:val="20"/>
        </w:rPr>
        <w:t>Edición con soporte inicial para la alianza. La parte inicial se retira antes de radicar.</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f1134ec32fd74759f59065079f7c1a3a6812ed8" w:history="1">
            <w:r>
              <w:t xml:space="preserve">SOPORTE INICIAL PARA LA ALIANZA (RETIRAR ANTES DE RADICAR)</w:t>
            </w:r>
            <w:r>
              <w:tab/>
            </w:r>
            <w:r>
              <w:t>14</w:t>
            </w:r>
          </w:hyperlink>
        </w:p>
        <w:p>
          <w:pPr>
            <w:pStyle w:val="TOC2"/>
            <w:tabs>
              <w:tab w:val="right" w:leader="dot" w:pos="9974"/>
            </w:tabs>
          </w:pPr>
          <w:hyperlink w:anchor="s.1.-qué-es-el-proyecto" w:history="1">
            <w:r>
              <w:t xml:space="preserve">S.1. ¿Qué es el proyecto?</w:t>
            </w:r>
            <w:r>
              <w:tab/>
            </w:r>
            <w:r>
              <w:t>14</w:t>
            </w:r>
          </w:hyperlink>
        </w:p>
        <w:p>
          <w:pPr>
            <w:pStyle w:val="TOC2"/>
            <w:tabs>
              <w:tab w:val="right" w:leader="dot" w:pos="9974"/>
            </w:tabs>
          </w:pPr>
          <w:hyperlink w:anchor="s.2.-quién-hace-qué" w:history="1">
            <w:r>
              <w:t xml:space="preserve">S.2. ¿Quién hace qué?</w:t>
            </w:r>
            <w:r>
              <w:tab/>
            </w:r>
            <w:r>
              <w:t>16</w:t>
            </w:r>
          </w:hyperlink>
        </w:p>
        <w:p>
          <w:pPr>
            <w:pStyle w:val="TOC2"/>
            <w:tabs>
              <w:tab w:val="right" w:leader="dot" w:pos="9974"/>
            </w:tabs>
          </w:pPr>
          <w:hyperlink w:anchor="s.3.-qué-recibe-cada-integrante" w:history="1">
            <w:r>
              <w:t xml:space="preserve">S.3. ¿Qué recibe cada integrante?</w:t>
            </w:r>
            <w:r>
              <w:tab/>
            </w:r>
            <w:r>
              <w:t>19</w:t>
            </w:r>
          </w:hyperlink>
        </w:p>
        <w:p>
          <w:pPr>
            <w:pStyle w:val="TOC2"/>
            <w:tabs>
              <w:tab w:val="right" w:leader="dot" w:pos="9974"/>
            </w:tabs>
          </w:pPr>
          <w:hyperlink w:anchor="X890df10c51172d7dcb7ed15b4afc954bd38b3a3" w:history="1">
            <w:r>
              <w:t xml:space="preserve">S.4. ¿Cómo se alinea el presupuesto con las actividades, los integrantes y los departamentos?</w:t>
            </w:r>
            <w:r>
              <w:tab/>
            </w:r>
            <w:r>
              <w:t>20</w:t>
            </w:r>
          </w:hyperlink>
        </w:p>
        <w:p>
          <w:pPr>
            <w:pStyle w:val="TOC2"/>
            <w:tabs>
              <w:tab w:val="right" w:leader="dot" w:pos="9974"/>
            </w:tabs>
          </w:pPr>
          <w:hyperlink w:anchor="X66f7f14bcfb6989e77226afd176635704105ef6" w:history="1">
            <w:r>
              <w:t xml:space="preserve">S.5. ¿Cuándo debe estar completo el documento?</w:t>
            </w:r>
            <w:r>
              <w:tab/>
            </w:r>
            <w:r>
              <w:t>22</w:t>
            </w:r>
          </w:hyperlink>
        </w:p>
        <w:p>
          <w:pPr>
            <w:pStyle w:val="TOC2"/>
            <w:tabs>
              <w:tab w:val="right" w:leader="dot" w:pos="9974"/>
            </w:tabs>
          </w:pPr>
          <w:hyperlink w:anchor="Xaf631b6625c5d66e94ec1775cb0e9e4afe26de7" w:history="1">
            <w:r>
              <w:t xml:space="preserve">S.6. Decisiones que la alianza debe confirmar</w:t>
            </w:r>
            <w:r>
              <w:tab/>
            </w:r>
            <w:r>
              <w:t>25</w:t>
            </w:r>
          </w:hyperlink>
        </w:p>
        <w:p>
          <w:pPr>
            <w:pStyle w:val="TOC2"/>
            <w:tabs>
              <w:tab w:val="right" w:leader="dot" w:pos="9974"/>
            </w:tabs>
          </w:pPr>
          <w:hyperlink w:anchor="s.7.-datos-pendientes-del-documento" w:history="1">
            <w:r>
              <w:t xml:space="preserve">S.7. Datos pendientes del documento</w:t>
            </w:r>
            <w:r>
              <w:tab/>
            </w:r>
            <w:r>
              <w:t>26</w:t>
            </w:r>
          </w:hyperlink>
        </w:p>
        <w:p>
          <w:pPr>
            <w:pStyle w:val="TOC2"/>
            <w:tabs>
              <w:tab w:val="right" w:leader="dot" w:pos="9974"/>
            </w:tabs>
          </w:pPr>
          <w:hyperlink w:anchor="Xc46ce8833b924fe7b33e8e2c0f9e7a4b6724102" w:history="1">
            <w:r>
              <w:t xml:space="preserve">S.8. ¿Qué cambió con las respuestas de la Secretaría Técnica?</w:t>
            </w:r>
            <w:r>
              <w:tab/>
            </w:r>
            <w:r>
              <w:t>31</w:t>
            </w:r>
          </w:hyperlink>
        </w:p>
        <w:p>
          <w:pPr>
            <w:pStyle w:val="TOC1"/>
            <w:tabs>
              <w:tab w:val="right" w:leader="dot" w:pos="9974"/>
            </w:tabs>
          </w:pPr>
          <w:hyperlink w:anchor="identificación-del-proyecto" w:history="1">
            <w:r>
              <w:t xml:space="preserve">1. IDENTIFICACIÓN DEL PROYECTO</w:t>
            </w:r>
            <w:r>
              <w:tab/>
            </w:r>
            <w:r>
              <w:t>33</w:t>
            </w:r>
          </w:hyperlink>
        </w:p>
        <w:p>
          <w:pPr>
            <w:pStyle w:val="TOC1"/>
            <w:tabs>
              <w:tab w:val="right" w:leader="dot" w:pos="9974"/>
            </w:tabs>
          </w:pPr>
          <w:hyperlink w:anchor="resumen-ejecutivo" w:history="1">
            <w:r>
              <w:t xml:space="preserve">2. RESUMEN EJECUTIVO</w:t>
            </w:r>
            <w:r>
              <w:tab/>
            </w:r>
            <w:r>
              <w:t>37</w:t>
            </w:r>
          </w:hyperlink>
        </w:p>
        <w:p>
          <w:pPr>
            <w:pStyle w:val="TOC1"/>
            <w:tabs>
              <w:tab w:val="right" w:leader="dot" w:pos="9974"/>
            </w:tabs>
          </w:pPr>
          <w:hyperlink w:anchor="palabras-clave" w:history="1">
            <w:r>
              <w:t xml:space="preserve">3. PALABRAS CLAVE</w:t>
            </w:r>
            <w:r>
              <w:tab/>
            </w:r>
            <w:r>
              <w:t>39</w:t>
            </w:r>
          </w:hyperlink>
        </w:p>
        <w:p>
          <w:pPr>
            <w:pStyle w:val="TOC1"/>
            <w:tabs>
              <w:tab w:val="right" w:leader="dot" w:pos="9974"/>
            </w:tabs>
          </w:pPr>
          <w:hyperlink w:anchor="alineación-con-la-política-pública" w:history="1">
            <w:r>
              <w:t xml:space="preserve">4. ALINEACIÓN CON LA POLÍTICA PÚBLICA</w:t>
            </w:r>
            <w:r>
              <w:tab/>
            </w:r>
            <w:r>
              <w:t>39</w:t>
            </w:r>
          </w:hyperlink>
        </w:p>
        <w:p>
          <w:pPr>
            <w:pStyle w:val="TOC2"/>
            <w:tabs>
              <w:tab w:val="right" w:leader="dot" w:pos="9974"/>
            </w:tabs>
          </w:pPr>
          <w:hyperlink w:anchor="afectación-y-relación-con-la-emergencia" w:history="1">
            <w:r>
              <w:t xml:space="preserve">4.1. Afectación y relación con la emergencia</w:t>
            </w:r>
            <w:r>
              <w:tab/>
            </w:r>
            <w:r>
              <w:t>40</w:t>
            </w:r>
          </w:hyperlink>
        </w:p>
        <w:p>
          <w:pPr>
            <w:pStyle w:val="TOC1"/>
            <w:tabs>
              <w:tab w:val="right" w:leader="dot" w:pos="9974"/>
            </w:tabs>
          </w:pPr>
          <w:hyperlink w:anchor="X31a2408ea8cacdb89bff4f1e7ca489b0dd1157b" w:history="1">
            <w:r>
              <w:t xml:space="preserve">5. IDENTIFICACIÓN Y DESCRIPCIÓN DEL PROBLEMA</w:t>
            </w:r>
            <w:r>
              <w:tab/>
            </w:r>
            <w:r>
              <w:t>46</w:t>
            </w:r>
          </w:hyperlink>
        </w:p>
        <w:p>
          <w:pPr>
            <w:pStyle w:val="TOC2"/>
            <w:tabs>
              <w:tab w:val="right" w:leader="dot" w:pos="9974"/>
            </w:tabs>
          </w:pPr>
          <w:hyperlink w:anchor="problema-central" w:history="1">
            <w:r>
              <w:t xml:space="preserve">5.1. Problema central</w:t>
            </w:r>
            <w:r>
              <w:tab/>
            </w:r>
            <w:r>
              <w:t>46</w:t>
            </w:r>
          </w:hyperlink>
        </w:p>
        <w:p>
          <w:pPr>
            <w:pStyle w:val="TOC2"/>
            <w:tabs>
              <w:tab w:val="right" w:leader="dot" w:pos="9974"/>
            </w:tabs>
          </w:pPr>
          <w:hyperlink w:anchor="Xe225b43b89a3b13b27d4d049bfa9fc760f51d58" w:history="1">
            <w:r>
              <w:t xml:space="preserve">5.2. Descripción del problema y la situación existente</w:t>
            </w:r>
            <w:r>
              <w:tab/>
            </w:r>
            <w:r>
              <w:t>47</w:t>
            </w:r>
          </w:hyperlink>
        </w:p>
        <w:p>
          <w:pPr>
            <w:pStyle w:val="TOC2"/>
            <w:tabs>
              <w:tab w:val="right" w:leader="dot" w:pos="9974"/>
            </w:tabs>
          </w:pPr>
          <w:hyperlink w:anchor="Xfd9b0dd781f06cb39371e90fa21920317466ebe" w:history="1">
            <w:r>
              <w:t xml:space="preserve">5.3. Magnitud actual del problema indicadores de referencia</w:t>
            </w:r>
            <w:r>
              <w:tab/>
            </w:r>
            <w:r>
              <w:t>55</w:t>
            </w:r>
          </w:hyperlink>
        </w:p>
        <w:p>
          <w:pPr>
            <w:pStyle w:val="TOC2"/>
            <w:tabs>
              <w:tab w:val="right" w:leader="dot" w:pos="9974"/>
            </w:tabs>
          </w:pPr>
          <w:hyperlink w:anchor="árbol-de-problemas" w:history="1">
            <w:r>
              <w:t xml:space="preserve">5.4. Árbol de problemas</w:t>
            </w:r>
            <w:r>
              <w:tab/>
            </w:r>
            <w:r>
              <w:t>60</w:t>
            </w:r>
          </w:hyperlink>
        </w:p>
        <w:p>
          <w:pPr>
            <w:pStyle w:val="TOC1"/>
            <w:tabs>
              <w:tab w:val="right" w:leader="dot" w:pos="9974"/>
            </w:tabs>
          </w:pPr>
          <w:hyperlink w:anchor="antecedentes" w:history="1">
            <w:r>
              <w:t xml:space="preserve">6. ANTECEDENTES</w:t>
            </w:r>
            <w:r>
              <w:tab/>
            </w:r>
            <w:r>
              <w:t>62</w:t>
            </w:r>
          </w:hyperlink>
        </w:p>
        <w:p>
          <w:pPr>
            <w:pStyle w:val="TOC2"/>
            <w:tabs>
              <w:tab w:val="right" w:leader="dot" w:pos="9974"/>
            </w:tabs>
          </w:pPr>
          <w:hyperlink w:anchor="antecedentes-internacionales" w:history="1">
            <w:r>
              <w:t xml:space="preserve">6.1 Antecedentes internacionales</w:t>
            </w:r>
            <w:r>
              <w:tab/>
            </w:r>
            <w:r>
              <w:t>63</w:t>
            </w:r>
          </w:hyperlink>
        </w:p>
        <w:p>
          <w:pPr>
            <w:pStyle w:val="TOC2"/>
            <w:tabs>
              <w:tab w:val="right" w:leader="dot" w:pos="9974"/>
            </w:tabs>
          </w:pPr>
          <w:hyperlink w:anchor="antecedentes-nacionales" w:history="1">
            <w:r>
              <w:t xml:space="preserve">6.2 Antecedentes nacionales</w:t>
            </w:r>
            <w:r>
              <w:tab/>
            </w:r>
            <w:r>
              <w:t>66</w:t>
            </w:r>
          </w:hyperlink>
        </w:p>
        <w:p>
          <w:pPr>
            <w:pStyle w:val="TOC2"/>
            <w:tabs>
              <w:tab w:val="right" w:leader="dot" w:pos="9974"/>
            </w:tabs>
          </w:pPr>
          <w:hyperlink w:anchor="X5851cc63fcb830046299ebe0e402364fe4e8416" w:history="1">
            <w:r>
              <w:t xml:space="preserve">6.3 Antecedentes departamentales y municipales</w:t>
            </w:r>
            <w:r>
              <w:tab/>
            </w:r>
            <w:r>
              <w:t>68</w:t>
            </w:r>
          </w:hyperlink>
        </w:p>
        <w:p>
          <w:pPr>
            <w:pStyle w:val="TOC2"/>
            <w:tabs>
              <w:tab w:val="right" w:leader="dot" w:pos="9974"/>
            </w:tabs>
          </w:pPr>
          <w:hyperlink w:anchor="X2cbd1e947b58f3f6951b41b7a48a135d89aad23" w:history="1">
            <w:r>
              <w:t xml:space="preserve">6.4 Evolución en el tiempo y madurez de los antecedentes</w:t>
            </w:r>
            <w:r>
              <w:tab/>
            </w:r>
            <w:r>
              <w:t>70</w:t>
            </w:r>
          </w:hyperlink>
        </w:p>
        <w:p>
          <w:pPr>
            <w:pStyle w:val="TOC2"/>
            <w:tabs>
              <w:tab w:val="right" w:leader="dot" w:pos="9974"/>
            </w:tabs>
          </w:pPr>
          <w:hyperlink w:anchor="Xa084d7e7f726e5966f52975fc0600edea0a6cad" w:history="1">
            <w:r>
              <w:t xml:space="preserve">6.5 Lecciones de los antecedentes y pertinencia del proyecto</w:t>
            </w:r>
            <w:r>
              <w:tab/>
            </w:r>
            <w:r>
              <w:t>74</w:t>
            </w:r>
          </w:hyperlink>
        </w:p>
        <w:p>
          <w:pPr>
            <w:pStyle w:val="TOC1"/>
            <w:tabs>
              <w:tab w:val="right" w:leader="dot" w:pos="9974"/>
            </w:tabs>
          </w:pPr>
          <w:hyperlink w:anchor="justificación" w:history="1">
            <w:r>
              <w:t xml:space="preserve">7. JUSTIFICACIÓN</w:t>
            </w:r>
            <w:r>
              <w:tab/>
            </w:r>
            <w:r>
              <w:t>75</w:t>
            </w:r>
          </w:hyperlink>
        </w:p>
        <w:p>
          <w:pPr>
            <w:pStyle w:val="TOC2"/>
            <w:tabs>
              <w:tab w:val="right" w:leader="dot" w:pos="9974"/>
            </w:tabs>
          </w:pPr>
          <w:hyperlink w:anchor="necesidad-que-justifica-el-proyecto" w:history="1">
            <w:r>
              <w:t xml:space="preserve">7.1. Necesidad que justifica el proyecto</w:t>
            </w:r>
            <w:r>
              <w:tab/>
            </w:r>
            <w:r>
              <w:t>75</w:t>
            </w:r>
          </w:hyperlink>
        </w:p>
        <w:p>
          <w:pPr>
            <w:pStyle w:val="TOC2"/>
            <w:tabs>
              <w:tab w:val="right" w:leader="dot" w:pos="9974"/>
            </w:tabs>
          </w:pPr>
          <w:hyperlink w:anchor="viabilidad-del-proyecto" w:history="1">
            <w:r>
              <w:t xml:space="preserve">7.2. Viabilidad del proyecto</w:t>
            </w:r>
            <w:r>
              <w:tab/>
            </w:r>
            <w:r>
              <w:t>77</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79</w:t>
            </w:r>
          </w:hyperlink>
        </w:p>
        <w:p>
          <w:pPr>
            <w:pStyle w:val="TOC2"/>
            <w:tabs>
              <w:tab w:val="right" w:leader="dot" w:pos="9974"/>
            </w:tabs>
          </w:pPr>
          <w:hyperlink w:anchor="Xeb550796b66ed06b65752641ebb16e26ad1f07c" w:history="1">
            <w:r>
              <w:t xml:space="preserve">7.4. Equipos, infraestructura y software que se adquieren</w:t>
            </w:r>
            <w:r>
              <w:tab/>
            </w:r>
            <w:r>
              <w:t>80</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82</w:t>
            </w:r>
          </w:hyperlink>
        </w:p>
        <w:p>
          <w:pPr>
            <w:pStyle w:val="TOC2"/>
            <w:tabs>
              <w:tab w:val="right" w:leader="dot" w:pos="9974"/>
            </w:tabs>
          </w:pPr>
          <w:hyperlink w:anchor="X47d9a994338d5efae1691e4596212dc34497a37" w:history="1">
            <w:r>
              <w:t xml:space="preserve">8.1. Reto estratégico y comprensión de la alianza</w:t>
            </w:r>
            <w:r>
              <w:tab/>
            </w:r>
            <w:r>
              <w:t>83</w:t>
            </w:r>
          </w:hyperlink>
        </w:p>
        <w:p>
          <w:pPr>
            <w:pStyle w:val="TOC2"/>
            <w:tabs>
              <w:tab w:val="right" w:leader="dot" w:pos="9974"/>
            </w:tabs>
          </w:pPr>
          <w:hyperlink w:anchor="X9561550d61d095894b27208bc551dfe1b6b9ca0" w:history="1">
            <w:r>
              <w:t xml:space="preserve">8.2. Respuesta desde los alcances temáticos de la línea 5.1</w:t>
            </w:r>
            <w:r>
              <w:tab/>
            </w:r>
            <w:r>
              <w:t>83</w:t>
            </w:r>
          </w:hyperlink>
        </w:p>
        <w:p>
          <w:pPr>
            <w:pStyle w:val="TOC2"/>
            <w:tabs>
              <w:tab w:val="right" w:leader="dot" w:pos="9974"/>
            </w:tabs>
          </w:pPr>
          <w:hyperlink w:anchor="Xe842d08b497d78c4ce7ffff6c38e6d0c182a454" w:history="1">
            <w:r>
              <w:t xml:space="preserve">8.3. Demandas territoriales que atiende el proyecto</w:t>
            </w:r>
            <w:r>
              <w:tab/>
            </w:r>
            <w:r>
              <w:t>85</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88</w:t>
            </w:r>
          </w:hyperlink>
        </w:p>
        <w:p>
          <w:pPr>
            <w:pStyle w:val="TOC1"/>
            <w:tabs>
              <w:tab w:val="right" w:leader="dot" w:pos="9974"/>
            </w:tabs>
          </w:pPr>
          <w:hyperlink w:anchor="marco-conceptual" w:history="1">
            <w:r>
              <w:t xml:space="preserve">9. MARCO CONCEPTUAL</w:t>
            </w:r>
            <w:r>
              <w:tab/>
            </w:r>
            <w:r>
              <w:t>89</w:t>
            </w:r>
          </w:hyperlink>
        </w:p>
        <w:p>
          <w:pPr>
            <w:pStyle w:val="TOC2"/>
            <w:tabs>
              <w:tab w:val="right" w:leader="dot" w:pos="9974"/>
            </w:tabs>
          </w:pPr>
          <w:hyperlink w:anchor="fundamentos-teóricos" w:history="1">
            <w:r>
              <w:t xml:space="preserve">9.1 Fundamentos teóricos</w:t>
            </w:r>
            <w:r>
              <w:tab/>
            </w:r>
            <w:r>
              <w:t>89</w:t>
            </w:r>
          </w:hyperlink>
        </w:p>
        <w:p>
          <w:pPr>
            <w:pStyle w:val="TOC2"/>
            <w:tabs>
              <w:tab w:val="right" w:leader="dot" w:pos="9974"/>
            </w:tabs>
          </w:pPr>
          <w:hyperlink w:anchor="conceptos-operativos" w:history="1">
            <w:r>
              <w:t xml:space="preserve">9.2 Conceptos operativos</w:t>
            </w:r>
            <w:r>
              <w:tab/>
            </w:r>
            <w:r>
              <w:t>96</w:t>
            </w:r>
          </w:hyperlink>
        </w:p>
        <w:p>
          <w:pPr>
            <w:pStyle w:val="TOC2"/>
            <w:tabs>
              <w:tab w:val="right" w:leader="dot" w:pos="9974"/>
            </w:tabs>
          </w:pPr>
          <w:hyperlink w:anchor="modelo-de-decisión-del-proyecto" w:history="1">
            <w:r>
              <w:t xml:space="preserve">9.3 Modelo de decisión del proyecto</w:t>
            </w:r>
            <w:r>
              <w:tab/>
            </w:r>
            <w:r>
              <w:t>98</w:t>
            </w:r>
          </w:hyperlink>
        </w:p>
        <w:p>
          <w:pPr>
            <w:pStyle w:val="TOC2"/>
            <w:tabs>
              <w:tab w:val="right" w:leader="dot" w:pos="9974"/>
            </w:tabs>
          </w:pPr>
          <w:hyperlink w:anchor="marco-de-política-pública" w:history="1">
            <w:r>
              <w:t xml:space="preserve">9.4 Marco de política pública</w:t>
            </w:r>
            <w:r>
              <w:tab/>
            </w:r>
            <w:r>
              <w:t>100</w:t>
            </w:r>
          </w:hyperlink>
        </w:p>
        <w:p>
          <w:pPr>
            <w:pStyle w:val="TOC2"/>
            <w:tabs>
              <w:tab w:val="right" w:leader="dot" w:pos="9974"/>
            </w:tabs>
          </w:pPr>
          <w:hyperlink w:anchor="marco-normativo" w:history="1">
            <w:r>
              <w:t xml:space="preserve">9.5 Marco normativo</w:t>
            </w:r>
            <w:r>
              <w:tab/>
            </w:r>
            <w:r>
              <w:t>101</w:t>
            </w:r>
          </w:hyperlink>
        </w:p>
        <w:p>
          <w:pPr>
            <w:pStyle w:val="TOC1"/>
            <w:tabs>
              <w:tab w:val="right" w:leader="dot" w:pos="9974"/>
            </w:tabs>
          </w:pPr>
          <w:hyperlink w:anchor="análisis-de-participantes" w:history="1">
            <w:r>
              <w:t xml:space="preserve">10. ANÁLISIS DE PARTICIPANTES</w:t>
            </w:r>
            <w:r>
              <w:tab/>
            </w:r>
            <w:r>
              <w:t>104</w:t>
            </w:r>
          </w:hyperlink>
        </w:p>
        <w:p>
          <w:pPr>
            <w:pStyle w:val="TOC2"/>
            <w:tabs>
              <w:tab w:val="right" w:leader="dot" w:pos="9974"/>
            </w:tabs>
          </w:pPr>
          <w:hyperlink w:anchor="Xf548d75448c161e915a6e4145eb907e4eb8279c" w:history="1">
            <w:r>
              <w:t xml:space="preserve">10.1. Participantes, posiciones y contribuciones</w:t>
            </w:r>
            <w:r>
              <w:tab/>
            </w:r>
            <w:r>
              <w:t>104</w:t>
            </w:r>
          </w:hyperlink>
        </w:p>
        <w:p>
          <w:pPr>
            <w:pStyle w:val="TOC2"/>
            <w:tabs>
              <w:tab w:val="right" w:leader="dot" w:pos="9974"/>
            </w:tabs>
          </w:pPr>
          <w:hyperlink w:anchor="Xedff5b0bf24f9f7f7f3449ef5777e4bdb2dcf3e" w:history="1">
            <w:r>
              <w:t xml:space="preserve">10.2. Posiciones de oposición y de perjuicio inferidas</w:t>
            </w:r>
            <w:r>
              <w:tab/>
            </w:r>
            <w:r>
              <w:t>111</w:t>
            </w:r>
          </w:hyperlink>
        </w:p>
        <w:p>
          <w:pPr>
            <w:pStyle w:val="TOC2"/>
            <w:tabs>
              <w:tab w:val="right" w:leader="dot" w:pos="9974"/>
            </w:tabs>
          </w:pPr>
          <w:hyperlink w:anchor="poder-interés-y-estrategia-de-gestión" w:history="1">
            <w:r>
              <w:t xml:space="preserve">10.3. Poder, interés y estrategia de gestión</w:t>
            </w:r>
            <w:r>
              <w:tab/>
            </w:r>
            <w:r>
              <w:t>113</w:t>
            </w:r>
          </w:hyperlink>
        </w:p>
        <w:p>
          <w:pPr>
            <w:pStyle w:val="TOC1"/>
            <w:tabs>
              <w:tab w:val="right" w:leader="dot" w:pos="9974"/>
            </w:tabs>
          </w:pPr>
          <w:hyperlink w:anchor="población" w:history="1">
            <w:r>
              <w:t xml:space="preserve">11. POBLACIÓN</w:t>
            </w:r>
            <w:r>
              <w:tab/>
            </w:r>
            <w:r>
              <w:t>117</w:t>
            </w:r>
          </w:hyperlink>
        </w:p>
        <w:p>
          <w:pPr>
            <w:pStyle w:val="TOC2"/>
            <w:tabs>
              <w:tab w:val="right" w:leader="dot" w:pos="9974"/>
            </w:tabs>
          </w:pPr>
          <w:hyperlink w:anchor="población-afectada" w:history="1">
            <w:r>
              <w:t xml:space="preserve">11.1. Población afectada</w:t>
            </w:r>
            <w:r>
              <w:tab/>
            </w:r>
            <w:r>
              <w:t>118</w:t>
            </w:r>
          </w:hyperlink>
        </w:p>
        <w:p>
          <w:pPr>
            <w:pStyle w:val="TOC2"/>
            <w:tabs>
              <w:tab w:val="right" w:leader="dot" w:pos="9974"/>
            </w:tabs>
          </w:pPr>
          <w:hyperlink w:anchor="población-objetivo" w:history="1">
            <w:r>
              <w:t xml:space="preserve">11.2. Población objetivo</w:t>
            </w:r>
            <w:r>
              <w:tab/>
            </w:r>
            <w:r>
              <w:t>119</w:t>
            </w:r>
          </w:hyperlink>
        </w:p>
        <w:p>
          <w:pPr>
            <w:pStyle w:val="TOC2"/>
            <w:tabs>
              <w:tab w:val="right" w:leader="dot" w:pos="9974"/>
            </w:tabs>
          </w:pPr>
          <w:hyperlink w:anchor="Xc216d4e4d5e1279a47eb3e538c8a258c8fbccf2" w:history="1">
            <w:r>
              <w:t xml:space="preserve">11.3. Características demográficas de la población objetivo</w:t>
            </w:r>
            <w:r>
              <w:tab/>
            </w:r>
            <w:r>
              <w:t>121</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125</w:t>
            </w:r>
          </w:hyperlink>
        </w:p>
        <w:p>
          <w:pPr>
            <w:pStyle w:val="TOC1"/>
            <w:tabs>
              <w:tab w:val="right" w:leader="dot" w:pos="9974"/>
            </w:tabs>
          </w:pPr>
          <w:hyperlink w:anchor="objetivos" w:history="1">
            <w:r>
              <w:t xml:space="preserve">12. OBJETIVOS</w:t>
            </w:r>
            <w:r>
              <w:tab/>
            </w:r>
            <w:r>
              <w:t>126</w:t>
            </w:r>
          </w:hyperlink>
        </w:p>
        <w:p>
          <w:pPr>
            <w:pStyle w:val="TOC2"/>
            <w:tabs>
              <w:tab w:val="right" w:leader="dot" w:pos="9974"/>
            </w:tabs>
          </w:pPr>
          <w:hyperlink w:anchor="objetivo-general" w:history="1">
            <w:r>
              <w:t xml:space="preserve">12.1. Objetivo General</w:t>
            </w:r>
            <w:r>
              <w:tab/>
            </w:r>
            <w:r>
              <w:t>127</w:t>
            </w:r>
          </w:hyperlink>
        </w:p>
        <w:p>
          <w:pPr>
            <w:pStyle w:val="TOC2"/>
            <w:tabs>
              <w:tab w:val="right" w:leader="dot" w:pos="9974"/>
            </w:tabs>
          </w:pPr>
          <w:hyperlink w:anchor="objetivos-específicos" w:history="1">
            <w:r>
              <w:t xml:space="preserve">12.2. Objetivos específicos</w:t>
            </w:r>
            <w:r>
              <w:tab/>
            </w:r>
            <w:r>
              <w:t>128</w:t>
            </w:r>
          </w:hyperlink>
        </w:p>
        <w:p>
          <w:pPr>
            <w:pStyle w:val="TOC2"/>
            <w:tabs>
              <w:tab w:val="right" w:leader="dot" w:pos="9974"/>
            </w:tabs>
          </w:pPr>
          <w:hyperlink w:anchor="árbol-de-objetivos" w:history="1">
            <w:r>
              <w:t xml:space="preserve">12.3. Árbol de objetivos</w:t>
            </w:r>
            <w:r>
              <w:tab/>
            </w:r>
            <w:r>
              <w:t>131</w:t>
            </w:r>
          </w:hyperlink>
        </w:p>
        <w:p>
          <w:pPr>
            <w:pStyle w:val="TOC1"/>
            <w:tabs>
              <w:tab w:val="right" w:leader="dot" w:pos="9974"/>
            </w:tabs>
          </w:pPr>
          <w:hyperlink w:anchor="análisis-de-las-alternativas" w:history="1">
            <w:r>
              <w:t xml:space="preserve">13. ANÁLISIS DE LAS ALTERNATIVAS</w:t>
            </w:r>
            <w:r>
              <w:tab/>
            </w:r>
            <w:r>
              <w:t>135</w:t>
            </w:r>
          </w:hyperlink>
        </w:p>
        <w:p>
          <w:pPr>
            <w:pStyle w:val="TOC2"/>
            <w:tabs>
              <w:tab w:val="right" w:leader="dot" w:pos="9974"/>
            </w:tabs>
          </w:pPr>
          <w:hyperlink w:anchor="X50d2af8ce102570bcd65e9ec7447b91a89d1b96" w:history="1">
            <w:r>
              <w:t xml:space="preserve">13.1. Análisis técnico de la alternativa seleccionada</w:t>
            </w:r>
            <w:r>
              <w:tab/>
            </w:r>
            <w:r>
              <w:t>135</w:t>
            </w:r>
          </w:hyperlink>
        </w:p>
        <w:p>
          <w:pPr>
            <w:pStyle w:val="TOC2"/>
            <w:tabs>
              <w:tab w:val="right" w:leader="dot" w:pos="9974"/>
            </w:tabs>
          </w:pPr>
          <w:hyperlink w:anchor="X1a52b11524ca980d54f4cb0f353ea6a83f4c125" w:history="1">
            <w:r>
              <w:t xml:space="preserve">13.2 Estado de desarrollo y madurez tecnológica</w:t>
            </w:r>
            <w:r>
              <w:tab/>
            </w:r>
            <w:r>
              <w:t>140</w:t>
            </w:r>
          </w:hyperlink>
        </w:p>
        <w:p>
          <w:pPr>
            <w:pStyle w:val="TOC2"/>
            <w:tabs>
              <w:tab w:val="right" w:leader="dot" w:pos="9974"/>
            </w:tabs>
          </w:pPr>
          <w:hyperlink w:anchor="Xb568668995b092ac8559ea23820492086de1c75" w:history="1">
            <w:r>
              <w:t xml:space="preserve">13.3 Alternativas para el componente predictivo</w:t>
            </w:r>
            <w:r>
              <w:tab/>
            </w:r>
            <w:r>
              <w:t>143</w:t>
            </w:r>
          </w:hyperlink>
        </w:p>
        <w:p>
          <w:pPr>
            <w:pStyle w:val="TOC1"/>
            <w:tabs>
              <w:tab w:val="right" w:leader="dot" w:pos="9974"/>
            </w:tabs>
          </w:pPr>
          <w:hyperlink w:anchor="Xf39ac899f991f00da5bcef87a9dca810689bdb6" w:history="1">
            <w:r>
              <w:t xml:space="preserve">14. METODOLOGÍA PARA DESARROLLAR LA ALTERNATIVA SELECCIONADA</w:t>
            </w:r>
            <w:r>
              <w:tab/>
            </w:r>
            <w:r>
              <w:t>144</w:t>
            </w:r>
          </w:hyperlink>
        </w:p>
        <w:p>
          <w:pPr>
            <w:pStyle w:val="TOC2"/>
            <w:tabs>
              <w:tab w:val="right" w:leader="dot" w:pos="9974"/>
            </w:tabs>
          </w:pPr>
          <w:hyperlink w:anchor="estructura-de-la-metodología" w:history="1">
            <w:r>
              <w:t xml:space="preserve">14.1. Estructura de la metodología</w:t>
            </w:r>
            <w:r>
              <w:tab/>
            </w:r>
            <w:r>
              <w:t>144</w:t>
            </w:r>
          </w:hyperlink>
        </w:p>
        <w:p>
          <w:pPr>
            <w:pStyle w:val="TOC2"/>
            <w:tabs>
              <w:tab w:val="right" w:leader="dot" w:pos="9974"/>
            </w:tabs>
          </w:pPr>
          <w:hyperlink w:anchor="X227d7324b00705c243ed05dfdb36cb6a20f71a7" w:history="1">
            <w:r>
              <w:t xml:space="preserve">14.2. Técnicas, datos y validación del modelo de corrección</w:t>
            </w:r>
            <w:r>
              <w:tab/>
            </w:r>
            <w:r>
              <w:t>153</w:t>
            </w:r>
          </w:hyperlink>
        </w:p>
        <w:p>
          <w:pPr>
            <w:pStyle w:val="TOC2"/>
            <w:tabs>
              <w:tab w:val="right" w:leader="dot" w:pos="9974"/>
            </w:tabs>
          </w:pPr>
          <w:hyperlink w:anchor="X23195bc754c7b59a57da4fb8114b9c8060d84ff" w:history="1">
            <w:r>
              <w:t xml:space="preserve">14.3. Metodología para el logro del objetivo específico 1</w:t>
            </w:r>
            <w:r>
              <w:tab/>
            </w:r>
            <w:r>
              <w:t>155</w:t>
            </w:r>
          </w:hyperlink>
        </w:p>
        <w:p>
          <w:pPr>
            <w:pStyle w:val="TOC2"/>
            <w:tabs>
              <w:tab w:val="right" w:leader="dot" w:pos="9974"/>
            </w:tabs>
          </w:pPr>
          <w:hyperlink w:anchor="X8c6cd6e3b4648d1635b907ce1bc19a932882788" w:history="1">
            <w:r>
              <w:t xml:space="preserve">14.4. Metodología para el logro del objetivo específico 2</w:t>
            </w:r>
            <w:r>
              <w:tab/>
            </w:r>
            <w:r>
              <w:t>159</w:t>
            </w:r>
          </w:hyperlink>
        </w:p>
        <w:p>
          <w:pPr>
            <w:pStyle w:val="TOC2"/>
            <w:tabs>
              <w:tab w:val="right" w:leader="dot" w:pos="9974"/>
            </w:tabs>
          </w:pPr>
          <w:hyperlink w:anchor="X613255600d4dde93c9e892b702bb2408aed4a67" w:history="1">
            <w:r>
              <w:t xml:space="preserve">14.5. Metodología para el logro del objetivo específico 3</w:t>
            </w:r>
            <w:r>
              <w:tab/>
            </w:r>
            <w:r>
              <w:t>161</w:t>
            </w:r>
          </w:hyperlink>
        </w:p>
        <w:p>
          <w:pPr>
            <w:pStyle w:val="TOC2"/>
            <w:tabs>
              <w:tab w:val="right" w:leader="dot" w:pos="9974"/>
            </w:tabs>
          </w:pPr>
          <w:hyperlink w:anchor="X7066f5677759c818f8069fc2d69cc19d73c2c3c" w:history="1">
            <w:r>
              <w:t xml:space="preserve">14.6. Método del laboratorio de modelación predictiva</w:t>
            </w:r>
            <w:r>
              <w:tab/>
            </w:r>
            <w:r>
              <w:t>164</w:t>
            </w:r>
          </w:hyperlink>
        </w:p>
        <w:p>
          <w:pPr>
            <w:pStyle w:val="TOC1"/>
            <w:tabs>
              <w:tab w:val="right" w:leader="dot" w:pos="9974"/>
            </w:tabs>
          </w:pPr>
          <w:hyperlink w:anchor="cadena-de-valor" w:history="1">
            <w:r>
              <w:t xml:space="preserve">15. CADENA DE VALOR</w:t>
            </w:r>
            <w:r>
              <w:tab/>
            </w:r>
            <w:r>
              <w:t>167</w:t>
            </w:r>
          </w:hyperlink>
        </w:p>
        <w:p>
          <w:pPr>
            <w:pStyle w:val="TOC1"/>
            <w:tabs>
              <w:tab w:val="right" w:leader="dot" w:pos="9974"/>
            </w:tabs>
          </w:pPr>
          <w:hyperlink w:anchor="X6eda6f26400c0ebfb01e1eb3fcfc7622a70617e" w:history="1">
            <w:r>
              <w:t xml:space="preserve">16. SOSTENIBILIDAD SOCIAL Y AMBIENTAL DEL PROYECTO</w:t>
            </w:r>
            <w:r>
              <w:tab/>
            </w:r>
            <w:r>
              <w:t>173</w:t>
            </w:r>
          </w:hyperlink>
        </w:p>
        <w:p>
          <w:pPr>
            <w:pStyle w:val="TOC2"/>
            <w:tabs>
              <w:tab w:val="right" w:leader="dot" w:pos="9974"/>
            </w:tabs>
          </w:pPr>
          <w:hyperlink w:anchor="X8d62603f617b32b27e3ad99b0afb2660ce61327" w:history="1">
            <w:r>
              <w:t xml:space="preserve">16.1. Contribución a los Objetivos de Desarrollo Sostenible</w:t>
            </w:r>
            <w:r>
              <w:tab/>
            </w:r>
            <w:r>
              <w:t>174</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175</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176</w:t>
            </w:r>
          </w:hyperlink>
        </w:p>
        <w:p>
          <w:pPr>
            <w:pStyle w:val="TOC2"/>
            <w:tabs>
              <w:tab w:val="right" w:leader="dot" w:pos="9974"/>
            </w:tabs>
          </w:pPr>
          <w:hyperlink w:anchor="sostenibilidad-ambiental" w:history="1">
            <w:r>
              <w:t xml:space="preserve">16.4. Sostenibilidad ambiental</w:t>
            </w:r>
            <w:r>
              <w:tab/>
            </w:r>
            <w:r>
              <w:t>182</w:t>
            </w:r>
          </w:hyperlink>
        </w:p>
        <w:p>
          <w:pPr>
            <w:pStyle w:val="TOC2"/>
            <w:tabs>
              <w:tab w:val="right" w:leader="dot" w:pos="9974"/>
            </w:tabs>
          </w:pPr>
          <w:hyperlink w:anchor="sostenibilidad-social" w:history="1">
            <w:r>
              <w:t xml:space="preserve">16.5. Sostenibilidad social</w:t>
            </w:r>
            <w:r>
              <w:tab/>
            </w:r>
            <w:r>
              <w:t>183</w:t>
            </w:r>
          </w:hyperlink>
        </w:p>
        <w:p>
          <w:pPr>
            <w:pStyle w:val="TOC2"/>
            <w:tabs>
              <w:tab w:val="right" w:leader="dot" w:pos="9974"/>
            </w:tabs>
          </w:pPr>
          <w:hyperlink w:anchor="sostenibilidad-financiera" w:history="1">
            <w:r>
              <w:t xml:space="preserve">16.6. Sostenibilidad financiera</w:t>
            </w:r>
            <w:r>
              <w:tab/>
            </w:r>
            <w:r>
              <w:t>184</w:t>
            </w:r>
          </w:hyperlink>
        </w:p>
        <w:p>
          <w:pPr>
            <w:pStyle w:val="TOC1"/>
            <w:tabs>
              <w:tab w:val="right" w:leader="dot" w:pos="9974"/>
            </w:tabs>
          </w:pPr>
          <w:hyperlink w:anchor="Xac2dc2fefbd7bdd6ca7fd63789903adb0a5e1fb" w:history="1">
            <w:r>
              <w:t xml:space="preserve">17. RESULTADOS E IMPACTOS PARA EL DEPARTAMENTO OBJETO DEL PROYECTO</w:t>
            </w:r>
            <w:r>
              <w:tab/>
            </w:r>
            <w:r>
              <w:t>186</w:t>
            </w:r>
          </w:hyperlink>
        </w:p>
        <w:p>
          <w:pPr>
            <w:pStyle w:val="TOC2"/>
            <w:tabs>
              <w:tab w:val="right" w:leader="dot" w:pos="9974"/>
            </w:tabs>
          </w:pPr>
          <w:hyperlink w:anchor="resultados-medibles-y-cuantificables" w:history="1">
            <w:r>
              <w:t xml:space="preserve">17.1. Resultados medibles y cuantificables</w:t>
            </w:r>
            <w:r>
              <w:tab/>
            </w:r>
            <w:r>
              <w:t>186</w:t>
            </w:r>
          </w:hyperlink>
        </w:p>
        <w:p>
          <w:pPr>
            <w:pStyle w:val="TOC2"/>
            <w:tabs>
              <w:tab w:val="right" w:leader="dot" w:pos="9974"/>
            </w:tabs>
          </w:pPr>
          <w:hyperlink w:anchor="X46c9957ef16e1f0bfd581780b77da9bd86640db" w:history="1">
            <w:r>
              <w:t xml:space="preserve">17.2. Impactos a corto, mediano y largo plazo en los tres departamentos</w:t>
            </w:r>
            <w:r>
              <w:tab/>
            </w:r>
            <w:r>
              <w:t>189</w:t>
            </w:r>
          </w:hyperlink>
        </w:p>
        <w:p>
          <w:pPr>
            <w:pStyle w:val="TOC2"/>
            <w:tabs>
              <w:tab w:val="right" w:leader="dot" w:pos="9974"/>
            </w:tabs>
          </w:pPr>
          <w:hyperlink w:anchor="X911fec0b76bcae3fc700e75f381281b25cfabd9" w:history="1">
            <w:r>
              <w:t xml:space="preserve">17.3. Efectos sobre el medio ambiente y la salud humana</w:t>
            </w:r>
            <w:r>
              <w:tab/>
            </w:r>
            <w:r>
              <w:t>194</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196</w:t>
            </w:r>
          </w:hyperlink>
        </w:p>
        <w:p>
          <w:pPr>
            <w:pStyle w:val="TOC2"/>
            <w:tabs>
              <w:tab w:val="right" w:leader="dot" w:pos="9974"/>
            </w:tabs>
          </w:pPr>
          <w:hyperlink w:anchor="actividades-de-transferencia-previstas" w:history="1">
            <w:r>
              <w:t xml:space="preserve">Actividades de transferencia previstas</w:t>
            </w:r>
            <w:r>
              <w:tab/>
            </w:r>
            <w:r>
              <w:t>197</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199</w:t>
            </w:r>
          </w:hyperlink>
        </w:p>
        <w:p>
          <w:pPr>
            <w:pStyle w:val="TOC2"/>
            <w:tabs>
              <w:tab w:val="right" w:leader="dot" w:pos="9974"/>
            </w:tabs>
          </w:pPr>
          <w:hyperlink w:anchor="X978ab04e45886d249db09f89c42a4bd7172612c" w:history="1">
            <w:r>
              <w:t xml:space="preserve">18. 2 RESULTADOS, USUARIOS Y OPORTUNIDADES DE TRANSFERENCIA</w:t>
            </w:r>
            <w:r>
              <w:tab/>
            </w:r>
            <w:r>
              <w:t>201</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204</w:t>
            </w:r>
          </w:hyperlink>
        </w:p>
        <w:p>
          <w:pPr>
            <w:pStyle w:val="TOC2"/>
            <w:tabs>
              <w:tab w:val="right" w:leader="dot" w:pos="9974"/>
            </w:tabs>
          </w:pPr>
          <w:hyperlink w:anchor="X9c768653d2e6080d16a153ef3ee65972a881feb" w:history="1">
            <w:r>
              <w:t xml:space="preserve">18.4. ACTIVIDADES, PRODUCTOS, INDICADORES Y PRESUPUESTO</w:t>
            </w:r>
            <w:r>
              <w:tab/>
            </w:r>
            <w:r>
              <w:t>207</w:t>
            </w:r>
          </w:hyperlink>
        </w:p>
        <w:p>
          <w:pPr>
            <w:pStyle w:val="TOC2"/>
            <w:tabs>
              <w:tab w:val="right" w:leader="dot" w:pos="9974"/>
            </w:tabs>
          </w:pPr>
          <w:hyperlink w:anchor="continuidad-del-proceso" w:history="1">
            <w:r>
              <w:t xml:space="preserve">18. 5. CONTINUIDAD DEL PROCESO</w:t>
            </w:r>
            <w:r>
              <w:tab/>
            </w:r>
            <w:r>
              <w:t>210</w:t>
            </w:r>
          </w:hyperlink>
        </w:p>
        <w:p>
          <w:pPr>
            <w:pStyle w:val="TOC1"/>
            <w:tabs>
              <w:tab w:val="right" w:leader="dot" w:pos="9974"/>
            </w:tabs>
          </w:pPr>
          <w:hyperlink w:anchor="X9797c94a4ceeeaa8a66ba037cbfb98da391a11b" w:history="1">
            <w:r>
              <w:t xml:space="preserve">19. COMPONENTE TRANSVERSAL DE APROPIACIÓN SOCIAL DEL CONOCIMIENTO (ASC)</w:t>
            </w:r>
            <w:r>
              <w:tab/>
            </w:r>
            <w:r>
              <w:t>212</w:t>
            </w:r>
          </w:hyperlink>
        </w:p>
        <w:p>
          <w:pPr>
            <w:pStyle w:val="TOC2"/>
            <w:tabs>
              <w:tab w:val="right" w:leader="dot" w:pos="9974"/>
            </w:tabs>
          </w:pPr>
          <w:hyperlink w:anchor="Xee4ee6937537342bdcbc549c09593d4f7f39741" w:history="1">
            <w:r>
              <w:t xml:space="preserve">19.1 ESTRATEGIA DE APROPIACIÓN SOCIAL DEL CONOCIMIENTO</w:t>
            </w:r>
            <w:r>
              <w:tab/>
            </w:r>
            <w:r>
              <w:t>212</w:t>
            </w:r>
          </w:hyperlink>
        </w:p>
        <w:p>
          <w:pPr>
            <w:pStyle w:val="TOC2"/>
            <w:tabs>
              <w:tab w:val="right" w:leader="dot" w:pos="9974"/>
            </w:tabs>
          </w:pPr>
          <w:hyperlink w:anchor="X02491b75dde5d161c506ff8f0c1bf34068be858" w:history="1">
            <w:r>
              <w:t xml:space="preserve">19.2 Producto de apropiación social, indicadores, metas y evidencias</w:t>
            </w:r>
            <w:r>
              <w:tab/>
            </w:r>
            <w:r>
              <w:t>222</w:t>
            </w:r>
          </w:hyperlink>
        </w:p>
        <w:p>
          <w:pPr>
            <w:pStyle w:val="TOC2"/>
            <w:tabs>
              <w:tab w:val="right" w:leader="dot" w:pos="9974"/>
            </w:tabs>
          </w:pPr>
          <w:hyperlink w:anchor="X12132d4cfea0da2f3de1959b3511c73633c3970" w:history="1">
            <w:r>
              <w:t xml:space="preserve">19.3 Articulación con la línea temática 5.1 y con el presupuesto</w:t>
            </w:r>
            <w:r>
              <w:tab/>
            </w:r>
            <w:r>
              <w:t>223</w:t>
            </w:r>
          </w:hyperlink>
        </w:p>
        <w:p>
          <w:pPr>
            <w:pStyle w:val="TOC2"/>
            <w:tabs>
              <w:tab w:val="right" w:leader="dot" w:pos="9974"/>
            </w:tabs>
          </w:pPr>
          <w:hyperlink w:anchor="Xc0fdd3acead4ab88237beeaab16fb5ab35f5b88" w:history="1">
            <w:r>
              <w:t xml:space="preserve">19.4 Escalera de Apropiación Social del Conocimiento</w:t>
            </w:r>
            <w:r>
              <w:tab/>
            </w:r>
            <w:r>
              <w:t>225</w:t>
            </w:r>
          </w:hyperlink>
        </w:p>
        <w:p>
          <w:pPr>
            <w:pStyle w:val="TOC1"/>
            <w:tabs>
              <w:tab w:val="right" w:leader="dot" w:pos="9974"/>
            </w:tabs>
          </w:pPr>
          <w:hyperlink w:anchor="productos-esperados" w:history="1">
            <w:r>
              <w:t xml:space="preserve">20. PRODUCTOS ESPERADOS</w:t>
            </w:r>
            <w:r>
              <w:tab/>
            </w:r>
            <w:r>
              <w:t>226</w:t>
            </w:r>
          </w:hyperlink>
        </w:p>
        <w:p>
          <w:pPr>
            <w:pStyle w:val="TOC1"/>
            <w:tabs>
              <w:tab w:val="right" w:leader="dot" w:pos="9974"/>
            </w:tabs>
          </w:pPr>
          <w:hyperlink w:anchor="cronograma" w:history="1">
            <w:r>
              <w:t xml:space="preserve">21. CRONOGRAMA</w:t>
            </w:r>
            <w:r>
              <w:tab/>
            </w:r>
            <w:r>
              <w:t>229</w:t>
            </w:r>
          </w:hyperlink>
        </w:p>
        <w:p>
          <w:pPr>
            <w:pStyle w:val="TOC1"/>
            <w:tabs>
              <w:tab w:val="right" w:leader="dot" w:pos="9974"/>
            </w:tabs>
          </w:pPr>
          <w:hyperlink w:anchor="análisis-de-riesgos" w:history="1">
            <w:r>
              <w:t xml:space="preserve">22. ANÁLISIS DE RIESGOS</w:t>
            </w:r>
            <w:r>
              <w:tab/>
            </w:r>
            <w:r>
              <w:t>235</w:t>
            </w:r>
          </w:hyperlink>
        </w:p>
        <w:p>
          <w:pPr>
            <w:pStyle w:val="TOC1"/>
            <w:tabs>
              <w:tab w:val="right" w:leader="dot" w:pos="9974"/>
            </w:tabs>
          </w:pPr>
          <w:hyperlink w:anchor="indicadores-de-gestión" w:history="1">
            <w:r>
              <w:t xml:space="preserve">23. INDICADORES DE GESTIÓN</w:t>
            </w:r>
            <w:r>
              <w:tab/>
            </w:r>
            <w:r>
              <w:t>242</w:t>
            </w:r>
          </w:hyperlink>
        </w:p>
        <w:p>
          <w:pPr>
            <w:pStyle w:val="TOC1"/>
            <w:tabs>
              <w:tab w:val="right" w:leader="dot" w:pos="9974"/>
            </w:tabs>
          </w:pPr>
          <w:hyperlink w:anchor="indicadores-de-producto" w:history="1">
            <w:r>
              <w:t xml:space="preserve">24. INDICADORES DE PRODUCTO</w:t>
            </w:r>
            <w:r>
              <w:tab/>
            </w:r>
            <w:r>
              <w:t>243</w:t>
            </w:r>
          </w:hyperlink>
        </w:p>
        <w:p>
          <w:pPr>
            <w:pStyle w:val="TOC1"/>
            <w:tabs>
              <w:tab w:val="right" w:leader="dot" w:pos="9974"/>
            </w:tabs>
          </w:pPr>
          <w:hyperlink w:anchor="aspectos-éticos" w:history="1">
            <w:r>
              <w:t xml:space="preserve">25. ASPECTOS ÉTICOS</w:t>
            </w:r>
            <w:r>
              <w:tab/>
            </w:r>
            <w:r>
              <w:t>246</w:t>
            </w:r>
          </w:hyperlink>
        </w:p>
        <w:p>
          <w:pPr>
            <w:pStyle w:val="TOC2"/>
            <w:tabs>
              <w:tab w:val="right" w:leader="dot" w:pos="9974"/>
            </w:tabs>
          </w:pPr>
          <w:hyperlink w:anchor="X49f8d38bc9c69053af8be2a34aa630a7ad86bd0" w:history="1">
            <w:r>
              <w:t xml:space="preserve">25.1 Datos personales y consentimiento informado</w:t>
            </w:r>
            <w:r>
              <w:tab/>
            </w:r>
            <w:r>
              <w:t>246</w:t>
            </w:r>
          </w:hyperlink>
        </w:p>
        <w:p>
          <w:pPr>
            <w:pStyle w:val="TOC2"/>
            <w:tabs>
              <w:tab w:val="right" w:leader="dot" w:pos="9974"/>
            </w:tabs>
          </w:pPr>
          <w:hyperlink w:anchor="Xa0a1bcac4d532c6aede458b6e751875033d2e9d" w:history="1">
            <w:r>
              <w:t xml:space="preserve">25.2 Participación comunitaria y diálogo de saberes</w:t>
            </w:r>
            <w:r>
              <w:tab/>
            </w:r>
            <w:r>
              <w:t>248</w:t>
            </w:r>
          </w:hyperlink>
        </w:p>
        <w:p>
          <w:pPr>
            <w:pStyle w:val="TOC2"/>
            <w:tabs>
              <w:tab w:val="right" w:leader="dot" w:pos="9974"/>
            </w:tabs>
          </w:pPr>
          <w:hyperlink w:anchor="seguridad-y-salud-del-personal-de-campo" w:history="1">
            <w:r>
              <w:t xml:space="preserve">25.3 Seguridad y salud del personal de campo</w:t>
            </w:r>
            <w:r>
              <w:tab/>
            </w:r>
            <w:r>
              <w:t>249</w:t>
            </w:r>
          </w:hyperlink>
        </w:p>
        <w:p>
          <w:pPr>
            <w:pStyle w:val="TOC2"/>
            <w:tabs>
              <w:tab w:val="right" w:leader="dot" w:pos="9974"/>
            </w:tabs>
          </w:pPr>
          <w:hyperlink w:anchor="X5d812947b611243cd9ba13a590bc0a536fa1b5f" w:history="1">
            <w:r>
              <w:t xml:space="preserve">25.4 Ética de datos y de inteligencia artificial</w:t>
            </w:r>
            <w:r>
              <w:tab/>
            </w:r>
            <w:r>
              <w:t>249</w:t>
            </w:r>
          </w:hyperlink>
        </w:p>
        <w:p>
          <w:pPr>
            <w:pStyle w:val="TOC2"/>
            <w:tabs>
              <w:tab w:val="right" w:leader="dot" w:pos="9974"/>
            </w:tabs>
          </w:pPr>
          <w:hyperlink w:anchor="ciencia-abierta" w:history="1">
            <w:r>
              <w:t xml:space="preserve">25.5 Ciencia abierta</w:t>
            </w:r>
            <w:r>
              <w:tab/>
            </w:r>
            <w:r>
              <w:t>252</w:t>
            </w:r>
          </w:hyperlink>
        </w:p>
        <w:p>
          <w:pPr>
            <w:pStyle w:val="TOC2"/>
            <w:tabs>
              <w:tab w:val="right" w:leader="dot" w:pos="9974"/>
            </w:tabs>
          </w:pPr>
          <w:hyperlink w:anchor="residuos-electrónicos" w:history="1">
            <w:r>
              <w:t xml:space="preserve">25.6 Residuos electrónicos</w:t>
            </w:r>
            <w:r>
              <w:tab/>
            </w:r>
            <w:r>
              <w:t>253</w:t>
            </w:r>
          </w:hyperlink>
        </w:p>
        <w:p>
          <w:pPr>
            <w:pStyle w:val="TOC2"/>
            <w:tabs>
              <w:tab w:val="right" w:leader="dot" w:pos="9974"/>
            </w:tabs>
          </w:pPr>
          <w:hyperlink w:anchor="aval-del-comité-de-ética" w:history="1">
            <w:r>
              <w:t xml:space="preserve">25.7 Aval del comité de ética</w:t>
            </w:r>
            <w:r>
              <w:tab/>
            </w:r>
            <w:r>
              <w:t>253</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254</w:t>
            </w:r>
          </w:hyperlink>
        </w:p>
        <w:p>
          <w:pPr>
            <w:pStyle w:val="TOC2"/>
            <w:tabs>
              <w:tab w:val="right" w:leader="dot" w:pos="9974"/>
            </w:tabs>
          </w:pPr>
          <w:hyperlink w:anchor="X45a015265b80566a3455de4fd8b6c41f234d8da" w:history="1">
            <w:r>
              <w:t xml:space="preserve">26.1 Aportes individuales de los integrantes de la alianza</w:t>
            </w:r>
            <w:r>
              <w:tab/>
            </w:r>
            <w:r>
              <w:t>254</w:t>
            </w:r>
          </w:hyperlink>
        </w:p>
        <w:p>
          <w:pPr>
            <w:pStyle w:val="TOC2"/>
            <w:tabs>
              <w:tab w:val="right" w:leader="dot" w:pos="9974"/>
            </w:tabs>
          </w:pPr>
          <w:hyperlink w:anchor="X16b95614c003f14d2be6e8ff28c2bb09d8f243f" w:history="1">
            <w:r>
              <w:t xml:space="preserve">26.2 Capacidades requeridas frente a la evidencia que se adjunta</w:t>
            </w:r>
            <w:r>
              <w:tab/>
            </w:r>
            <w:r>
              <w:t>257</w:t>
            </w:r>
          </w:hyperlink>
        </w:p>
        <w:p>
          <w:pPr>
            <w:pStyle w:val="TOC2"/>
            <w:tabs>
              <w:tab w:val="right" w:leader="dot" w:pos="9974"/>
            </w:tabs>
          </w:pPr>
          <w:hyperlink w:anchor="Xa952ddab5307dcd9e984e17fefeb0fa82a26aaa" w:history="1">
            <w:r>
              <w:t xml:space="preserve">26.3 Responsable institucional, roles y actividades de cada integrante</w:t>
            </w:r>
            <w:r>
              <w:tab/>
            </w:r>
            <w:r>
              <w:t>259</w:t>
            </w:r>
          </w:hyperlink>
        </w:p>
        <w:p>
          <w:pPr>
            <w:pStyle w:val="TOC2"/>
            <w:tabs>
              <w:tab w:val="right" w:leader="dot" w:pos="9974"/>
            </w:tabs>
          </w:pPr>
          <w:hyperlink w:anchor="mecanismos-de-articulación" w:history="1">
            <w:r>
              <w:t xml:space="preserve">26.4 Mecanismos de articulación</w:t>
            </w:r>
            <w:r>
              <w:tab/>
            </w:r>
            <w:r>
              <w:t>264</w:t>
            </w:r>
          </w:hyperlink>
        </w:p>
        <w:p>
          <w:pPr>
            <w:pStyle w:val="TOC1"/>
            <w:tabs>
              <w:tab w:val="right" w:leader="dot" w:pos="9974"/>
            </w:tabs>
          </w:pPr>
          <w:hyperlink w:anchor="análisis-de-licencias-y-permisos" w:history="1">
            <w:r>
              <w:t xml:space="preserve">27. ANÁLISIS DE LICENCIAS Y PERMISOS</w:t>
            </w:r>
            <w:r>
              <w:tab/>
            </w:r>
            <w:r>
              <w:t>266</w:t>
            </w:r>
          </w:hyperlink>
        </w:p>
        <w:p>
          <w:pPr>
            <w:pStyle w:val="TOC2"/>
            <w:tabs>
              <w:tab w:val="right" w:leader="dot" w:pos="9974"/>
            </w:tabs>
          </w:pPr>
          <w:hyperlink w:anchor="criterio-de-análisis" w:history="1">
            <w:r>
              <w:t xml:space="preserve">27.1 Criterio de análisis</w:t>
            </w:r>
            <w:r>
              <w:tab/>
            </w:r>
            <w:r>
              <w:t>266</w:t>
            </w:r>
          </w:hyperlink>
        </w:p>
        <w:p>
          <w:pPr>
            <w:pStyle w:val="TOC2"/>
            <w:tabs>
              <w:tab w:val="right" w:leader="dot" w:pos="9974"/>
            </w:tabs>
          </w:pPr>
          <w:hyperlink w:anchor="X3378ab54133c144e9ff3850dbefdf98f2f76a53" w:history="1">
            <w:r>
              <w:t xml:space="preserve">27.2 Permisos, licencias, autorizaciones y avales</w:t>
            </w:r>
            <w:r>
              <w:tab/>
            </w:r>
            <w:r>
              <w:t>267</w:t>
            </w:r>
          </w:hyperlink>
        </w:p>
        <w:p>
          <w:pPr>
            <w:pStyle w:val="TOC2"/>
            <w:tabs>
              <w:tab w:val="right" w:leader="dot" w:pos="9974"/>
            </w:tabs>
          </w:pPr>
          <w:hyperlink w:anchor="análisis-por-familia-de-requisitos" w:history="1">
            <w:r>
              <w:t xml:space="preserve">27.3 Análisis por familia de requisitos</w:t>
            </w:r>
            <w:r>
              <w:tab/>
            </w:r>
            <w:r>
              <w:t>270</w:t>
            </w:r>
          </w:hyperlink>
        </w:p>
        <w:p>
          <w:pPr>
            <w:pStyle w:val="TOC2"/>
            <w:tabs>
              <w:tab w:val="right" w:leader="dot" w:pos="9974"/>
            </w:tabs>
          </w:pPr>
          <w:hyperlink w:anchor="requisitos-que-no-aplican" w:history="1">
            <w:r>
              <w:t xml:space="preserve">27.4 Requisitos que no aplican</w:t>
            </w:r>
            <w:r>
              <w:tab/>
            </w:r>
            <w:r>
              <w:t>272</w:t>
            </w:r>
          </w:hyperlink>
        </w:p>
        <w:p>
          <w:pPr>
            <w:pStyle w:val="TOC1"/>
            <w:tabs>
              <w:tab w:val="right" w:leader="dot" w:pos="9974"/>
            </w:tabs>
          </w:pPr>
          <w:hyperlink w:anchor="resumen-de-fuentes-de-financiación" w:history="1">
            <w:r>
              <w:t xml:space="preserve">28. RESUMEN DE FUENTES DE FINANCIACIÓN</w:t>
            </w:r>
            <w:r>
              <w:tab/>
            </w:r>
            <w:r>
              <w:t>274</w:t>
            </w:r>
          </w:hyperlink>
        </w:p>
        <w:p>
          <w:pPr>
            <w:pStyle w:val="TOC2"/>
            <w:tabs>
              <w:tab w:val="right" w:leader="dot" w:pos="9974"/>
            </w:tabs>
          </w:pPr>
          <w:hyperlink w:anchor="presupuesto-por-rubro" w:history="1">
            <w:r>
              <w:t xml:space="preserve">28.1. Presupuesto por rubro</w:t>
            </w:r>
            <w:r>
              <w:tab/>
            </w:r>
            <w:r>
              <w:t>275</w:t>
            </w:r>
          </w:hyperlink>
        </w:p>
        <w:p>
          <w:pPr>
            <w:pStyle w:val="TOC2"/>
            <w:tabs>
              <w:tab w:val="right" w:leader="dot" w:pos="9974"/>
            </w:tabs>
          </w:pPr>
          <w:hyperlink w:anchor="Xb66c50808b28dd45e5472cac211d8a92e4990d4" w:history="1">
            <w:r>
              <w:t xml:space="preserve">28.2. Presupuesto por objetivo, por departamento y por semestre</w:t>
            </w:r>
            <w:r>
              <w:tab/>
            </w:r>
            <w:r>
              <w:t>278</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281</w:t>
            </w:r>
          </w:hyperlink>
        </w:p>
        <w:p>
          <w:pPr>
            <w:pStyle w:val="TOC1"/>
            <w:tabs>
              <w:tab w:val="right" w:leader="dot" w:pos="9974"/>
            </w:tabs>
          </w:pPr>
          <w:hyperlink w:anchor="bibliografía" w:history="1">
            <w:r>
              <w:t xml:space="preserve">29. BIBLIOGRAFÍA</w:t>
            </w:r>
            <w:r>
              <w:tab/>
            </w:r>
            <w:r>
              <w:t>283</w:t>
            </w:r>
          </w:hyperlink>
        </w:p>
        <w:p>
          <w:pPr>
            <w:pStyle w:val="TOC1"/>
            <w:tabs>
              <w:tab w:val="right" w:leader="dot" w:pos="9974"/>
            </w:tabs>
          </w:pPr>
          <w:hyperlink w:anchor="Xd958fa616c41c652de23b0765985de9be1ed84f" w:history="1">
            <w:r>
              <w:t xml:space="preserve">30. ANEXOS REQUISITOS SECTORIALES QUE LE SEAN APLICABLES.</w:t>
            </w:r>
            <w:r>
              <w:tab/>
            </w:r>
            <w:r>
              <w:t>292</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293</w:t>
            </w:r>
          </w:hyperlink>
        </w:p>
        <w:p>
          <w:pPr>
            <w:pStyle w:val="TOC2"/>
            <w:tabs>
              <w:tab w:val="right" w:leader="dot" w:pos="9974"/>
            </w:tabs>
          </w:pPr>
          <w:hyperlink w:anchor="Xa5ed3c7bfa1ad7a2d8dacefcc6c258f407bd9da" w:history="1">
            <w:r>
              <w:t xml:space="preserve">30.2. Matriz de respuesta a los criterios de evaluación</w:t>
            </w:r>
            <w:r>
              <w:tab/>
            </w:r>
            <w:r>
              <w:t>295</w:t>
            </w:r>
          </w:hyperlink>
        </w:p>
        <w:p>
          <w:pPr>
            <w:pStyle w:val="TOC2"/>
            <w:tabs>
              <w:tab w:val="right" w:leader="dot" w:pos="9974"/>
            </w:tabs>
          </w:pPr>
          <w:hyperlink w:anchor="líneas-del-presupuesto-solicitado-al-sgr" w:history="1">
            <w:r>
              <w:t xml:space="preserve">30.3. Líneas del presupuesto solicitado al SGR</w:t>
            </w:r>
            <w:r>
              <w:tab/>
            </w:r>
            <w:r>
              <w:t>296</w:t>
            </w:r>
          </w:hyperlink>
        </w:p>
        <w:p>
          <w:pPr>
            <w:pStyle w:val="TOC1"/>
            <w:tabs>
              <w:tab w:val="right" w:leader="dot" w:pos="9974"/>
            </w:tabs>
          </w:pPr>
          <w:hyperlink w:anchor="Xb8f5d328cc3560a4774dbf216897d0878bba65d" w:history="1">
            <w:r>
              <w:t xml:space="preserve">ANEXO A. ANÁLISIS DEL PROBLEMA PÚBLICO Y DE LA ESTRUCTURA CAUSAL</w:t>
            </w:r>
            <w:r>
              <w:tab/>
            </w:r>
            <w:r>
              <w:t>303</w:t>
            </w:r>
          </w:hyperlink>
        </w:p>
        <w:p>
          <w:pPr>
            <w:pStyle w:val="TOC2"/>
            <w:tabs>
              <w:tab w:val="right" w:leader="dot" w:pos="9974"/>
            </w:tabs>
          </w:pPr>
          <w:hyperlink w:anchor="X348813807c0cff4a36c466ee8480ef9158cd093" w:history="1">
            <w:r>
              <w:t xml:space="preserve">A.1. Propósito, alcance y lectura del anexo</w:t>
            </w:r>
            <w:r>
              <w:tab/>
            </w:r>
            <w:r>
              <w:t>303</w:t>
            </w:r>
          </w:hyperlink>
        </w:p>
        <w:p>
          <w:pPr>
            <w:pStyle w:val="TOC2"/>
            <w:tabs>
              <w:tab w:val="right" w:leader="dot" w:pos="9974"/>
            </w:tabs>
          </w:pPr>
          <w:hyperlink w:anchor="a.2.-construcción-del-problema-público" w:history="1">
            <w:r>
              <w:t xml:space="preserve">A.2. Construcción del problema público</w:t>
            </w:r>
            <w:r>
              <w:tab/>
            </w:r>
            <w:r>
              <w:t>304</w:t>
            </w:r>
          </w:hyperlink>
        </w:p>
        <w:p>
          <w:pPr>
            <w:pStyle w:val="TOC2"/>
            <w:tabs>
              <w:tab w:val="right" w:leader="dot" w:pos="9974"/>
            </w:tabs>
          </w:pPr>
          <w:hyperlink w:anchor="Xc3e4eb5b119456ef51c3fe9fae9b442c0069d32" w:history="1">
            <w:r>
              <w:t xml:space="preserve">A.3. Modelo estructural de quince variables</w:t>
            </w:r>
            <w:r>
              <w:tab/>
            </w:r>
            <w:r>
              <w:t>308</w:t>
            </w:r>
          </w:hyperlink>
        </w:p>
        <w:p>
          <w:pPr>
            <w:pStyle w:val="TOC2"/>
            <w:tabs>
              <w:tab w:val="right" w:leader="dot" w:pos="9974"/>
            </w:tabs>
          </w:pPr>
          <w:hyperlink w:anchor="a.4.-análisis-de-vester" w:history="1">
            <w:r>
              <w:t xml:space="preserve">A.4. Análisis de Vester</w:t>
            </w:r>
            <w:r>
              <w:tab/>
            </w:r>
            <w:r>
              <w:t>310</w:t>
            </w:r>
          </w:hyperlink>
        </w:p>
        <w:p>
          <w:pPr>
            <w:pStyle w:val="TOC2"/>
            <w:tabs>
              <w:tab w:val="right" w:leader="dot" w:pos="9974"/>
            </w:tabs>
          </w:pPr>
          <w:hyperlink w:anchor="a.5.-análisis-de-micmac" w:history="1">
            <w:r>
              <w:t xml:space="preserve">A.5. Análisis de MICMAC</w:t>
            </w:r>
            <w:r>
              <w:tab/>
            </w:r>
            <w:r>
              <w:t>322</w:t>
            </w:r>
          </w:hyperlink>
        </w:p>
        <w:p>
          <w:pPr>
            <w:pStyle w:val="TOC2"/>
            <w:tabs>
              <w:tab w:val="right" w:leader="dot" w:pos="9974"/>
            </w:tabs>
          </w:pPr>
          <w:hyperlink w:anchor="Xf96941892620a3453aafe9cc869a0289d7149c8" w:history="1">
            <w:r>
              <w:t xml:space="preserve">A.6. Sensibilidad del análisis estructural</w:t>
            </w:r>
            <w:r>
              <w:tab/>
            </w:r>
            <w:r>
              <w:t>326</w:t>
            </w:r>
          </w:hyperlink>
        </w:p>
        <w:p>
          <w:pPr>
            <w:pStyle w:val="TOC2"/>
            <w:tabs>
              <w:tab w:val="right" w:leader="dot" w:pos="9974"/>
            </w:tabs>
          </w:pPr>
          <w:hyperlink w:anchor="X1527a0b6e64ec5d5ce8300b3ce49c06f67a849f" w:history="1">
            <w:r>
              <w:t xml:space="preserve">A.7. Hallazgos estructurales y su uso en el diseño</w:t>
            </w:r>
            <w:r>
              <w:tab/>
            </w:r>
            <w:r>
              <w:t>328</w:t>
            </w:r>
          </w:hyperlink>
        </w:p>
        <w:p>
          <w:pPr>
            <w:pStyle w:val="TOC2"/>
            <w:tabs>
              <w:tab w:val="right" w:leader="dot" w:pos="9974"/>
            </w:tabs>
          </w:pPr>
          <w:hyperlink w:anchor="X8a5e826a80b14754acc520a6bb231efef38eec2" w:history="1">
            <w:r>
              <w:t xml:space="preserve">A.8. Clasificación de variables para la inferencia causal</w:t>
            </w:r>
            <w:r>
              <w:tab/>
            </w:r>
            <w:r>
              <w:t>329</w:t>
            </w:r>
          </w:hyperlink>
        </w:p>
        <w:p>
          <w:pPr>
            <w:pStyle w:val="TOC2"/>
            <w:tabs>
              <w:tab w:val="right" w:leader="dot" w:pos="9974"/>
            </w:tabs>
          </w:pPr>
          <w:hyperlink w:anchor="a.9.-árbol-de-problemas-completo" w:history="1">
            <w:r>
              <w:t xml:space="preserve">A.9. Árbol de problemas completo</w:t>
            </w:r>
            <w:r>
              <w:tab/>
            </w:r>
            <w:r>
              <w:t>335</w:t>
            </w:r>
          </w:hyperlink>
        </w:p>
        <w:p>
          <w:pPr>
            <w:pStyle w:val="TOC2"/>
            <w:tabs>
              <w:tab w:val="right" w:leader="dot" w:pos="9974"/>
            </w:tabs>
          </w:pPr>
          <w:hyperlink w:anchor="X8c0e5999b4f082f0f81a7e3a244c2d7f84dead7" w:history="1">
            <w:r>
              <w:t xml:space="preserve">A.10. Teoría del cambio, alternativas y condiciones de decisión</w:t>
            </w:r>
            <w:r>
              <w:tab/>
            </w:r>
            <w:r>
              <w:t>339</w:t>
            </w:r>
          </w:hyperlink>
        </w:p>
        <w:p>
          <w:pPr>
            <w:pStyle w:val="TOC2"/>
            <w:tabs>
              <w:tab w:val="right" w:leader="dot" w:pos="9974"/>
            </w:tabs>
          </w:pPr>
          <w:hyperlink w:anchor="X533320311b97172f41bdada450a24b1a68fdf3e" w:history="1">
            <w:r>
              <w:t xml:space="preserve">A.11. Límites, brechas y ruta de resolución</w:t>
            </w:r>
            <w:r>
              <w:tab/>
            </w:r>
            <w:r>
              <w:t>344</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S_1" w:history="1">
        <w:r>
          <w:t xml:space="preserve">Tabla S.1. Ficha del proyecto en una página</w:t>
        </w:r>
        <w:r>
          <w:tab/>
        </w:r>
        <w:r>
          <w:fldChar w:fldCharType="begin"/>
        </w:r>
        <w:r>
          <w:instrText xml:space="preserve"> PAGEREF rot_Tabla_S_1 \h </w:instrText>
        </w:r>
        <w:r>
          <w:fldChar w:fldCharType="separate"/>
        </w:r>
        <w:r>
          <w:t>16</w:t>
        </w:r>
        <w:r>
          <w:fldChar w:fldCharType="end"/>
        </w:r>
      </w:hyperlink>
    </w:p>
    <w:p>
      <w:pPr>
        <w:pStyle w:val="Indice"/>
        <w:tabs>
          <w:tab w:val="right" w:leader="dot" w:pos="9974"/>
        </w:tabs>
        <w:spacing w:before="40" w:after="40"/>
        <w:ind w:left="1134" w:hanging="1134"/>
      </w:pPr>
      <w:hyperlink w:anchor="rot_Tabla_S_2" w:history="1">
        <w:r>
          <w:t xml:space="preserve">Tabla S.2. Integrantes de la alianza: naturaleza, objetivos, actividades, aporte y contrapartida</w:t>
        </w:r>
        <w:r>
          <w:tab/>
        </w:r>
        <w:r>
          <w:fldChar w:fldCharType="begin"/>
        </w:r>
        <w:r>
          <w:instrText xml:space="preserve"> PAGEREF rot_Tabla_S_2 \h </w:instrText>
        </w:r>
        <w:r>
          <w:fldChar w:fldCharType="separate"/>
        </w:r>
        <w:r>
          <w:t>17</w:t>
        </w:r>
        <w:r>
          <w:fldChar w:fldCharType="end"/>
        </w:r>
      </w:hyperlink>
    </w:p>
    <w:p>
      <w:pPr>
        <w:pStyle w:val="Indice"/>
        <w:tabs>
          <w:tab w:val="right" w:leader="dot" w:pos="9974"/>
        </w:tabs>
        <w:spacing w:before="40" w:after="40"/>
        <w:ind w:left="1134" w:hanging="1134"/>
      </w:pPr>
      <w:hyperlink w:anchor="rot_Tabla_S_3" w:history="1">
        <w:r>
          <w:t xml:space="preserve">Tabla S.3. Qué recibe cada integrante y cada grupo de usuarios del proyecto</w:t>
        </w:r>
        <w:r>
          <w:tab/>
        </w:r>
        <w:r>
          <w:fldChar w:fldCharType="begin"/>
        </w:r>
        <w:r>
          <w:instrText xml:space="preserve"> PAGEREF rot_Tabla_S_3 \h </w:instrText>
        </w:r>
        <w:r>
          <w:fldChar w:fldCharType="separate"/>
        </w:r>
        <w:r>
          <w:t>19</w:t>
        </w:r>
        <w:r>
          <w:fldChar w:fldCharType="end"/>
        </w:r>
      </w:hyperlink>
    </w:p>
    <w:p>
      <w:pPr>
        <w:pStyle w:val="Indice"/>
        <w:tabs>
          <w:tab w:val="right" w:leader="dot" w:pos="9974"/>
        </w:tabs>
        <w:spacing w:before="40" w:after="40"/>
        <w:ind w:left="1134" w:hanging="1134"/>
      </w:pPr>
      <w:hyperlink w:anchor="rot_Tabla_S_4" w:history="1">
        <w:r>
          <w:t xml:space="preserve">Tabla S.4. Valor del proyecto por objetivo específico</w:t>
        </w:r>
        <w:r>
          <w:tab/>
        </w:r>
        <w:r>
          <w:fldChar w:fldCharType="begin"/>
        </w:r>
        <w:r>
          <w:instrText xml:space="preserve"> PAGEREF rot_Tabla_S_4 \h </w:instrText>
        </w:r>
        <w:r>
          <w:fldChar w:fldCharType="separate"/>
        </w:r>
        <w:r>
          <w:t>21</w:t>
        </w:r>
        <w:r>
          <w:fldChar w:fldCharType="end"/>
        </w:r>
      </w:hyperlink>
    </w:p>
    <w:p>
      <w:pPr>
        <w:pStyle w:val="Indice"/>
        <w:tabs>
          <w:tab w:val="right" w:leader="dot" w:pos="9974"/>
        </w:tabs>
        <w:spacing w:before="40" w:after="40"/>
        <w:ind w:left="1134" w:hanging="1134"/>
      </w:pPr>
      <w:hyperlink w:anchor="rot_Tabla_S_5" w:history="1">
        <w:r>
          <w:t xml:space="preserve">Tabla S.5. Resumen de las fuentes de financiación</w:t>
        </w:r>
        <w:r>
          <w:tab/>
        </w:r>
        <w:r>
          <w:fldChar w:fldCharType="begin"/>
        </w:r>
        <w:r>
          <w:instrText xml:space="preserve"> PAGEREF rot_Tabla_S_5 \h </w:instrText>
        </w:r>
        <w:r>
          <w:fldChar w:fldCharType="separate"/>
        </w:r>
        <w:r>
          <w:t>21</w:t>
        </w:r>
        <w:r>
          <w:fldChar w:fldCharType="end"/>
        </w:r>
      </w:hyperlink>
    </w:p>
    <w:p>
      <w:pPr>
        <w:pStyle w:val="Indice"/>
        <w:tabs>
          <w:tab w:val="right" w:leader="dot" w:pos="9974"/>
        </w:tabs>
        <w:spacing w:before="40" w:after="40"/>
        <w:ind w:left="1134" w:hanging="1134"/>
      </w:pPr>
      <w:hyperlink w:anchor="rot_Tabla_S_6" w:history="1">
        <w:r>
          <w:t xml:space="preserve">Tabla S.6. Valor solicitado al SGR por rubro y departamento</w:t>
        </w:r>
        <w:r>
          <w:tab/>
        </w:r>
        <w:r>
          <w:fldChar w:fldCharType="begin"/>
        </w:r>
        <w:r>
          <w:instrText xml:space="preserve"> PAGEREF rot_Tabla_S_6 \h </w:instrText>
        </w:r>
        <w:r>
          <w:fldChar w:fldCharType="separate"/>
        </w:r>
        <w:r>
          <w:t>21</w:t>
        </w:r>
        <w:r>
          <w:fldChar w:fldCharType="end"/>
        </w:r>
      </w:hyperlink>
    </w:p>
    <w:p>
      <w:pPr>
        <w:pStyle w:val="Indice"/>
        <w:tabs>
          <w:tab w:val="right" w:leader="dot" w:pos="9974"/>
        </w:tabs>
        <w:spacing w:before="40" w:after="40"/>
        <w:ind w:left="1134" w:hanging="1134"/>
      </w:pPr>
      <w:hyperlink w:anchor="rot_Tabla_S_7" w:history="1">
        <w:r>
          <w:t xml:space="preserve">Tabla S.7. Hoja de ruta de cierre hasta el 3 de noviembre de 2026</w:t>
        </w:r>
        <w:r>
          <w:tab/>
        </w:r>
        <w:r>
          <w:fldChar w:fldCharType="begin"/>
        </w:r>
        <w:r>
          <w:instrText xml:space="preserve"> PAGEREF rot_Tabla_S_7 \h </w:instrText>
        </w:r>
        <w:r>
          <w:fldChar w:fldCharType="separate"/>
        </w:r>
        <w:r>
          <w:t>23</w:t>
        </w:r>
        <w:r>
          <w:fldChar w:fldCharType="end"/>
        </w:r>
      </w:hyperlink>
    </w:p>
    <w:p>
      <w:pPr>
        <w:pStyle w:val="Indice"/>
        <w:tabs>
          <w:tab w:val="right" w:leader="dot" w:pos="9974"/>
        </w:tabs>
        <w:spacing w:before="40" w:after="40"/>
        <w:ind w:left="1134" w:hanging="1134"/>
      </w:pPr>
      <w:hyperlink w:anchor="rot_Tabla_S_8" w:history="1">
        <w:r>
          <w:t xml:space="preserve">Tabla S.8. Decisiones que la alianza debe confirmar y su consecuencia</w:t>
        </w:r>
        <w:r>
          <w:tab/>
        </w:r>
        <w:r>
          <w:fldChar w:fldCharType="begin"/>
        </w:r>
        <w:r>
          <w:instrText xml:space="preserve"> PAGEREF rot_Tabla_S_8 \h </w:instrText>
        </w:r>
        <w:r>
          <w:fldChar w:fldCharType="separate"/>
        </w:r>
        <w:r>
          <w:t>25</w:t>
        </w:r>
        <w:r>
          <w:fldChar w:fldCharType="end"/>
        </w:r>
      </w:hyperlink>
    </w:p>
    <w:p>
      <w:pPr>
        <w:pStyle w:val="Indice"/>
        <w:tabs>
          <w:tab w:val="right" w:leader="dot" w:pos="9974"/>
        </w:tabs>
        <w:spacing w:before="40" w:after="40"/>
        <w:ind w:left="1134" w:hanging="1134"/>
      </w:pPr>
      <w:hyperlink w:anchor="rot_Tabla_S_9" w:history="1">
        <w:r>
          <w:t xml:space="preserve">Tabla S.9. Datos pendientes del documento, secciones donde aparecen y responsable sugerido</w:t>
        </w:r>
        <w:r>
          <w:tab/>
        </w:r>
        <w:r>
          <w:fldChar w:fldCharType="begin"/>
        </w:r>
        <w:r>
          <w:instrText xml:space="preserve"> PAGEREF rot_Tabla_S_9 \h </w:instrText>
        </w:r>
        <w:r>
          <w:fldChar w:fldCharType="separate"/>
        </w:r>
        <w:r>
          <w:t>26</w:t>
        </w:r>
        <w:r>
          <w:fldChar w:fldCharType="end"/>
        </w:r>
      </w:hyperlink>
    </w:p>
    <w:p>
      <w:pPr>
        <w:pStyle w:val="Indice"/>
        <w:tabs>
          <w:tab w:val="right" w:leader="dot" w:pos="9974"/>
        </w:tabs>
        <w:spacing w:before="40" w:after="40"/>
        <w:ind w:left="1134" w:hanging="1134"/>
      </w:pPr>
      <w:hyperlink w:anchor="rot_Tabla_S_10" w:history="1">
        <w:r>
          <w:t xml:space="preserve">Tabla S.10. Reglas de las respuestas de la Secretaría Técnica, cambio en el documento y acción de la alianza</w:t>
        </w:r>
        <w:r>
          <w:tab/>
        </w:r>
        <w:r>
          <w:fldChar w:fldCharType="begin"/>
        </w:r>
        <w:r>
          <w:instrText xml:space="preserve"> PAGEREF rot_Tabla_S_10 \h </w:instrText>
        </w:r>
        <w:r>
          <w:fldChar w:fldCharType="separate"/>
        </w:r>
        <w:r>
          <w:t>31</w:t>
        </w:r>
        <w:r>
          <w:fldChar w:fldCharType="end"/>
        </w:r>
      </w:hyperlink>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35</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36</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40</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42</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44</w:t>
        </w:r>
        <w:r>
          <w:fldChar w:fldCharType="end"/>
        </w:r>
      </w:hyperlink>
    </w:p>
    <w:p>
      <w:pPr>
        <w:pStyle w:val="Indice"/>
        <w:tabs>
          <w:tab w:val="right" w:leader="dot" w:pos="9974"/>
        </w:tabs>
        <w:spacing w:before="40" w:after="40"/>
        <w:ind w:left="1134" w:hanging="1134"/>
      </w:pPr>
      <w:hyperlink w:anchor="rot_Tabla_4_4" w:history="1">
        <w:r>
          <w:t xml:space="preserve">Tabla 4.4. Soportes que cada lugar de ejecución reúne al radicar</w:t>
        </w:r>
        <w:r>
          <w:tab/>
        </w:r>
        <w:r>
          <w:fldChar w:fldCharType="begin"/>
        </w:r>
        <w:r>
          <w:instrText xml:space="preserve"> PAGEREF rot_Tabla_4_4 \h </w:instrText>
        </w:r>
        <w:r>
          <w:fldChar w:fldCharType="separate"/>
        </w:r>
        <w:r>
          <w:t>45</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48</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51</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54</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56</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59</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60</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65</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69</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74</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77</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78</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79</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80</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84</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85</w:t>
        </w:r>
        <w:r>
          <w:fldChar w:fldCharType="end"/>
        </w:r>
      </w:hyperlink>
    </w:p>
    <w:p>
      <w:pPr>
        <w:pStyle w:val="Indice"/>
        <w:tabs>
          <w:tab w:val="right" w:leader="dot" w:pos="9974"/>
        </w:tabs>
        <w:spacing w:before="40" w:after="40"/>
        <w:ind w:left="1134" w:hanging="1134"/>
      </w:pPr>
      <w:hyperlink w:anchor="rot_Tabla_8_3" w:history="1">
        <w:r>
          <w:t xml:space="preserve">Tabla 8.3. Matriz de trazabilidad territorial por departamento</w:t>
        </w:r>
        <w:r>
          <w:tab/>
        </w:r>
        <w:r>
          <w:fldChar w:fldCharType="begin"/>
        </w:r>
        <w:r>
          <w:instrText xml:space="preserve"> PAGEREF rot_Tabla_8_3 \h </w:instrText>
        </w:r>
        <w:r>
          <w:fldChar w:fldCharType="separate"/>
        </w:r>
        <w:r>
          <w:t>88</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95</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97</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99</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102</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105</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108</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112</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113</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116</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118</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120</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123</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126</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128</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130</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131</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135</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136</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138</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140</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141</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143</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143</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149</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150</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151</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154</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167</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170</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172</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174</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176</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177</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181</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182</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184</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187</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189</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190</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191</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192</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194</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198</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201</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205</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207</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208</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210</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215</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217</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222</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223</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225</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226</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228</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230</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234</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235</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236</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240</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241</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242</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243</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244</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245</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247</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250</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252</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255</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256</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257</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259</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261</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264</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264</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267</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273</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274</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275</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277</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278</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279</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280</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281</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282</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293</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295</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296</w:t>
        </w:r>
        <w:r>
          <w:fldChar w:fldCharType="end"/>
        </w:r>
      </w:hyperlink>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303</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304</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305</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306</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307</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308</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308</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309</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310</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313</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315</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316</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318</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323</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324</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325</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326</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326</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328</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328</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329</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331</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334</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335</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335</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336</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338</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339</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340</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343</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345</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S_1" w:history="1">
        <w:r>
          <w:t xml:space="preserve">Figura S.1. Del terremoto del 10 de agosto a la decisión del comité: qué ocurre, qué falta y qué hace el proyecto</w:t>
        </w:r>
        <w:r>
          <w:tab/>
        </w:r>
        <w:r>
          <w:fldChar w:fldCharType="begin"/>
        </w:r>
        <w:r>
          <w:instrText xml:space="preserve"> PAGEREF rot_Figura_S_1 \h </w:instrText>
        </w:r>
        <w:r>
          <w:fldChar w:fldCharType="separate"/>
        </w:r>
        <w:r>
          <w:t>15</w:t>
        </w:r>
        <w:r>
          <w:fldChar w:fldCharType="end"/>
        </w:r>
      </w:hyperlink>
    </w:p>
    <w:p>
      <w:pPr>
        <w:pStyle w:val="Indice"/>
        <w:tabs>
          <w:tab w:val="right" w:leader="dot" w:pos="9974"/>
        </w:tabs>
        <w:spacing w:before="40" w:after="40"/>
        <w:ind w:left="1134" w:hanging="1134"/>
      </w:pPr>
      <w:hyperlink w:anchor="rot_Figura_S_2" w:history="1">
        <w:r>
          <w:t xml:space="preserve">Figura S.2. La alianza reparte capacidades entre cuatro integrantes y nueve aportes de contrapartida</w:t>
        </w:r>
        <w:r>
          <w:tab/>
        </w:r>
        <w:r>
          <w:fldChar w:fldCharType="begin"/>
        </w:r>
        <w:r>
          <w:instrText xml:space="preserve"> PAGEREF rot_Figura_S_2 \h </w:instrText>
        </w:r>
        <w:r>
          <w:fldChar w:fldCharType="separate"/>
        </w:r>
        <w:r>
          <w:t>18</w:t>
        </w:r>
        <w:r>
          <w:fldChar w:fldCharType="end"/>
        </w:r>
      </w:hyperlink>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37</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43</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58</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61</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71</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73</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87</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96</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115</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132</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134</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137</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139</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142</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146</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148</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165</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169</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179</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193</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206</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213</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220</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233</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239</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263</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276</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280</w:t>
        </w:r>
        <w:r>
          <w:fldChar w:fldCharType="end"/>
        </w:r>
      </w:hyperlink>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311</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314</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316</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323</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333</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337</w:t>
        </w:r>
        <w:r>
          <w:fldChar w:fldCharType="end"/>
        </w:r>
      </w:hyperlink>
    </w:p>
    <w:p>
      <w:pPr>
        <w:pStyle w:val="Indice"/>
        <w:tabs>
          <w:tab w:val="right" w:leader="dot" w:pos="9974"/>
        </w:tabs>
        <w:spacing w:before="40" w:after="40"/>
        <w:ind w:left="1134" w:hanging="1134"/>
      </w:pPr>
      <w:hyperlink w:anchor="rot_Figura_A_7" w:history="1">
        <w:r>
          <w:t xml:space="preserve">Figura A.7. Cuatro cadenas llevan de los productos al uso y a la continuidad, y el proyecto se compromete hasta los resultados</w:t>
        </w:r>
        <w:r>
          <w:tab/>
        </w:r>
        <w:r>
          <w:fldChar w:fldCharType="begin"/>
        </w:r>
        <w:r>
          <w:instrText xml:space="preserve"> PAGEREF rot_Figura_A_7 \h </w:instrText>
        </w:r>
        <w:r>
          <w:fldChar w:fldCharType="separate"/>
        </w:r>
        <w:r>
          <w:t>342</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34" w:name="Xf1134ec32fd74759f59065079f7c1a3a6812ed8"/>
    <w:p>
      <w:pPr>
        <w:pStyle w:val="Heading1"/>
        <w:pageBreakBefore/>
      </w:pPr>
      <w:r>
        <w:t xml:space="preserve">SOPORTE INICIAL PARA LA ALIANZA (RETIRAR ANTES DE RADICAR)</w:t>
      </w:r>
    </w:p>
    <w:p>
      <w:pPr>
        <w:pStyle w:val="FirstParagraph"/>
      </w:pPr>
      <w:r>
        <w:t xml:space="preserve">Esta parte inicial es un soporte para la alianza. No forma parte del Anexo 2 que evalúa MinCiencias y se retira antes de cargar el documento en el SIGP. Responde cuatro preguntas que cada integrante se hace. Son qué es el proyecto, quién hace qué, qué recibe cada uno y cuándo debe estar completo el documento. El Anexo 2 que sigue desarrolla cada respuesta con detalle. Los roles de cada integrante y sus actividades son el punto que MinCiencias revisa con mayor cuidado (criterio 4 de evaluación).</w:t>
      </w:r>
    </w:p>
    <w:bookmarkStart w:id="23" w:name="s.1.-qué-es-el-proyecto"/>
    <w:p>
      <w:pPr>
        <w:pStyle w:val="Heading2"/>
      </w:pPr>
      <w:r>
        <w:t xml:space="preserve">S.1. ¿Qué es el proyecto?</w:t>
      </w:r>
    </w:p>
    <w:p>
      <w:pPr>
        <w:pStyle w:val="FirstParagraph"/>
      </w:pPr>
      <w:r>
        <w:t xml:space="preserve">El terremoto del 10 de agosto de 2026 dejó edificaciones colapsadas o dañadas en los departamentos de la emergencia. Esas edificaciones se demuelen y sus escombros se retiran dentro de los centros urbanos, durante semanas o meses. La demolición y el retiro levantan polvo fino que respiran los operarios y los vecinos.</w:t>
      </w:r>
    </w:p>
    <w:p>
      <w:pPr>
        <w:pStyle w:val="BodyText"/>
      </w:pPr>
      <w:r>
        <w:t xml:space="preserve">Los comités municipales y departamentales de gestión del riesgo deben decidir si paran una obra, humedecen una vía o avisan a la comunidad. Para decidir bien necesitan dos datos que hoy no tienen en esos sitios. El primero es cuánto polvo hay, medido con un dato confiable. El segundo es cuánto polvo saldrá antes de demoler cada edificio. La Figura S.1 resume el recorrido, lo que falta y la respuesta del proyecto.</w:t>
      </w:r>
    </w:p>
    <w:p>
      <w:pPr>
        <w:pStyle w:val="FiguraRotulo"/>
      </w:pPr>
      <w:bookmarkStart w:id="9152" w:name="rot_Figura_S_1"/>
      <w:r>
        <w:rPr>
          <w:b/>
          <w:bCs/>
        </w:rPr>
        <w:t xml:space="preserve">Figura S.1</w:t>
      </w:r>
      <w:bookmarkEnd w:id="9152"/>
    </w:p>
    <w:p>
      <w:pPr>
        <w:pStyle w:val="FiguraTitulo"/>
      </w:pPr>
      <w:r>
        <w:rPr>
          <w:i/>
          <w:iCs/>
        </w:rPr>
        <w:t xml:space="preserve">Del terremoto del 10 de agosto a la decisión del comité: qué ocurre, qué falta y qué hace el proyecto</w:t>
      </w:r>
    </w:p>
    <w:p>
      <w:pPr>
        <w:pStyle w:val="BodyText"/>
      </w:pPr>
      <w:r>
        <w:drawing>
          <wp:inline>
            <wp:extent cx="5579999" cy="4928154"/>
            <wp:effectExtent b="0" l="0" r="0" t="0"/>
            <wp:docPr descr="" title="" id="21" name="Picture"/>
            <a:graphic>
              <a:graphicData uri="http://schemas.openxmlformats.org/drawingml/2006/picture">
                <pic:pic>
                  <pic:nvPicPr>
                    <pic:cNvPr descr="/tmp/claude-0/-home-user-docs/8ca5c040-2adb-56b3-8e64-05d4e7e569ed/scratchpad/a2/figs/out/cS_f02.png" id="22" name="Picture"/>
                    <pic:cNvPicPr>
                      <a:picLocks noChangeArrowheads="1" noChangeAspect="1"/>
                    </pic:cNvPicPr>
                  </pic:nvPicPr>
                  <pic:blipFill>
                    <a:blip r:embed="rId20"/>
                    <a:stretch>
                      <a:fillRect/>
                    </a:stretch>
                  </pic:blipFill>
                  <pic:spPr bwMode="auto">
                    <a:xfrm>
                      <a:off x="0" y="0"/>
                      <a:ext cx="5579999" cy="492815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la secuencia de causas y de respuesta. Software: Python 3 y matplotlib.</w:t>
      </w:r>
    </w:p>
    <w:p>
      <w:pPr>
        <w:pStyle w:val="BodyText"/>
      </w:pPr>
      <w:r>
        <w:t xml:space="preserve">El proyecto responde con tres acciones. Primero, instala 100 sensores de bajo costo (nodos) y 10 antenas receptoras (gateways) en sitios de remoción de Caldas, Cundinamarca y Valle del Cauca. Compara los sensores con tres equipos de referencia, uno por departamento, y corrige sus lecturas para conocer su error. Segundo, entrega a 15 comités un tablero con un índice local del aire y un protocolo de alerta que ellos co-diseñan. Tercero, un laboratorio de modelación calcula antes de cada demolición cuánto polvo saldrá, hacia dónde se desplazará y qué medidas lo reducen. El laboratorio está en un municipio afectado y lo valida la universidad.</w:t>
      </w:r>
    </w:p>
    <w:p>
      <w:pPr>
        <w:pStyle w:val="BodyText"/>
      </w:pPr>
      <w:r>
        <w:t xml:space="preserve">Al mes 24 la red opera, el modelo del laboratorio está validado con demoliciones reales y los custodios designados por convenio reciben los equipos. El resultado del laboratorio apoya la decisión del comité y no sustituye la autorización de la autoridad competente. El proyecto no promete efectos en la salud. Promete decisiones con datos de calidad conocida, uso institucional y continuidad. La Tabla S.1 resume la ficha del proyecto.</w:t>
      </w:r>
    </w:p>
    <w:p>
      <w:pPr>
        <w:pStyle w:val="TablaRotulo"/>
      </w:pPr>
      <w:bookmarkStart w:id="9001" w:name="rot_Tabla_S_1"/>
      <w:r>
        <w:rPr>
          <w:b/>
          <w:bCs/>
        </w:rPr>
        <w:t xml:space="preserve">Tabla S.1</w:t>
      </w:r>
      <w:bookmarkEnd w:id="9001"/>
    </w:p>
    <w:p>
      <w:pPr>
        <w:pStyle w:val="TablaTitulo"/>
      </w:pPr>
      <w:r>
        <w:rPr>
          <w:i/>
          <w:iCs/>
        </w:rPr>
        <w:t xml:space="preserve">Ficha del proyecto en una página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35"/>
        <w:gridCol w:w="6719"/>
      </w:tblGrid>
      <w:tr>
        <w:trPr>
          <w:cantSplit/>
          <w:tblHeader w:val="true"/>
          <w:tblHeader/>
        </w:trPr>
        <w:tc>
          <w:tcPr>
            <w:tcW w:w="3235" w:type="dxa"/>
            <w:tcBorders>
              <w:bottom w:val="single" w:sz="12" w:space="0" w:color="6699CC"/>
            </w:tcBorders>
            <w:shd w:val="clear" w:color="auto" w:fill="B9D9EB"/>
          </w:tcPr>
          <w:p>
            <w:pPr>
              <w:pStyle w:val="Tabla9"/>
              <w:keepNext/>
              <w:jc w:val="left"/>
            </w:pPr>
            <w:r>
              <w:rPr>
                <w:b/>
              </w:rPr>
              <w:t xml:space="preserve">Campo</w:t>
            </w:r>
          </w:p>
        </w:tc>
        <w:tc>
          <w:tcPr>
            <w:tcW w:w="6719"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235" w:type="dxa"/>
          </w:tcPr>
          <w:p>
            <w:pPr>
              <w:pStyle w:val="Tabla9"/>
              <w:jc w:val="left"/>
            </w:pPr>
            <w:r>
              <w:t xml:space="preserve">Nombre</w:t>
            </w:r>
          </w:p>
        </w:tc>
        <w:tc>
          <w:tcPr>
            <w:tcW w:w="6719" w:type="dxa"/>
          </w:tcPr>
          <w:p>
            <w:pPr>
              <w:pStyle w:val="Tabla9"/>
              <w:jc w:val="left"/>
            </w:pPr>
            <w:r>
              <w:t xml:space="preserve">Implementación de una red IoT híbrida Edge-Cloud y de un gemelo digital predictivo de demolición para la gestión anticipada del riesgo por material particulado posterremoto en Caldas, Cundinamarca y Valle del Cauca</w:t>
            </w:r>
          </w:p>
        </w:tc>
      </w:tr>
      <w:tr>
        <w:trPr>
          <w:cantSplit/>
        </w:trPr>
        <w:tc>
          <w:tcPr>
            <w:tcW w:w="3235" w:type="dxa"/>
            <w:shd w:val="clear" w:color="auto" w:fill="F7F7F7"/>
          </w:tcPr>
          <w:p>
            <w:pPr>
              <w:pStyle w:val="Tabla9"/>
              <w:jc w:val="left"/>
            </w:pPr>
            <w:r>
              <w:t xml:space="preserve">Convocatoria y línea</w:t>
            </w:r>
          </w:p>
        </w:tc>
        <w:tc>
          <w:tcPr>
            <w:tcW w:w="6719" w:type="dxa"/>
            <w:shd w:val="clear" w:color="auto" w:fill="F7F7F7"/>
          </w:tcPr>
          <w:p>
            <w:pPr>
              <w:pStyle w:val="Tabla9"/>
              <w:jc w:val="left"/>
            </w:pPr>
            <w:r>
              <w:t xml:space="preserve">Convocatoria 56 del SGR; línea 5.1, CTeI para la gestión anticipada del riesgo y la seguridad de las regiones</w:t>
            </w:r>
          </w:p>
        </w:tc>
      </w:tr>
      <w:tr>
        <w:trPr>
          <w:cantSplit/>
        </w:trPr>
        <w:tc>
          <w:tcPr>
            <w:tcW w:w="3235" w:type="dxa"/>
          </w:tcPr>
          <w:p>
            <w:pPr>
              <w:pStyle w:val="Tabla9"/>
              <w:jc w:val="left"/>
            </w:pPr>
            <w:r>
              <w:t xml:space="preserve">Duración</w:t>
            </w:r>
          </w:p>
        </w:tc>
        <w:tc>
          <w:tcPr>
            <w:tcW w:w="6719" w:type="dxa"/>
          </w:tcPr>
          <w:p>
            <w:pPr>
              <w:pStyle w:val="Tabla9"/>
              <w:jc w:val="left"/>
            </w:pPr>
            <w:r>
              <w:t xml:space="preserve">24 meses, equivalentes a 104 semanas</w:t>
            </w:r>
          </w:p>
        </w:tc>
      </w:tr>
      <w:tr>
        <w:trPr>
          <w:cantSplit/>
        </w:trPr>
        <w:tc>
          <w:tcPr>
            <w:tcW w:w="3235" w:type="dxa"/>
            <w:shd w:val="clear" w:color="auto" w:fill="F7F7F7"/>
          </w:tcPr>
          <w:p>
            <w:pPr>
              <w:pStyle w:val="Tabla9"/>
              <w:jc w:val="left"/>
            </w:pPr>
            <w:r>
              <w:t xml:space="preserve">Territorio</w:t>
            </w:r>
          </w:p>
        </w:tc>
        <w:tc>
          <w:tcPr>
            <w:tcW w:w="6719" w:type="dxa"/>
            <w:shd w:val="clear" w:color="auto" w:fill="F7F7F7"/>
          </w:tcPr>
          <w:p>
            <w:pPr>
              <w:pStyle w:val="Tabla9"/>
              <w:jc w:val="left"/>
            </w:pPr>
            <w:r>
              <w:t xml:space="preserve">Caldas, Cundinamarca y Valle del Cauca: 12 municipios de intervención y 15 comités de gestión del riesgo</w:t>
            </w:r>
          </w:p>
        </w:tc>
      </w:tr>
      <w:tr>
        <w:trPr>
          <w:cantSplit/>
        </w:trPr>
        <w:tc>
          <w:tcPr>
            <w:tcW w:w="3235" w:type="dxa"/>
          </w:tcPr>
          <w:p>
            <w:pPr>
              <w:pStyle w:val="Tabla9"/>
              <w:jc w:val="left"/>
            </w:pPr>
            <w:r>
              <w:t xml:space="preserve">Solución</w:t>
            </w:r>
          </w:p>
        </w:tc>
        <w:tc>
          <w:tcPr>
            <w:tcW w:w="6719" w:type="dxa"/>
          </w:tcPr>
          <w:p>
            <w:pPr>
              <w:pStyle w:val="Tabla9"/>
              <w:jc w:val="left"/>
            </w:pPr>
            <w:r>
              <w:t xml:space="preserve">100 nodos, 10 gateways y 3 monitores de referencia; corrección de las lecturas en el gateway; tablero y protocolo de alerta; laboratorio de modelación con un gemelo predictivo de demolición</w:t>
            </w:r>
          </w:p>
        </w:tc>
      </w:tr>
      <w:tr>
        <w:trPr>
          <w:cantSplit/>
        </w:trPr>
        <w:tc>
          <w:tcPr>
            <w:tcW w:w="3235" w:type="dxa"/>
            <w:shd w:val="clear" w:color="auto" w:fill="F7F7F7"/>
          </w:tcPr>
          <w:p>
            <w:pPr>
              <w:pStyle w:val="Tabla9"/>
              <w:jc w:val="left"/>
            </w:pPr>
            <w:r>
              <w:t xml:space="preserve">Madurez tecnológica</w:t>
            </w:r>
          </w:p>
        </w:tc>
        <w:tc>
          <w:tcPr>
            <w:tcW w:w="6719" w:type="dxa"/>
            <w:shd w:val="clear" w:color="auto" w:fill="F7F7F7"/>
          </w:tcPr>
          <w:p>
            <w:pPr>
              <w:pStyle w:val="Tabla9"/>
              <w:jc w:val="left"/>
            </w:pPr>
            <w:r>
              <w:t xml:space="preserve">Red: TRL 4 al inicio y TRL 8 al cierre, con evidencia en el mes 23. Gemelo predictivo: TRL 3 al inicio y TRL 6 al cierre</w:t>
            </w:r>
          </w:p>
        </w:tc>
      </w:tr>
      <w:tr>
        <w:trPr>
          <w:cantSplit/>
        </w:trPr>
        <w:tc>
          <w:tcPr>
            <w:tcW w:w="3235" w:type="dxa"/>
          </w:tcPr>
          <w:p>
            <w:pPr>
              <w:pStyle w:val="Tabla9"/>
              <w:jc w:val="left"/>
            </w:pPr>
            <w:r>
              <w:t xml:space="preserve">Resultado principal</w:t>
            </w:r>
          </w:p>
        </w:tc>
        <w:tc>
          <w:tcPr>
            <w:tcW w:w="6719" w:type="dxa"/>
          </w:tcPr>
          <w:p>
            <w:pPr>
              <w:pStyle w:val="Tabla9"/>
              <w:jc w:val="left"/>
            </w:pPr>
            <w:r>
              <w:t xml:space="preserve">Red de vigilancia de material particulado verificada, en uso por los comités y bajo custodia; laboratorio que estima la exposición esperada antes de una demolición</w:t>
            </w:r>
          </w:p>
        </w:tc>
      </w:tr>
      <w:tr>
        <w:trPr>
          <w:cantSplit/>
        </w:trPr>
        <w:tc>
          <w:tcPr>
            <w:tcW w:w="3235" w:type="dxa"/>
            <w:shd w:val="clear" w:color="auto" w:fill="F7F7F7"/>
          </w:tcPr>
          <w:p>
            <w:pPr>
              <w:pStyle w:val="Tabla9"/>
              <w:jc w:val="left"/>
            </w:pPr>
            <w:r>
              <w:t xml:space="preserve">Valor solicitado al SGR</w:t>
            </w:r>
          </w:p>
        </w:tc>
        <w:tc>
          <w:tcPr>
            <w:tcW w:w="6719" w:type="dxa"/>
            <w:shd w:val="clear" w:color="auto" w:fill="F7F7F7"/>
          </w:tcPr>
          <w:p>
            <w:pPr>
              <w:pStyle w:val="Tabla9"/>
              <w:jc w:val="left"/>
            </w:pPr>
            <w:r>
              <w:t xml:space="preserve">$ 10.022.840.000 (71,6 % del tope)</w:t>
            </w:r>
          </w:p>
        </w:tc>
      </w:tr>
      <w:tr>
        <w:trPr>
          <w:cantSplit/>
        </w:trPr>
        <w:tc>
          <w:tcPr>
            <w:tcW w:w="3235" w:type="dxa"/>
          </w:tcPr>
          <w:p>
            <w:pPr>
              <w:pStyle w:val="Tabla9"/>
              <w:jc w:val="left"/>
            </w:pPr>
            <w:r>
              <w:t xml:space="preserve">Contrapartida</w:t>
            </w:r>
          </w:p>
        </w:tc>
        <w:tc>
          <w:tcPr>
            <w:tcW w:w="6719" w:type="dxa"/>
          </w:tcPr>
          <w:p>
            <w:pPr>
              <w:pStyle w:val="Tabla9"/>
              <w:jc w:val="left"/>
            </w:pPr>
            <w:r>
              <w:t xml:space="preserve">$ 2.374.000.000, de los cuales $ 210.000.000 en efectivo; el aporte del actor del SNCTI se suma cuando se certifique</w:t>
            </w:r>
          </w:p>
        </w:tc>
      </w:tr>
      <w:tr>
        <w:trPr>
          <w:cantSplit/>
        </w:trPr>
        <w:tc>
          <w:tcPr>
            <w:tcW w:w="3235" w:type="dxa"/>
            <w:shd w:val="clear" w:color="auto" w:fill="F7F7F7"/>
          </w:tcPr>
          <w:p>
            <w:pPr>
              <w:pStyle w:val="Tabla9"/>
              <w:jc w:val="left"/>
            </w:pPr>
            <w:r>
              <w:t xml:space="preserve">Valor total</w:t>
            </w:r>
          </w:p>
        </w:tc>
        <w:tc>
          <w:tcPr>
            <w:tcW w:w="6719" w:type="dxa"/>
            <w:shd w:val="clear" w:color="auto" w:fill="F7F7F7"/>
          </w:tcPr>
          <w:p>
            <w:pPr>
              <w:pStyle w:val="Tabla9"/>
              <w:jc w:val="left"/>
            </w:pPr>
            <w:r>
              <w:t xml:space="preserve">$ 12.396.840.000</w:t>
            </w:r>
          </w:p>
        </w:tc>
      </w:tr>
      <w:tr>
        <w:trPr>
          <w:cantSplit/>
        </w:trPr>
        <w:tc>
          <w:tcPr>
            <w:tcW w:w="3235" w:type="dxa"/>
          </w:tcPr>
          <w:p>
            <w:pPr>
              <w:pStyle w:val="Tabla9"/>
              <w:keepNext/>
              <w:jc w:val="left"/>
            </w:pPr>
            <w:r>
              <w:t xml:space="preserve">Productos</w:t>
            </w:r>
          </w:p>
        </w:tc>
        <w:tc>
          <w:tcPr>
            <w:tcW w:w="6719" w:type="dxa"/>
          </w:tcPr>
          <w:p>
            <w:pPr>
              <w:pStyle w:val="Tabla9"/>
              <w:keepNext/>
              <w:jc w:val="left"/>
            </w:pPr>
            <w:r>
              <w:t xml:space="preserve">Nueve productos del programa 3906 de la MGA y 22 actividades en tres objetivos específicos</w:t>
            </w:r>
          </w:p>
        </w:tc>
      </w:tr>
    </w:tbl>
    <w:p>
      <w:pPr>
        <w:pStyle w:val="TablaNota"/>
      </w:pPr>
      <w:r>
        <w:rPr>
          <w:i/>
          <w:iCs/>
        </w:rPr>
        <w:t xml:space="preserve">Nota.</w:t>
      </w:r>
      <w:r>
        <w:t xml:space="preserve"> </w:t>
      </w:r>
      <w:r>
        <w:t xml:space="preserve">Elaboración propia con la formulación del proyecto. Los valores se detallan en las secciones 15 y 28 del Anexo 2.</w:t>
      </w:r>
    </w:p>
    <w:bookmarkEnd w:id="23"/>
    <w:bookmarkStart w:id="27" w:name="s.2.-quién-hace-qué"/>
    <w:p>
      <w:pPr>
        <w:pStyle w:val="Heading2"/>
      </w:pPr>
      <w:r>
        <w:t xml:space="preserve">S.2. ¿Quién hace qué?</w:t>
      </w:r>
    </w:p>
    <w:p>
      <w:pPr>
        <w:pStyle w:val="FirstParagraph"/>
      </w:pPr>
      <w:r>
        <w:t xml:space="preserve">La alianza tiene cuatro integrantes. La universidad es la entidad proponente y ejecutora. Los otros tres son un municipio, un actor del SNCTI con reconocimiento vigente de MinCiencias y una empresa tecnológica. Cada uno asume actividades propias, designa un responsable institucional y aporta una contrapartida cuantificada. La Tabla S.2 resume la naturaleza, el objetivo que lidera, las actividades y el aporte de cada integrante. La Figura S.2 muestra la función de cada uno por objetivo específico.</w:t>
      </w:r>
    </w:p>
    <w:p>
      <w:pPr>
        <w:pStyle w:val="TablaRotulo"/>
      </w:pPr>
      <w:bookmarkStart w:id="9002" w:name="rot_Tabla_S_2"/>
      <w:r>
        <w:rPr>
          <w:b/>
          <w:bCs/>
        </w:rPr>
        <w:t xml:space="preserve">Tabla S.2</w:t>
      </w:r>
      <w:bookmarkEnd w:id="900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FiguraRotulo"/>
      </w:pPr>
      <w:bookmarkStart w:id="9153" w:name="rot_Figura_S_2"/>
      <w:r>
        <w:rPr>
          <w:b/>
          <w:bCs/>
        </w:rPr>
        <w:t xml:space="preserve">Figura S.2</w:t>
      </w:r>
      <w:bookmarkEnd w:id="9153"/>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5" name="Picture"/>
            <a:graphic>
              <a:graphicData uri="http://schemas.openxmlformats.org/drawingml/2006/picture">
                <pic:pic>
                  <pic:nvPicPr>
                    <pic:cNvPr descr="/tmp/claude-0/-home-user-docs/8ca5c040-2adb-56b3-8e64-05d4e7e569ed/scratchpad/a2/figs/out/cS_f01.png" id="26" name="Picture"/>
                    <pic:cNvPicPr>
                      <a:picLocks noChangeArrowheads="1" noChangeAspect="1"/>
                    </pic:cNvPicPr>
                  </pic:nvPicPr>
                  <pic:blipFill>
                    <a:blip r:embed="rId24"/>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función de cada integrante en cada una de las 22 actividades se detalla en la sección 14 del Anexo 2. Allí se indica quién lidera, quién participa y quién solo reporta su contrapartida. Esa tabla es la que cada representante legal debe leer antes de firmar el certificado de participación del numeral 10.18 de los TdR.</w:t>
      </w:r>
    </w:p>
    <w:bookmarkEnd w:id="27"/>
    <w:bookmarkStart w:id="28" w:name="s.3.-qué-recibe-cada-integrante"/>
    <w:p>
      <w:pPr>
        <w:pStyle w:val="Heading2"/>
      </w:pPr>
      <w:r>
        <w:t xml:space="preserve">S.3. ¿Qué recibe cada integrante?</w:t>
      </w:r>
    </w:p>
    <w:p>
      <w:pPr>
        <w:pStyle w:val="FirstParagraph"/>
      </w:pPr>
      <w:r>
        <w:t xml:space="preserve">Cada integrante recibe resultados distintos, y esa diferencia sostiene la alianza. La Tabla S.3 los describe sin prometer retornos monetarios ni efectos en la salud. Los beneficios son resultados técnicos, de capacidad y de uso, y cada uno tiene un medio de verificación. Una misma entidad no puede ser cooperante y beneficiaria. Por eso el municipio aliado no figura entre los beneficiarios y su comité se sustituye por otro de la misma jurisdicción.</w:t>
      </w:r>
    </w:p>
    <w:p>
      <w:pPr>
        <w:pStyle w:val="TablaRotulo"/>
      </w:pPr>
      <w:bookmarkStart w:id="9003" w:name="rot_Tabla_S_3"/>
      <w:r>
        <w:rPr>
          <w:b/>
          <w:bCs/>
        </w:rPr>
        <w:t xml:space="preserve">Tabla S.3</w:t>
      </w:r>
      <w:bookmarkEnd w:id="900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bookmarkEnd w:id="28"/>
    <w:bookmarkStart w:id="29" w:name="X890df10c51172d7dcb7ed15b4afc954bd38b3a3"/>
    <w:p>
      <w:pPr>
        <w:pStyle w:val="Heading2"/>
      </w:pPr>
      <w:r>
        <w:t xml:space="preserve">S.4. ¿Cómo se alinea el presupuesto con las actividades, los integrantes y los departamentos?</w:t>
      </w:r>
    </w:p>
    <w:p>
      <w:pPr>
        <w:pStyle w:val="FirstParagraph"/>
      </w:pPr>
      <w:r>
        <w:t xml:space="preserve">El presupuesto se construye de abajo hacia arriba. Cada línea tiene unidad, cantidad y costo unitario, y se asigna a una o más actividades. El valor de cada actividad es la suma de sus líneas. El valor de cada objetivo es la suma de sus actividades. La Tabla S.4 presenta el valor por objetivo específico. La Tabla S.5 presenta las fuentes por integrante. La Tabla S.6 reparte el valor solicitado al SGR entre los tres departamentos, porque el proyecto atiende los efectos del terremoto en cada territorio.</w:t>
      </w:r>
    </w:p>
    <w:p>
      <w:pPr>
        <w:pStyle w:val="BodyText"/>
      </w:pPr>
      <w:r>
        <w:t xml:space="preserve">El laboratorio de modelación no forma un objetivo aparte. Su validación pertenece al objetivo 1, su construcción al objetivo 2 y la adopción de su protocolo al objetivo 3. Suma $ 1.671.500.000 del SGR y $ 144.000.000 de contrapartida en especie de la universidad. Esos valores son estimaciones de formulación que las cotizaciones del Anexo 3 deben confirmar.</w:t>
      </w:r>
    </w:p>
    <w:p>
      <w:pPr>
        <w:pStyle w:val="TablaRotulo"/>
      </w:pPr>
      <w:bookmarkStart w:id="9004" w:name="rot_Tabla_S_4"/>
      <w:r>
        <w:rPr>
          <w:b/>
          <w:bCs/>
        </w:rPr>
        <w:t xml:space="preserve">Tabla S.4</w:t>
      </w:r>
      <w:bookmarkEnd w:id="9004"/>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005" w:name="rot_Tabla_S_5"/>
      <w:r>
        <w:rPr>
          <w:b/>
          <w:bCs/>
        </w:rPr>
        <w:t xml:space="preserve">Tabla S.5</w:t>
      </w:r>
      <w:bookmarkEnd w:id="90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TablaRotulo"/>
      </w:pPr>
      <w:bookmarkStart w:id="9006" w:name="rot_Tabla_S_6"/>
      <w:r>
        <w:rPr>
          <w:b/>
          <w:bCs/>
        </w:rPr>
        <w:t xml:space="preserve">Tabla S.6</w:t>
      </w:r>
      <w:bookmarkEnd w:id="9006"/>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Tres verificaciones quedan abiertas. La primera es que cada integrante certifique su contrapartida con la actividad que financia y el momento del aporte. La segunda es que las cotizaciones del Anexo 3 confirmen los costos unitarios. La tercera es que los departamentos confirmen su distribución. Los valores son estimaciones de formulación hasta que esas tres verificaciones se completen.</w:t>
      </w:r>
    </w:p>
    <w:bookmarkEnd w:id="29"/>
    <w:bookmarkStart w:id="30" w:name="X66f7f14bcfb6989e77226afd176635704105ef6"/>
    <w:p>
      <w:pPr>
        <w:pStyle w:val="Heading2"/>
      </w:pPr>
      <w:r>
        <w:t xml:space="preserve">S.5. ¿Cuándo debe estar completo el documento?</w:t>
      </w:r>
    </w:p>
    <w:p>
      <w:pPr>
        <w:pStyle w:val="FirstParagraph"/>
      </w:pPr>
      <w:r>
        <w:t xml:space="preserve">El cierre de la presentación es el martes 3 de noviembre de 2026 a las 4:00 p. m., hora de Colombia (Ministerio de Ciencia, Tecnología e Innovación [MinCiencias], 2026). El periodo de ajuste de requisitos no permite subsanar un documento omitido, de modo que todo debe cargarse completo antes del cierre. El lunes 2 de noviembre es festivo en Colombia. Por eso la meta de la alianza es radicar el viernes 30 de octubre. Quedan como margen el fin de semana, el festivo y la mañana del martes 3. La Tabla S.7 propone fechas y responsables, y parte del sábado 24 de octubre. Las fechas internas son una propuesta que la alianza ajusta en su primera reunión.</w:t>
      </w:r>
    </w:p>
    <w:p>
      <w:pPr>
        <w:pStyle w:val="TablaRotulo"/>
      </w:pPr>
      <w:bookmarkStart w:id="9007" w:name="rot_Tabla_S_7"/>
      <w:r>
        <w:rPr>
          <w:b/>
          <w:bCs/>
        </w:rPr>
        <w:t xml:space="preserve">Tabla S.7</w:t>
      </w:r>
      <w:bookmarkEnd w:id="9007"/>
    </w:p>
    <w:p>
      <w:pPr>
        <w:pStyle w:val="TablaTitulo"/>
      </w:pPr>
      <w:r>
        <w:rPr>
          <w:i/>
          <w:iCs/>
        </w:rPr>
        <w:t xml:space="preserve">Hoja de ruta de cierre hasta el 3 de noviembre de 2026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069"/>
        <w:gridCol w:w="2406"/>
        <w:gridCol w:w="2571"/>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Fecha</w:t>
            </w:r>
          </w:p>
        </w:tc>
        <w:tc>
          <w:tcPr>
            <w:tcW w:w="3069" w:type="dxa"/>
            <w:tcBorders>
              <w:bottom w:val="single" w:sz="12" w:space="0" w:color="6699CC"/>
            </w:tcBorders>
            <w:shd w:val="clear" w:color="auto" w:fill="B9D9EB"/>
          </w:tcPr>
          <w:p>
            <w:pPr>
              <w:pStyle w:val="Tabla9"/>
              <w:keepNext/>
              <w:jc w:val="left"/>
            </w:pPr>
            <w:r>
              <w:rPr>
                <w:b/>
              </w:rPr>
              <w:t xml:space="preserve">Qué se completa</w:t>
            </w:r>
          </w:p>
        </w:tc>
        <w:tc>
          <w:tcPr>
            <w:tcW w:w="2406"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1908" w:type="dxa"/>
          </w:tcPr>
          <w:p>
            <w:pPr>
              <w:pStyle w:val="Tabla9"/>
              <w:jc w:val="left"/>
            </w:pPr>
            <w:r>
              <w:t xml:space="preserve">Sábado 24 y domingo 25 de octubre</w:t>
            </w:r>
          </w:p>
        </w:tc>
        <w:tc>
          <w:tcPr>
            <w:tcW w:w="3069" w:type="dxa"/>
          </w:tcPr>
          <w:p>
            <w:pPr>
              <w:pStyle w:val="Tabla9"/>
              <w:jc w:val="left"/>
            </w:pPr>
            <w:r>
              <w:t xml:space="preserve">Reunión de la alianza, o una reunión corta con cada integrante, con la guía para explicar el proyecto: confirmar los cuatro integrantes, los roles por objetivo, los beneficios, el departamento del municipio aliado y las decisiones de la Tabla S.8, entre ellas los lugares de ejecución y la sede del laboratorio; designar el responsable institucional de cada uno. Solicitar los soportes (certificados de existencia y representación legal con no más de 90 días, resolución de reconocimiento del actor del SNCTI, copia del Decreto 1171 de 2026 y certificado del plan de acción de cada gobernación o alcaldía) y las cotizaciones del laboratorio. Aplicar la Tabla S.10, que resume las respuestas de MinCiencias publicadas el 23 de octubre</w:t>
            </w:r>
          </w:p>
        </w:tc>
        <w:tc>
          <w:tcPr>
            <w:tcW w:w="2406" w:type="dxa"/>
          </w:tcPr>
          <w:p>
            <w:pPr>
              <w:pStyle w:val="Tabla9"/>
              <w:jc w:val="left"/>
            </w:pPr>
            <w:r>
              <w:t xml:space="preserve">Universidad y los tres aliados</w:t>
            </w:r>
          </w:p>
        </w:tc>
        <w:tc>
          <w:tcPr>
            <w:tcW w:w="2571" w:type="dxa"/>
          </w:tcPr>
          <w:p>
            <w:pPr>
              <w:pStyle w:val="Tabla9"/>
              <w:jc w:val="left"/>
            </w:pPr>
            <w:r>
              <w:t xml:space="preserve">Acta de la reunión, roles confirmados y lista de soportes con fecha de entrega</w:t>
            </w:r>
          </w:p>
        </w:tc>
      </w:tr>
      <w:tr>
        <w:trPr>
          <w:cantSplit/>
        </w:trPr>
        <w:tc>
          <w:tcPr>
            <w:tcW w:w="1908" w:type="dxa"/>
            <w:shd w:val="clear" w:color="auto" w:fill="F7F7F7"/>
          </w:tcPr>
          <w:p>
            <w:pPr>
              <w:pStyle w:val="Tabla9"/>
              <w:jc w:val="left"/>
            </w:pPr>
            <w:r>
              <w:t xml:space="preserve">Lunes 26 de octubre</w:t>
            </w:r>
          </w:p>
        </w:tc>
        <w:tc>
          <w:tcPr>
            <w:tcW w:w="3069" w:type="dxa"/>
            <w:shd w:val="clear" w:color="auto" w:fill="F7F7F7"/>
          </w:tcPr>
          <w:p>
            <w:pPr>
              <w:pStyle w:val="Tabla9"/>
              <w:jc w:val="left"/>
            </w:pPr>
            <w:r>
              <w:t xml:space="preserve">Entrega de los datos pendientes del documento (Tabla S.9): nombres, municipios, datos del DANE, grupo de investigación y proyectos del Anexo 5. El municipio aliado entrega además el reporte de afectación de las edificaciones y el cronograma de demoliciones y remoción por sitio. Las gobernaciones y las alcaldías entregan el certificado del numeral 10.21 y el compromiso de uso de cada comité. La universidad entrega el aval del comité de ética o su determinación escrita. Cotizaciones vigentes (al menos dos por rubro, incluidos el servidor, las estaciones meteorológicas, el dron y los monitores portátiles del laboratorio) y valor certificado del aporte del actor del SNCTI</w:t>
            </w:r>
          </w:p>
        </w:tc>
        <w:tc>
          <w:tcPr>
            <w:tcW w:w="2406" w:type="dxa"/>
            <w:shd w:val="clear" w:color="auto" w:fill="F7F7F7"/>
          </w:tcPr>
          <w:p>
            <w:pPr>
              <w:pStyle w:val="Tabla9"/>
              <w:jc w:val="left"/>
            </w:pPr>
            <w:r>
              <w:t xml:space="preserve">Cada integrante, la empresa y el actor del SNCTI</w:t>
            </w:r>
          </w:p>
        </w:tc>
        <w:tc>
          <w:tcPr>
            <w:tcW w:w="2571" w:type="dxa"/>
            <w:shd w:val="clear" w:color="auto" w:fill="F7F7F7"/>
          </w:tcPr>
          <w:p>
            <w:pPr>
              <w:pStyle w:val="Tabla9"/>
              <w:jc w:val="left"/>
            </w:pPr>
            <w:r>
              <w:t xml:space="preserve">Datos completos por integrante, Anexo 3 en borrador y contrapartida cuantificada</w:t>
            </w:r>
          </w:p>
        </w:tc>
      </w:tr>
      <w:tr>
        <w:trPr>
          <w:cantSplit/>
        </w:trPr>
        <w:tc>
          <w:tcPr>
            <w:tcW w:w="1908" w:type="dxa"/>
          </w:tcPr>
          <w:p>
            <w:pPr>
              <w:pStyle w:val="Tabla9"/>
              <w:jc w:val="left"/>
            </w:pPr>
            <w:r>
              <w:t xml:space="preserve">Martes 27 de octubre</w:t>
            </w:r>
          </w:p>
        </w:tc>
        <w:tc>
          <w:tcPr>
            <w:tcW w:w="3069" w:type="dxa"/>
          </w:tcPr>
          <w:p>
            <w:pPr>
              <w:pStyle w:val="Tabla9"/>
              <w:jc w:val="left"/>
            </w:pPr>
            <w:r>
              <w:t xml:space="preserve">Decisión final de los lugares de ejecución con los soportes recibidos. Versión 2 del Anexo 2 con los datos reales y sin marcadores verdes, y Anexo 3 en Excel coherente con la sección 30.3. En paralelo, firma de la carta unificada de aval (Anexo 1) y de los certificados de los numerales 10.18 y 10.19</w:t>
            </w:r>
          </w:p>
        </w:tc>
        <w:tc>
          <w:tcPr>
            <w:tcW w:w="2406" w:type="dxa"/>
          </w:tcPr>
          <w:p>
            <w:pPr>
              <w:pStyle w:val="Tabla9"/>
              <w:jc w:val="left"/>
            </w:pPr>
            <w:r>
              <w:t xml:space="preserve">Universidad; los cuatro representantes legales firman</w:t>
            </w:r>
          </w:p>
        </w:tc>
        <w:tc>
          <w:tcPr>
            <w:tcW w:w="2571" w:type="dxa"/>
          </w:tcPr>
          <w:p>
            <w:pPr>
              <w:pStyle w:val="Tabla9"/>
              <w:jc w:val="left"/>
            </w:pPr>
            <w:r>
              <w:t xml:space="preserve">Anexo 2 versión 2, Anexo 3 y documentos firmados en un único archivo PDF</w:t>
            </w:r>
          </w:p>
        </w:tc>
      </w:tr>
      <w:tr>
        <w:trPr>
          <w:cantSplit/>
        </w:trPr>
        <w:tc>
          <w:tcPr>
            <w:tcW w:w="1908" w:type="dxa"/>
            <w:shd w:val="clear" w:color="auto" w:fill="F7F7F7"/>
          </w:tcPr>
          <w:p>
            <w:pPr>
              <w:pStyle w:val="Tabla9"/>
              <w:jc w:val="left"/>
            </w:pPr>
            <w:r>
              <w:t xml:space="preserve">Miércoles 28 de octubre</w:t>
            </w:r>
          </w:p>
        </w:tc>
        <w:tc>
          <w:tcPr>
            <w:tcW w:w="3069" w:type="dxa"/>
            <w:shd w:val="clear" w:color="auto" w:fill="F7F7F7"/>
          </w:tcPr>
          <w:p>
            <w:pPr>
              <w:pStyle w:val="Tabla9"/>
              <w:jc w:val="left"/>
            </w:pPr>
            <w:r>
              <w:t xml:space="preserve">Congelación del Anexo 2 y del Anexo A, y revisión cruzada con los anexos 1, 3 y 5 y con la MGA-WEB</w:t>
            </w:r>
          </w:p>
        </w:tc>
        <w:tc>
          <w:tcPr>
            <w:tcW w:w="2406"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Anexo 2 y Anexo A en versión final</w:t>
            </w:r>
          </w:p>
        </w:tc>
      </w:tr>
      <w:tr>
        <w:trPr>
          <w:cantSplit/>
        </w:trPr>
        <w:tc>
          <w:tcPr>
            <w:tcW w:w="1908" w:type="dxa"/>
          </w:tcPr>
          <w:p>
            <w:pPr>
              <w:pStyle w:val="Tabla9"/>
              <w:jc w:val="left"/>
            </w:pPr>
            <w:r>
              <w:t xml:space="preserve">Jueves 29 de octubre</w:t>
            </w:r>
          </w:p>
        </w:tc>
        <w:tc>
          <w:tcPr>
            <w:tcW w:w="3069" w:type="dxa"/>
          </w:tcPr>
          <w:p>
            <w:pPr>
              <w:pStyle w:val="Tabla9"/>
              <w:jc w:val="left"/>
            </w:pPr>
            <w:r>
              <w:t xml:space="preserve">Generación del PDF del Anexo 2 con menos de 3 MB y del PDF del Anexo A como otro adjunto (hasta 10 MB), y prueba de carga de todos los archivos en el SIGP</w:t>
            </w:r>
          </w:p>
        </w:tc>
        <w:tc>
          <w:tcPr>
            <w:tcW w:w="2406" w:type="dxa"/>
          </w:tcPr>
          <w:p>
            <w:pPr>
              <w:pStyle w:val="Tabla9"/>
              <w:jc w:val="left"/>
            </w:pPr>
            <w:r>
              <w:t xml:space="preserve">Universidad</w:t>
            </w:r>
          </w:p>
        </w:tc>
        <w:tc>
          <w:tcPr>
            <w:tcW w:w="2571" w:type="dxa"/>
          </w:tcPr>
          <w:p>
            <w:pPr>
              <w:pStyle w:val="Tabla9"/>
              <w:jc w:val="left"/>
            </w:pPr>
            <w:r>
              <w:t xml:space="preserve">Archivos verificados en la plataforma</w:t>
            </w:r>
          </w:p>
        </w:tc>
      </w:tr>
      <w:tr>
        <w:trPr>
          <w:cantSplit/>
        </w:trPr>
        <w:tc>
          <w:tcPr>
            <w:tcW w:w="1908" w:type="dxa"/>
            <w:shd w:val="clear" w:color="auto" w:fill="F7F7F7"/>
          </w:tcPr>
          <w:p>
            <w:pPr>
              <w:pStyle w:val="Tabla9"/>
              <w:jc w:val="left"/>
            </w:pPr>
            <w:r>
              <w:t xml:space="preserve">Viernes 30 de octubre</w:t>
            </w:r>
          </w:p>
        </w:tc>
        <w:tc>
          <w:tcPr>
            <w:tcW w:w="3069" w:type="dxa"/>
            <w:shd w:val="clear" w:color="auto" w:fill="F7F7F7"/>
          </w:tcPr>
          <w:p>
            <w:pPr>
              <w:pStyle w:val="Tabla9"/>
              <w:jc w:val="left"/>
            </w:pPr>
            <w:r>
              <w:t xml:space="preserve">Radicación anticipada en el SIGP: meta de la alianza</w:t>
            </w:r>
          </w:p>
        </w:tc>
        <w:tc>
          <w:tcPr>
            <w:tcW w:w="2406"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Proyecto radicado</w:t>
            </w:r>
          </w:p>
        </w:tc>
      </w:tr>
      <w:tr>
        <w:trPr>
          <w:cantSplit/>
        </w:trPr>
        <w:tc>
          <w:tcPr>
            <w:tcW w:w="1908" w:type="dxa"/>
          </w:tcPr>
          <w:p>
            <w:pPr>
              <w:pStyle w:val="Tabla9"/>
              <w:jc w:val="left"/>
            </w:pPr>
            <w:r>
              <w:t xml:space="preserve">Lunes 2 de noviembre</w:t>
            </w:r>
          </w:p>
        </w:tc>
        <w:tc>
          <w:tcPr>
            <w:tcW w:w="3069" w:type="dxa"/>
          </w:tcPr>
          <w:p>
            <w:pPr>
              <w:pStyle w:val="Tabla9"/>
              <w:jc w:val="left"/>
            </w:pPr>
            <w:r>
              <w:t xml:space="preserve">Festivo en Colombia; solo contingencia</w:t>
            </w:r>
          </w:p>
        </w:tc>
        <w:tc>
          <w:tcPr>
            <w:tcW w:w="2406" w:type="dxa"/>
          </w:tcPr>
          <w:p>
            <w:pPr>
              <w:pStyle w:val="Tabla9"/>
              <w:jc w:val="left"/>
            </w:pPr>
            <w:r>
              <w:t xml:space="preserve">Universidad</w:t>
            </w:r>
          </w:p>
        </w:tc>
        <w:tc>
          <w:tcPr>
            <w:tcW w:w="2571" w:type="dxa"/>
          </w:tcPr>
          <w:p>
            <w:pPr>
              <w:pStyle w:val="Tabla9"/>
              <w:jc w:val="left"/>
            </w:pPr>
            <w:r>
              <w:t xml:space="preserve">Sin actividad programada</w:t>
            </w:r>
          </w:p>
        </w:tc>
      </w:tr>
      <w:tr>
        <w:trPr>
          <w:cantSplit/>
        </w:trPr>
        <w:tc>
          <w:tcPr>
            <w:tcW w:w="1908" w:type="dxa"/>
            <w:shd w:val="clear" w:color="auto" w:fill="F7F7F7"/>
          </w:tcPr>
          <w:p>
            <w:pPr>
              <w:pStyle w:val="Tabla9"/>
              <w:jc w:val="left"/>
            </w:pPr>
            <w:r>
              <w:t xml:space="preserve">Martes 3 de noviembre, 4:00 p. m.</w:t>
            </w:r>
          </w:p>
        </w:tc>
        <w:tc>
          <w:tcPr>
            <w:tcW w:w="3069" w:type="dxa"/>
            <w:shd w:val="clear" w:color="auto" w:fill="F7F7F7"/>
          </w:tcPr>
          <w:p>
            <w:pPr>
              <w:pStyle w:val="Tabla9"/>
              <w:jc w:val="left"/>
            </w:pPr>
            <w:r>
              <w:t xml:space="preserve">Cierre oficial de la presentación de proyectos</w:t>
            </w:r>
          </w:p>
        </w:tc>
        <w:tc>
          <w:tcPr>
            <w:tcW w:w="2406" w:type="dxa"/>
            <w:shd w:val="clear" w:color="auto" w:fill="F7F7F7"/>
          </w:tcPr>
          <w:p>
            <w:pPr>
              <w:pStyle w:val="Tabla9"/>
              <w:jc w:val="left"/>
            </w:pPr>
            <w:r>
              <w:t xml:space="preserve">MinCiencias</w:t>
            </w:r>
          </w:p>
        </w:tc>
        <w:tc>
          <w:tcPr>
            <w:tcW w:w="2571" w:type="dxa"/>
            <w:shd w:val="clear" w:color="auto" w:fill="F7F7F7"/>
          </w:tcPr>
          <w:p>
            <w:pPr>
              <w:pStyle w:val="Tabla9"/>
              <w:jc w:val="left"/>
            </w:pPr>
            <w:r>
              <w:t xml:space="preserve">Fecha límite; no se usa como meta</w:t>
            </w:r>
          </w:p>
        </w:tc>
      </w:tr>
      <w:tr>
        <w:trPr>
          <w:cantSplit/>
        </w:trPr>
        <w:tc>
          <w:tcPr>
            <w:tcW w:w="1908" w:type="dxa"/>
          </w:tcPr>
          <w:p>
            <w:pPr>
              <w:pStyle w:val="Tabla9"/>
              <w:jc w:val="left"/>
            </w:pPr>
            <w:r>
              <w:t xml:space="preserve">4 al 9 de noviembre</w:t>
            </w:r>
          </w:p>
        </w:tc>
        <w:tc>
          <w:tcPr>
            <w:tcW w:w="3069" w:type="dxa"/>
          </w:tcPr>
          <w:p>
            <w:pPr>
              <w:pStyle w:val="Tabla9"/>
              <w:jc w:val="left"/>
            </w:pPr>
            <w:r>
              <w:t xml:space="preserve">Revisión de requisitos de participación por MinCiencias</w:t>
            </w:r>
          </w:p>
        </w:tc>
        <w:tc>
          <w:tcPr>
            <w:tcW w:w="2406" w:type="dxa"/>
          </w:tcPr>
          <w:p>
            <w:pPr>
              <w:pStyle w:val="Tabla9"/>
              <w:jc w:val="left"/>
            </w:pPr>
            <w:r>
              <w:t xml:space="preserve">MinCiencias</w:t>
            </w:r>
          </w:p>
        </w:tc>
        <w:tc>
          <w:tcPr>
            <w:tcW w:w="2571" w:type="dxa"/>
          </w:tcPr>
          <w:p>
            <w:pPr>
              <w:pStyle w:val="Tabla9"/>
              <w:jc w:val="left"/>
            </w:pPr>
            <w:r>
              <w:t xml:space="preserve">Observaciones en el SIGP</w:t>
            </w:r>
          </w:p>
        </w:tc>
      </w:tr>
      <w:tr>
        <w:trPr>
          <w:cantSplit/>
        </w:trPr>
        <w:tc>
          <w:tcPr>
            <w:tcW w:w="1908" w:type="dxa"/>
            <w:shd w:val="clear" w:color="auto" w:fill="F7F7F7"/>
          </w:tcPr>
          <w:p>
            <w:pPr>
              <w:pStyle w:val="Tabla9"/>
              <w:keepNext/>
              <w:jc w:val="left"/>
            </w:pPr>
            <w:r>
              <w:t xml:space="preserve">9 al 11 de noviembre, hasta las 4:00 p. m.</w:t>
            </w:r>
          </w:p>
        </w:tc>
        <w:tc>
          <w:tcPr>
            <w:tcW w:w="3069" w:type="dxa"/>
            <w:shd w:val="clear" w:color="auto" w:fill="F7F7F7"/>
          </w:tcPr>
          <w:p>
            <w:pPr>
              <w:pStyle w:val="Tabla9"/>
              <w:keepNext/>
              <w:jc w:val="left"/>
            </w:pPr>
            <w:r>
              <w:t xml:space="preserve">Ajuste de requisitos permitidos; no se subsana la omisión de un documento</w:t>
            </w:r>
          </w:p>
        </w:tc>
        <w:tc>
          <w:tcPr>
            <w:tcW w:w="2406" w:type="dxa"/>
            <w:shd w:val="clear" w:color="auto" w:fill="F7F7F7"/>
          </w:tcPr>
          <w:p>
            <w:pPr>
              <w:pStyle w:val="Tabla9"/>
              <w:keepNext/>
              <w:jc w:val="left"/>
            </w:pPr>
            <w:r>
              <w:t xml:space="preserve">Universidad</w:t>
            </w:r>
          </w:p>
        </w:tc>
        <w:tc>
          <w:tcPr>
            <w:tcW w:w="2571" w:type="dxa"/>
            <w:shd w:val="clear" w:color="auto" w:fill="F7F7F7"/>
          </w:tcPr>
          <w:p>
            <w:pPr>
              <w:pStyle w:val="Tabla9"/>
              <w:keepNext/>
              <w:jc w:val="left"/>
            </w:pPr>
            <w:r>
              <w:t xml:space="preserve">Ajustes cargados</w:t>
            </w:r>
          </w:p>
        </w:tc>
      </w:tr>
    </w:tbl>
    <w:p>
      <w:pPr>
        <w:pStyle w:val="TablaNota"/>
      </w:pPr>
      <w:r>
        <w:rPr>
          <w:i/>
          <w:iCs/>
        </w:rPr>
        <w:t xml:space="preserve">Nota.</w:t>
      </w:r>
      <w:r>
        <w:t xml:space="preserve"> </w:t>
      </w:r>
      <w:r>
        <w:t xml:space="preserve">Elaboración propia con el cronograma del numeral 21 de los términos de referencia. Las fechas oficiales son las de MinCiencias. Las fechas internas son una propuesta de la formulación.</w:t>
      </w:r>
    </w:p>
    <w:p>
      <w:pPr>
        <w:pStyle w:val="BodyText"/>
      </w:pPr>
      <w:r>
        <w:t xml:space="preserve">Cuatro riesgos de calendario merecen atención. El primero son los soportes de los numerales 10.20 y 10.21 de cada lugar de ejecución. Dependen de gobernaciones y alcaldías y no se subsanan. La mitigación es registrar solo los municipios con soporte en mano. El segundo son las firmas de los cuatro representantes legales, que dependen de agendas ajenas. La mitigación es solicitar las firmas desde el sábado 24 de octubre. El tercero es el límite de 3 MB por archivo en el SIGP, que obliga a probar la carga con anticipación. El cuarto es el certificado de existencia y representación legal, que no puede superar 90 días de antigüedad. La universidad lo verifica en la solicitud de soportes.</w:t>
      </w:r>
    </w:p>
    <w:bookmarkEnd w:id="30"/>
    <w:bookmarkStart w:id="31" w:name="Xaf631b6625c5d66e94ec1775cb0e9e4afe26de7"/>
    <w:p>
      <w:pPr>
        <w:pStyle w:val="Heading2"/>
      </w:pPr>
      <w:r>
        <w:t xml:space="preserve">S.6. Decisiones que la alianza debe confirmar</w:t>
      </w:r>
    </w:p>
    <w:p>
      <w:pPr>
        <w:pStyle w:val="FirstParagraph"/>
      </w:pPr>
      <w:r>
        <w:t xml:space="preserve">La Tabla S.8 lista las decisiones que cambian el texto, el presupuesto o los anexos. Cada una tiene una recomendación y una consecuencia. Ninguna se toma de forma implícita.</w:t>
      </w:r>
    </w:p>
    <w:p>
      <w:pPr>
        <w:pStyle w:val="TablaRotulo"/>
      </w:pPr>
      <w:bookmarkStart w:id="9008" w:name="rot_Tabla_S_8"/>
      <w:r>
        <w:rPr>
          <w:b/>
          <w:bCs/>
        </w:rPr>
        <w:t xml:space="preserve">Tabla S.8</w:t>
      </w:r>
      <w:bookmarkEnd w:id="9008"/>
    </w:p>
    <w:p>
      <w:pPr>
        <w:pStyle w:val="TablaTitulo"/>
      </w:pPr>
      <w:r>
        <w:rPr>
          <w:i/>
          <w:iCs/>
        </w:rPr>
        <w:t xml:space="preserve">Decisiones que la alianza debe confirmar y su consecuencia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650"/>
        <w:gridCol w:w="3567"/>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Decisión</w:t>
            </w:r>
          </w:p>
        </w:tc>
        <w:tc>
          <w:tcPr>
            <w:tcW w:w="3650" w:type="dxa"/>
            <w:tcBorders>
              <w:bottom w:val="single" w:sz="12" w:space="0" w:color="6699CC"/>
            </w:tcBorders>
            <w:shd w:val="clear" w:color="auto" w:fill="B9D9EB"/>
          </w:tcPr>
          <w:p>
            <w:pPr>
              <w:pStyle w:val="Tabla9"/>
              <w:keepNext/>
              <w:jc w:val="left"/>
            </w:pPr>
            <w:r>
              <w:rPr>
                <w:b/>
              </w:rPr>
              <w:t xml:space="preserve">Recomendación</w:t>
            </w:r>
          </w:p>
        </w:tc>
        <w:tc>
          <w:tcPr>
            <w:tcW w:w="3567" w:type="dxa"/>
            <w:tcBorders>
              <w:bottom w:val="single" w:sz="12" w:space="0" w:color="6699CC"/>
            </w:tcBorders>
            <w:shd w:val="clear" w:color="auto" w:fill="B9D9EB"/>
          </w:tcPr>
          <w:p>
            <w:pPr>
              <w:pStyle w:val="Tabla9"/>
              <w:keepNext/>
              <w:jc w:val="left"/>
            </w:pPr>
            <w:r>
              <w:rPr>
                <w:b/>
              </w:rPr>
              <w:t xml:space="preserve">Consecuencia si cambia</w:t>
            </w:r>
          </w:p>
        </w:tc>
      </w:tr>
      <w:tr>
        <w:trPr>
          <w:cantSplit/>
        </w:trPr>
        <w:tc>
          <w:tcPr>
            <w:tcW w:w="2737" w:type="dxa"/>
          </w:tcPr>
          <w:p>
            <w:pPr>
              <w:pStyle w:val="Tabla9"/>
              <w:jc w:val="left"/>
            </w:pPr>
            <w:r>
              <w:t xml:space="preserve">Lugares de ejecución que se registran en el SIGP</w:t>
            </w:r>
          </w:p>
        </w:tc>
        <w:tc>
          <w:tcPr>
            <w:tcW w:w="3650" w:type="dxa"/>
          </w:tcPr>
          <w:p>
            <w:pPr>
              <w:pStyle w:val="Tabla9"/>
              <w:jc w:val="left"/>
            </w:pPr>
            <w:r>
              <w:t xml:space="preserve">Registrar solo los municipios que reúnen, al radicar, el reporte de afectación, la cobertura del Decreto 1171 de 2026 o un acto local, el certificado del numeral 10.21 y el compromiso de uso del comité; conservar al menos dos departamentos</w:t>
            </w:r>
          </w:p>
        </w:tc>
        <w:tc>
          <w:tcPr>
            <w:tcW w:w="3567" w:type="dxa"/>
          </w:tcPr>
          <w:p>
            <w:pPr>
              <w:pStyle w:val="Tabla9"/>
              <w:jc w:val="left"/>
            </w:pPr>
            <w:r>
              <w:t xml:space="preserve">Un soporte faltante en un solo lugar de ejecución hace que el requisito no se cumpla y el proyecto no continúa; con menos municipios o departamentos cambian los nodos, los comités y el presupuesto por departamento, y con un solo departamento se pierden los 3 puntos del subcriterio 2.2</w:t>
            </w:r>
          </w:p>
        </w:tc>
      </w:tr>
      <w:tr>
        <w:trPr>
          <w:cantSplit/>
        </w:trPr>
        <w:tc>
          <w:tcPr>
            <w:tcW w:w="2737" w:type="dxa"/>
            <w:shd w:val="clear" w:color="auto" w:fill="F7F7F7"/>
          </w:tcPr>
          <w:p>
            <w:pPr>
              <w:pStyle w:val="Tabla9"/>
              <w:jc w:val="left"/>
            </w:pPr>
            <w:r>
              <w:t xml:space="preserve">Departamento del municipio aliado</w:t>
            </w:r>
          </w:p>
        </w:tc>
        <w:tc>
          <w:tcPr>
            <w:tcW w:w="3650" w:type="dxa"/>
            <w:shd w:val="clear" w:color="auto" w:fill="F7F7F7"/>
          </w:tcPr>
          <w:p>
            <w:pPr>
              <w:pStyle w:val="Tabla9"/>
              <w:jc w:val="left"/>
            </w:pPr>
            <w:r>
              <w:t xml:space="preserve">Uno de los tres departamentos de intervención, entre los 12 municipios</w:t>
            </w:r>
          </w:p>
        </w:tc>
        <w:tc>
          <w:tcPr>
            <w:tcW w:w="3567" w:type="dxa"/>
            <w:shd w:val="clear" w:color="auto" w:fill="F7F7F7"/>
          </w:tcPr>
          <w:p>
            <w:pPr>
              <w:pStyle w:val="Tabla9"/>
              <w:jc w:val="left"/>
            </w:pPr>
            <w:r>
              <w:t xml:space="preserve">Si es de Risaralda, el proyecto pasa a cuatro departamentos y se redistribuyen nodos, comités y presupuesto</w:t>
            </w:r>
          </w:p>
        </w:tc>
      </w:tr>
      <w:tr>
        <w:trPr>
          <w:cantSplit/>
        </w:trPr>
        <w:tc>
          <w:tcPr>
            <w:tcW w:w="2737" w:type="dxa"/>
          </w:tcPr>
          <w:p>
            <w:pPr>
              <w:pStyle w:val="Tabla9"/>
              <w:jc w:val="left"/>
            </w:pPr>
            <w:r>
              <w:t xml:space="preserve">Valor del aporte del actor del SNCTI</w:t>
            </w:r>
          </w:p>
        </w:tc>
        <w:tc>
          <w:tcPr>
            <w:tcW w:w="3650" w:type="dxa"/>
          </w:tcPr>
          <w:p>
            <w:pPr>
              <w:pStyle w:val="Tabla9"/>
              <w:jc w:val="left"/>
            </w:pPr>
            <w:r>
              <w:t xml:space="preserve">Cuantificarlo en especie con horas de investigadores y uso de laboratorio, con un método de valoración verificable; cada integrante debe aportar contrapartida</w:t>
            </w:r>
          </w:p>
        </w:tc>
        <w:tc>
          <w:tcPr>
            <w:tcW w:w="3567" w:type="dxa"/>
          </w:tcPr>
          <w:p>
            <w:pPr>
              <w:pStyle w:val="Tabla9"/>
              <w:jc w:val="left"/>
            </w:pPr>
            <w:r>
              <w:t xml:space="preserve">La contrapartida total aumenta; el valor solicitado al SGR no cambia</w:t>
            </w:r>
          </w:p>
        </w:tc>
      </w:tr>
      <w:tr>
        <w:trPr>
          <w:cantSplit/>
        </w:trPr>
        <w:tc>
          <w:tcPr>
            <w:tcW w:w="2737" w:type="dxa"/>
            <w:shd w:val="clear" w:color="auto" w:fill="F7F7F7"/>
          </w:tcPr>
          <w:p>
            <w:pPr>
              <w:pStyle w:val="Tabla9"/>
              <w:jc w:val="left"/>
            </w:pPr>
            <w:r>
              <w:t xml:space="preserve">Titularidad de los bienes y de los resultados</w:t>
            </w:r>
          </w:p>
        </w:tc>
        <w:tc>
          <w:tcPr>
            <w:tcW w:w="3650" w:type="dxa"/>
            <w:shd w:val="clear" w:color="auto" w:fill="F7F7F7"/>
          </w:tcPr>
          <w:p>
            <w:pPr>
              <w:pStyle w:val="Tabla9"/>
              <w:jc w:val="left"/>
            </w:pPr>
            <w:r>
              <w:t xml:space="preserve">Concertarla en el convenio de la alianza antes de la firma</w:t>
            </w:r>
          </w:p>
        </w:tc>
        <w:tc>
          <w:tcPr>
            <w:tcW w:w="3567" w:type="dxa"/>
            <w:shd w:val="clear" w:color="auto" w:fill="F7F7F7"/>
          </w:tcPr>
          <w:p>
            <w:pPr>
              <w:pStyle w:val="Tabla9"/>
              <w:jc w:val="left"/>
            </w:pPr>
            <w:r>
              <w:t xml:space="preserve">Condiciona el certificado del numeral 10.19</w:t>
            </w:r>
          </w:p>
        </w:tc>
      </w:tr>
      <w:tr>
        <w:trPr>
          <w:cantSplit/>
        </w:trPr>
        <w:tc>
          <w:tcPr>
            <w:tcW w:w="2737" w:type="dxa"/>
          </w:tcPr>
          <w:p>
            <w:pPr>
              <w:pStyle w:val="Tabla9"/>
              <w:jc w:val="left"/>
            </w:pPr>
            <w:r>
              <w:t xml:space="preserve">Nivel de madurez comprometido</w:t>
            </w:r>
          </w:p>
        </w:tc>
        <w:tc>
          <w:tcPr>
            <w:tcW w:w="3650" w:type="dxa"/>
          </w:tcPr>
          <w:p>
            <w:pPr>
              <w:pStyle w:val="Tabla9"/>
              <w:jc w:val="left"/>
            </w:pPr>
            <w:r>
              <w:t xml:space="preserve">TRL 8 con evidencia en el mes 23, que vale 8 de los 13 puntos del subcriterio 3.1</w:t>
            </w:r>
          </w:p>
        </w:tc>
        <w:tc>
          <w:tcPr>
            <w:tcW w:w="3567" w:type="dxa"/>
          </w:tcPr>
          <w:p>
            <w:pPr>
              <w:pStyle w:val="Tabla9"/>
              <w:jc w:val="left"/>
            </w:pPr>
            <w:r>
              <w:t xml:space="preserve">El TRL 9 vale 13 puntos y exige funcionamiento y aplicación efectiva en condiciones reales; el proyecto no lo compromete porque no alcanza a demostrarlo en 24 meses</w:t>
            </w:r>
          </w:p>
        </w:tc>
      </w:tr>
      <w:tr>
        <w:trPr>
          <w:cantSplit/>
        </w:trPr>
        <w:tc>
          <w:tcPr>
            <w:tcW w:w="2737" w:type="dxa"/>
            <w:shd w:val="clear" w:color="auto" w:fill="F7F7F7"/>
          </w:tcPr>
          <w:p>
            <w:pPr>
              <w:pStyle w:val="Tabla9"/>
              <w:jc w:val="left"/>
            </w:pPr>
            <w:r>
              <w:t xml:space="preserve">Criterio de aceptación de las compuertas</w:t>
            </w:r>
          </w:p>
        </w:tc>
        <w:tc>
          <w:tcPr>
            <w:tcW w:w="3650" w:type="dxa"/>
            <w:shd w:val="clear" w:color="auto" w:fill="F7F7F7"/>
          </w:tcPr>
          <w:p>
            <w:pPr>
              <w:pStyle w:val="Tabla9"/>
              <w:jc w:val="left"/>
            </w:pPr>
            <w:r>
              <w:t xml:space="preserve">Promedios de 24 horas como criterio principal y desempeño horario como secundario</w:t>
            </w:r>
          </w:p>
        </w:tc>
        <w:tc>
          <w:tcPr>
            <w:tcW w:w="3567" w:type="dxa"/>
            <w:shd w:val="clear" w:color="auto" w:fill="F7F7F7"/>
          </w:tcPr>
          <w:p>
            <w:pPr>
              <w:pStyle w:val="Tabla9"/>
              <w:jc w:val="left"/>
            </w:pPr>
            <w:r>
              <w:t xml:space="preserve">El tablero restringe las alertas a promedios de 24 horas si el desempeño horario no cumple</w:t>
            </w:r>
          </w:p>
        </w:tc>
      </w:tr>
      <w:tr>
        <w:trPr>
          <w:cantSplit/>
        </w:trPr>
        <w:tc>
          <w:tcPr>
            <w:tcW w:w="2737" w:type="dxa"/>
          </w:tcPr>
          <w:p>
            <w:pPr>
              <w:pStyle w:val="Tabla9"/>
              <w:jc w:val="left"/>
            </w:pPr>
            <w:r>
              <w:t xml:space="preserve">Demanda territorial</w:t>
            </w:r>
          </w:p>
        </w:tc>
        <w:tc>
          <w:tcPr>
            <w:tcW w:w="3650" w:type="dxa"/>
          </w:tcPr>
          <w:p>
            <w:pPr>
              <w:pStyle w:val="Tabla9"/>
              <w:jc w:val="left"/>
            </w:pPr>
            <w:r>
              <w:t xml:space="preserve">Código del Anexo 4 si existe, o nueva demanda con reportes oficiales</w:t>
            </w:r>
          </w:p>
        </w:tc>
        <w:tc>
          <w:tcPr>
            <w:tcW w:w="3567" w:type="dxa"/>
          </w:tcPr>
          <w:p>
            <w:pPr>
              <w:pStyle w:val="Tabla9"/>
              <w:jc w:val="left"/>
            </w:pPr>
            <w:r>
              <w:t xml:space="preserve">Cambia la sección 8 y los soportes de la subsección 4.1.4</w:t>
            </w:r>
          </w:p>
        </w:tc>
      </w:tr>
      <w:tr>
        <w:trPr>
          <w:cantSplit/>
        </w:trPr>
        <w:tc>
          <w:tcPr>
            <w:tcW w:w="2737" w:type="dxa"/>
            <w:shd w:val="clear" w:color="auto" w:fill="F7F7F7"/>
          </w:tcPr>
          <w:p>
            <w:pPr>
              <w:pStyle w:val="Tabla9"/>
              <w:jc w:val="left"/>
            </w:pPr>
            <w:r>
              <w:t xml:space="preserve">Sede y validación del laboratorio de modelación</w:t>
            </w:r>
          </w:p>
        </w:tc>
        <w:tc>
          <w:tcPr>
            <w:tcW w:w="3650" w:type="dxa"/>
            <w:shd w:val="clear" w:color="auto" w:fill="F7F7F7"/>
          </w:tcPr>
          <w:p>
            <w:pPr>
              <w:pStyle w:val="Tabla9"/>
              <w:jc w:val="left"/>
            </w:pPr>
            <w:r>
              <w:t xml:space="preserve">Ubicarlo en un municipio afectado que sea lugar de ejecución, en el campus de la universidad si está en uno o en instalaciones del municipio aliado; la universidad lo valida</w:t>
            </w:r>
          </w:p>
        </w:tc>
        <w:tc>
          <w:tcPr>
            <w:tcW w:w="3567" w:type="dxa"/>
            <w:shd w:val="clear" w:color="auto" w:fill="F7F7F7"/>
          </w:tcPr>
          <w:p>
            <w:pPr>
              <w:pStyle w:val="Tabla9"/>
              <w:jc w:val="left"/>
            </w:pPr>
            <w:r>
              <w:t xml:space="preserve">Los TdR no financian equipos fuera de municipios afectados; si la sede es el municipio, cambian la contrapartida del laboratorio, la custodia del servidor y el soporte técnico, y la validación sigue a cargo de la universidad</w:t>
            </w:r>
          </w:p>
        </w:tc>
      </w:tr>
      <w:tr>
        <w:trPr>
          <w:cantSplit/>
        </w:trPr>
        <w:tc>
          <w:tcPr>
            <w:tcW w:w="2737" w:type="dxa"/>
          </w:tcPr>
          <w:p>
            <w:pPr>
              <w:pStyle w:val="Tabla9"/>
              <w:jc w:val="left"/>
            </w:pPr>
            <w:r>
              <w:t xml:space="preserve">Valor del laboratorio de modelación</w:t>
            </w:r>
          </w:p>
        </w:tc>
        <w:tc>
          <w:tcPr>
            <w:tcW w:w="3650" w:type="dxa"/>
          </w:tcPr>
          <w:p>
            <w:pPr>
              <w:pStyle w:val="Tabla9"/>
              <w:jc w:val="left"/>
            </w:pPr>
            <w:r>
              <w:t xml:space="preserve">Cotizar servidor, estaciones meteorológicas, dron y monitores portátiles, y pedir licencias de pago único; el estimado es $ 1.671.500.000 del SGR</w:t>
            </w:r>
          </w:p>
        </w:tc>
        <w:tc>
          <w:tcPr>
            <w:tcW w:w="3567" w:type="dxa"/>
          </w:tcPr>
          <w:p>
            <w:pPr>
              <w:pStyle w:val="Tabla9"/>
              <w:jc w:val="left"/>
            </w:pPr>
            <w:r>
              <w:t xml:space="preserve">Si las cotizaciones superan el estimado, aumenta el valor solicitado dentro del tope; si un proveedor solo ofrece suscripción, se usa software de código abierto porque el SGR no financia suscripciones</w:t>
            </w:r>
          </w:p>
        </w:tc>
      </w:tr>
      <w:tr>
        <w:trPr>
          <w:cantSplit/>
        </w:trPr>
        <w:tc>
          <w:tcPr>
            <w:tcW w:w="2737" w:type="dxa"/>
            <w:shd w:val="clear" w:color="auto" w:fill="F7F7F7"/>
          </w:tcPr>
          <w:p>
            <w:pPr>
              <w:pStyle w:val="Tabla9"/>
              <w:jc w:val="left"/>
            </w:pPr>
            <w:r>
              <w:t xml:space="preserve">Título del proyecto y número de objetivos</w:t>
            </w:r>
          </w:p>
        </w:tc>
        <w:tc>
          <w:tcPr>
            <w:tcW w:w="3650" w:type="dxa"/>
            <w:shd w:val="clear" w:color="auto" w:fill="F7F7F7"/>
          </w:tcPr>
          <w:p>
            <w:pPr>
              <w:pStyle w:val="Tabla9"/>
              <w:jc w:val="left"/>
            </w:pPr>
            <w:r>
              <w:t xml:space="preserve">Mantener tres objetivos específicos y nombrar el gemelo predictivo de demolición en el título</w:t>
            </w:r>
          </w:p>
        </w:tc>
        <w:tc>
          <w:tcPr>
            <w:tcW w:w="3567" w:type="dxa"/>
            <w:shd w:val="clear" w:color="auto" w:fill="F7F7F7"/>
          </w:tcPr>
          <w:p>
            <w:pPr>
              <w:pStyle w:val="Tabla9"/>
              <w:jc w:val="left"/>
            </w:pPr>
            <w:r>
              <w:t xml:space="preserve">Si se conserva el título anterior, el laboratorio se declara en el alcance y no en el nombre</w:t>
            </w:r>
          </w:p>
        </w:tc>
      </w:tr>
      <w:tr>
        <w:trPr>
          <w:cantSplit/>
        </w:trPr>
        <w:tc>
          <w:tcPr>
            <w:tcW w:w="2737" w:type="dxa"/>
          </w:tcPr>
          <w:p>
            <w:pPr>
              <w:pStyle w:val="Tabla9"/>
              <w:jc w:val="left"/>
            </w:pPr>
            <w:r>
              <w:t xml:space="preserve">Acceso a demoliciones reales para validar</w:t>
            </w:r>
          </w:p>
        </w:tc>
        <w:tc>
          <w:tcPr>
            <w:tcW w:w="3650" w:type="dxa"/>
          </w:tcPr>
          <w:p>
            <w:pPr>
              <w:pStyle w:val="Tabla9"/>
              <w:jc w:val="left"/>
            </w:pPr>
            <w:r>
              <w:t xml:space="preserve">Acuerdo previo con los comités para anunciar cada demolición con 15 días de antelación</w:t>
            </w:r>
          </w:p>
        </w:tc>
        <w:tc>
          <w:tcPr>
            <w:tcW w:w="3567" w:type="dxa"/>
          </w:tcPr>
          <w:p>
            <w:pPr>
              <w:pStyle w:val="Tabla9"/>
              <w:jc w:val="left"/>
            </w:pPr>
            <w:r>
              <w:t xml:space="preserve">Con menos de seis eventos válidos, la validación se limita a los eventos disponibles y se declara el dominio del modelo</w:t>
            </w:r>
          </w:p>
        </w:tc>
      </w:tr>
      <w:tr>
        <w:trPr>
          <w:cantSplit/>
        </w:trPr>
        <w:tc>
          <w:tcPr>
            <w:tcW w:w="2737" w:type="dxa"/>
            <w:shd w:val="clear" w:color="auto" w:fill="F7F7F7"/>
          </w:tcPr>
          <w:p>
            <w:pPr>
              <w:pStyle w:val="Tabla9"/>
              <w:jc w:val="left"/>
            </w:pPr>
            <w:r>
              <w:t xml:space="preserve">Ratificación de las fichas del Anexo A</w:t>
            </w:r>
          </w:p>
        </w:tc>
        <w:tc>
          <w:tcPr>
            <w:tcW w:w="3650" w:type="dxa"/>
            <w:shd w:val="clear" w:color="auto" w:fill="F7F7F7"/>
          </w:tcPr>
          <w:p>
            <w:pPr>
              <w:pStyle w:val="Tabla9"/>
              <w:jc w:val="left"/>
            </w:pPr>
            <w:r>
              <w:t xml:space="preserve">Sesión técnica con acta antes de radicar, que comience por los vínculos de mayor efecto</w:t>
            </w:r>
          </w:p>
        </w:tc>
        <w:tc>
          <w:tcPr>
            <w:tcW w:w="3567" w:type="dxa"/>
            <w:shd w:val="clear" w:color="auto" w:fill="F7F7F7"/>
          </w:tcPr>
          <w:p>
            <w:pPr>
              <w:pStyle w:val="Tabla9"/>
              <w:jc w:val="left"/>
            </w:pPr>
            <w:r>
              <w:t xml:space="preserve">Sin ratificación, el Anexo A declara que los juicios son de formulación</w:t>
            </w:r>
          </w:p>
        </w:tc>
      </w:tr>
      <w:tr>
        <w:trPr>
          <w:cantSplit/>
        </w:trPr>
        <w:tc>
          <w:tcPr>
            <w:tcW w:w="2737" w:type="dxa"/>
          </w:tcPr>
          <w:p>
            <w:pPr>
              <w:pStyle w:val="Tabla9"/>
              <w:keepNext/>
              <w:jc w:val="left"/>
            </w:pPr>
            <w:r>
              <w:t xml:space="preserve">Diseño con asignación aleatoria de la calibración</w:t>
            </w:r>
          </w:p>
        </w:tc>
        <w:tc>
          <w:tcPr>
            <w:tcW w:w="3650" w:type="dxa"/>
          </w:tcPr>
          <w:p>
            <w:pPr>
              <w:pStyle w:val="Tabla9"/>
              <w:keepNext/>
              <w:jc w:val="left"/>
            </w:pPr>
            <w:r>
              <w:t xml:space="preserve">Mantener el diseño de validación vigente; evaluar el sorteo semanal solo si el equipo técnico lo considera viable</w:t>
            </w:r>
          </w:p>
        </w:tc>
        <w:tc>
          <w:tcPr>
            <w:tcW w:w="3567" w:type="dxa"/>
          </w:tcPr>
          <w:p>
            <w:pPr>
              <w:pStyle w:val="Tabla9"/>
              <w:keepNext/>
              <w:jc w:val="left"/>
            </w:pPr>
            <w:r>
              <w:t xml:space="preserve">Con el sorteo, el efecto de la calibración sobre el error pasaría de hipótesis a efecto identificable</w:t>
            </w:r>
          </w:p>
        </w:tc>
      </w:tr>
    </w:tbl>
    <w:p>
      <w:pPr>
        <w:pStyle w:val="TablaNota"/>
      </w:pPr>
      <w:r>
        <w:rPr>
          <w:i/>
          <w:iCs/>
        </w:rPr>
        <w:t xml:space="preserve">Nota.</w:t>
      </w:r>
      <w:r>
        <w:t xml:space="preserve"> </w:t>
      </w:r>
      <w:r>
        <w:t xml:space="preserve">Elaboración propia con la formulación del proyecto y los términos de referencia.</w:t>
      </w:r>
    </w:p>
    <w:bookmarkEnd w:id="31"/>
    <w:bookmarkStart w:id="32" w:name="s.7.-datos-pendientes-del-documento"/>
    <w:p>
      <w:pPr>
        <w:pStyle w:val="Heading2"/>
      </w:pPr>
      <w:r>
        <w:t xml:space="preserve">S.7. Datos pendientes del documento</w:t>
      </w:r>
    </w:p>
    <w:p>
      <w:pPr>
        <w:pStyle w:val="FirstParagraph"/>
      </w:pPr>
      <w:r>
        <w:t xml:space="preserve">La Tabla S.9 reúne todos los datos que solo la alianza puede aportar. Aparecen en el texto con la marca </w:t>
      </w:r>
      <w:r>
        <w:rPr>
          <w:color w:val="00B050"/>
        </w:rPr>
        <w:t xml:space="preserve">[Diligenciar: descripción]</w:t>
      </w:r>
      <w:r>
        <w:t xml:space="preserve">, en color verde, como indica la plantilla del Anexo 2. La tabla ordena los datos por sección y sugiere quién los aporta. Completar esta tabla es la tarea principal de las semanas previas al cierre.</w:t>
      </w:r>
    </w:p>
    <w:p>
      <w:pPr>
        <w:pStyle w:val="TablaRotulo"/>
      </w:pPr>
      <w:bookmarkStart w:id="9009" w:name="rot_Tabla_S_9"/>
      <w:r>
        <w:rPr>
          <w:b/>
          <w:bCs/>
        </w:rPr>
        <w:t xml:space="preserve">Tabla S.9</w:t>
      </w:r>
      <w:bookmarkEnd w:id="9009"/>
    </w:p>
    <w:p>
      <w:pPr>
        <w:pStyle w:val="TablaTitulo"/>
      </w:pPr>
      <w:r>
        <w:rPr>
          <w:i/>
          <w:iCs/>
        </w:rPr>
        <w:t xml:space="preserve">Datos pendientes del documento, secciones donde aparecen y responsable sugerido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62"/>
        <w:gridCol w:w="1825"/>
        <w:gridCol w:w="3567"/>
      </w:tblGrid>
      <w:tr>
        <w:trPr>
          <w:cantSplit/>
          <w:tblHeader w:val="true"/>
          <w:tblHeader/>
        </w:trPr>
        <w:tc>
          <w:tcPr>
            <w:tcW w:w="4562" w:type="dxa"/>
            <w:tcBorders>
              <w:bottom w:val="single" w:sz="12" w:space="0" w:color="6699CC"/>
            </w:tcBorders>
            <w:shd w:val="clear" w:color="auto" w:fill="B9D9EB"/>
          </w:tcPr>
          <w:p>
            <w:pPr>
              <w:pStyle w:val="Tabla9"/>
              <w:keepNext/>
              <w:jc w:val="left"/>
            </w:pPr>
            <w:r>
              <w:rPr>
                <w:b/>
              </w:rPr>
              <w:t xml:space="preserve">Dato pendiente</w:t>
            </w:r>
          </w:p>
        </w:tc>
        <w:tc>
          <w:tcPr>
            <w:tcW w:w="1825" w:type="dxa"/>
            <w:tcBorders>
              <w:bottom w:val="single" w:sz="12" w:space="0" w:color="6699CC"/>
            </w:tcBorders>
            <w:shd w:val="clear" w:color="auto" w:fill="B9D9EB"/>
          </w:tcPr>
          <w:p>
            <w:pPr>
              <w:pStyle w:val="Tabla9"/>
              <w:keepNext/>
              <w:jc w:val="left"/>
            </w:pPr>
            <w:r>
              <w:rPr>
                <w:b/>
              </w:rPr>
              <w:t xml:space="preserve">Secciones</w:t>
            </w:r>
          </w:p>
        </w:tc>
        <w:tc>
          <w:tcPr>
            <w:tcW w:w="3567" w:type="dxa"/>
            <w:tcBorders>
              <w:bottom w:val="single" w:sz="12" w:space="0" w:color="6699CC"/>
            </w:tcBorders>
            <w:shd w:val="clear" w:color="auto" w:fill="B9D9EB"/>
          </w:tcPr>
          <w:p>
            <w:pPr>
              <w:pStyle w:val="Tabla9"/>
              <w:keepNext/>
              <w:jc w:val="left"/>
            </w:pPr>
            <w:r>
              <w:rPr>
                <w:b/>
              </w:rPr>
              <w:t xml:space="preserve">Responsable sugerido</w:t>
            </w:r>
          </w:p>
        </w:tc>
      </w:tr>
      <w:tr>
        <w:trPr>
          <w:cantSplit/>
        </w:trPr>
        <w:tc>
          <w:tcPr>
            <w:tcW w:w="4562" w:type="dxa"/>
          </w:tcPr>
          <w:p>
            <w:pPr>
              <w:pStyle w:val="Tabla9"/>
              <w:jc w:val="left"/>
            </w:pPr>
            <w:r>
              <w:t xml:space="preserve">IES ejecutora</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Centro o instituto de CTeI, instituto del SINA u otra categoría del formulario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Centro poblado de cada municipio</w:t>
            </w:r>
          </w:p>
        </w:tc>
        <w:tc>
          <w:tcPr>
            <w:tcW w:w="1825" w:type="dxa"/>
          </w:tcPr>
          <w:p>
            <w:pPr>
              <w:pStyle w:val="Tabla9"/>
              <w:jc w:val="left"/>
            </w:pPr>
            <w:r>
              <w:t xml:space="preserve">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Confirmar el departamento del municipio aliado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Confirmar la región con el Anexo 8</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Confirmar que ningún sitio se encuentra en un resguardo indígena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Código asignado por la plataforma SIGP</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Código y nombre de la demanda del Anexo 4 que atiende el proyecto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Líneas del grupo en calidad del aire, IoT, modelación atmosférica o gestión del riesgo</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empresa tecnológica aliada</w:t>
            </w:r>
          </w:p>
        </w:tc>
        <w:tc>
          <w:tcPr>
            <w:tcW w:w="1825" w:type="dxa"/>
            <w:shd w:val="clear" w:color="auto" w:fill="F7F7F7"/>
          </w:tcPr>
          <w:p>
            <w:pPr>
              <w:pStyle w:val="Tabla9"/>
              <w:jc w:val="left"/>
            </w:pPr>
            <w:r>
              <w:t xml:space="preserve">1, 10</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Nombre de la universidad ejecutora</w:t>
            </w:r>
          </w:p>
        </w:tc>
        <w:tc>
          <w:tcPr>
            <w:tcW w:w="1825" w:type="dxa"/>
          </w:tcPr>
          <w:p>
            <w:pPr>
              <w:pStyle w:val="Tabla9"/>
              <w:jc w:val="left"/>
            </w:pPr>
            <w:r>
              <w:t xml:space="preserve">1, 26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los 12 municipios afectados por la emergencia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del actor del SNCTI aliado</w:t>
            </w:r>
          </w:p>
        </w:tc>
        <w:tc>
          <w:tcPr>
            <w:tcW w:w="1825" w:type="dxa"/>
          </w:tcPr>
          <w:p>
            <w:pPr>
              <w:pStyle w:val="Tabla9"/>
              <w:jc w:val="left"/>
            </w:pPr>
            <w:r>
              <w:t xml:space="preserve">1</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 del grupo, categoría A1, A, B o C</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del municipio aliado</w:t>
            </w:r>
          </w:p>
        </w:tc>
        <w:tc>
          <w:tcPr>
            <w:tcW w:w="1825" w:type="dxa"/>
          </w:tcPr>
          <w:p>
            <w:pPr>
              <w:pStyle w:val="Tabla9"/>
              <w:jc w:val="left"/>
            </w:pPr>
            <w:r>
              <w:t xml:space="preserve">1, 19, 26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Nombres</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investigadores y nivel de formación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Número y fecha del reconocimiento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Reportes oficiales que se adjuntan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Sede del laboratorio, en un municipio afectado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Autoridad ambiental o entidad sectorial</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Catalizador de las Bases del Plan Nacional de Desarrollo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de gestión del riesgo que lo expide</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Estrategia de cada plan departamental con la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municipal con la que se alinea el proyecto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Gobernación o alcaldía</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Gobernación o alcaldía que lo expide</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Gobernación o alcaldía que suscribió el plan de acción</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 los planes municipales vigentes de los 12 municipios</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Pilar de las Bases del Plan Nacional de Desarrollo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Programa del Plan Nacional de Desarrollo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Programa departamental con el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Cronograma de remoción de escombros por municipio</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Código de la demanda en el Anexo 4</w:t>
            </w:r>
          </w:p>
        </w:tc>
        <w:tc>
          <w:tcPr>
            <w:tcW w:w="1825" w:type="dxa"/>
            <w:shd w:val="clear" w:color="auto" w:fill="F7F7F7"/>
          </w:tcPr>
          <w:p>
            <w:pPr>
              <w:pStyle w:val="Tabla9"/>
              <w:jc w:val="left"/>
            </w:pPr>
            <w:r>
              <w:t xml:space="preserve">5, 9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Estaciones de aire existentes en los 12 municipios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Estaciones existentes en los 12 municipios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Monitoreo previo de aire en los municipios focalizados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Municipios y centros poblados de Caldas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Municipios y centros poblados de Cundinamarca</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Municipios y centros poblados del Valle del Cauca</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los 12 municipios y centros poblados</w:t>
            </w:r>
          </w:p>
        </w:tc>
        <w:tc>
          <w:tcPr>
            <w:tcW w:w="1825" w:type="dxa"/>
          </w:tcPr>
          <w:p>
            <w:pPr>
              <w:pStyle w:val="Tabla9"/>
              <w:jc w:val="left"/>
            </w:pPr>
            <w:r>
              <w:t xml:space="preserve">5, 19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Número de personas expuestas por sitio</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Población afectada por municipio, con fuente oficial</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Reporte oficial de afectación del sismo</w:t>
            </w:r>
          </w:p>
        </w:tc>
        <w:tc>
          <w:tcPr>
            <w:tcW w:w="1825" w:type="dxa"/>
            <w:shd w:val="clear" w:color="auto" w:fill="F7F7F7"/>
          </w:tcPr>
          <w:p>
            <w:pPr>
              <w:pStyle w:val="Tabla9"/>
              <w:jc w:val="left"/>
            </w:pPr>
            <w:r>
              <w:t xml:space="preserve">5, 9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Artículo y programa de cada plan departamental</w:t>
            </w:r>
          </w:p>
        </w:tc>
        <w:tc>
          <w:tcPr>
            <w:tcW w:w="1825" w:type="dxa"/>
          </w:tcPr>
          <w:p>
            <w:pPr>
              <w:pStyle w:val="Tabla9"/>
              <w:jc w:val="left"/>
            </w:pPr>
            <w:r>
              <w:t xml:space="preserve">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Autoridades ambientales y redes por departamento</w:t>
            </w:r>
          </w:p>
        </w:tc>
        <w:tc>
          <w:tcPr>
            <w:tcW w:w="1825" w:type="dxa"/>
            <w:shd w:val="clear" w:color="auto" w:fill="F7F7F7"/>
          </w:tcPr>
          <w:p>
            <w:pPr>
              <w:pStyle w:val="Tabla9"/>
              <w:jc w:val="left"/>
            </w:pPr>
            <w:r>
              <w:t xml:space="preserve">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Monitoreo y emergencias previas por municipio</w:t>
            </w:r>
          </w:p>
        </w:tc>
        <w:tc>
          <w:tcPr>
            <w:tcW w:w="1825" w:type="dxa"/>
          </w:tcPr>
          <w:p>
            <w:pPr>
              <w:pStyle w:val="Tabla9"/>
              <w:jc w:val="left"/>
            </w:pPr>
            <w:r>
              <w:t xml:space="preserve">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Compromiso de la universidad de sostener el laboratorio de modelación tras el cierre</w:t>
            </w:r>
          </w:p>
        </w:tc>
        <w:tc>
          <w:tcPr>
            <w:tcW w:w="1825" w:type="dxa"/>
            <w:shd w:val="clear" w:color="auto" w:fill="F7F7F7"/>
          </w:tcPr>
          <w:p>
            <w:pPr>
              <w:pStyle w:val="Tabla9"/>
              <w:jc w:val="left"/>
            </w:pPr>
            <w:r>
              <w:t xml:space="preserve">7, 16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Cotizaciones vigentes de cada bien</w:t>
            </w:r>
          </w:p>
        </w:tc>
        <w:tc>
          <w:tcPr>
            <w:tcW w:w="1825" w:type="dxa"/>
          </w:tcPr>
          <w:p>
            <w:pPr>
              <w:pStyle w:val="Tabla9"/>
              <w:jc w:val="left"/>
            </w:pPr>
            <w:r>
              <w:t xml:space="preserve">7</w:t>
            </w:r>
          </w:p>
        </w:tc>
        <w:tc>
          <w:tcPr>
            <w:tcW w:w="3567" w:type="dxa"/>
          </w:tcPr>
          <w:p>
            <w:pPr>
              <w:pStyle w:val="Tabla9"/>
              <w:jc w:val="left"/>
            </w:pPr>
            <w:r>
              <w:t xml:space="preserve">Universidad, con la empresa y el actor del SNCTI</w:t>
            </w:r>
          </w:p>
        </w:tc>
      </w:tr>
      <w:tr>
        <w:trPr>
          <w:cantSplit/>
        </w:trPr>
        <w:tc>
          <w:tcPr>
            <w:tcW w:w="4562" w:type="dxa"/>
            <w:shd w:val="clear" w:color="auto" w:fill="F7F7F7"/>
          </w:tcPr>
          <w:p>
            <w:pPr>
              <w:pStyle w:val="Tabla9"/>
              <w:jc w:val="left"/>
            </w:pPr>
            <w:r>
              <w:t xml:space="preserve">Sede de esos equipos</w:t>
            </w:r>
          </w:p>
        </w:tc>
        <w:tc>
          <w:tcPr>
            <w:tcW w:w="1825" w:type="dxa"/>
            <w:shd w:val="clear" w:color="auto" w:fill="F7F7F7"/>
          </w:tcPr>
          <w:p>
            <w:pPr>
              <w:pStyle w:val="Tabla9"/>
              <w:jc w:val="left"/>
            </w:pPr>
            <w:r>
              <w:t xml:space="preserve">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Código de la demanda del Anexo 4</w:t>
            </w:r>
          </w:p>
        </w:tc>
        <w:tc>
          <w:tcPr>
            <w:tcW w:w="1825" w:type="dxa"/>
          </w:tcPr>
          <w:p>
            <w:pPr>
              <w:pStyle w:val="Tabla9"/>
              <w:jc w:val="left"/>
            </w:pPr>
            <w:r>
              <w:t xml:space="preserve">8</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Departamento del municipio aliado</w:t>
            </w:r>
          </w:p>
        </w:tc>
        <w:tc>
          <w:tcPr>
            <w:tcW w:w="1825" w:type="dxa"/>
            <w:shd w:val="clear" w:color="auto" w:fill="F7F7F7"/>
          </w:tcPr>
          <w:p>
            <w:pPr>
              <w:pStyle w:val="Tabla9"/>
              <w:jc w:val="left"/>
            </w:pPr>
            <w:r>
              <w:t xml:space="preserve">8</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y programa del plan</w:t>
            </w:r>
          </w:p>
        </w:tc>
        <w:tc>
          <w:tcPr>
            <w:tcW w:w="1825" w:type="dxa"/>
          </w:tcPr>
          <w:p>
            <w:pPr>
              <w:pStyle w:val="Tabla9"/>
              <w:jc w:val="left"/>
            </w:pPr>
            <w:r>
              <w:t xml:space="preserve">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Nombres de los 12 municipios</w:t>
            </w:r>
          </w:p>
        </w:tc>
        <w:tc>
          <w:tcPr>
            <w:tcW w:w="1825" w:type="dxa"/>
            <w:shd w:val="clear" w:color="auto" w:fill="F7F7F7"/>
          </w:tcPr>
          <w:p>
            <w:pPr>
              <w:pStyle w:val="Tabla9"/>
              <w:jc w:val="left"/>
            </w:pPr>
            <w:r>
              <w:t xml:space="preserve">8, 10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Reportes por municipio</w:t>
            </w:r>
          </w:p>
        </w:tc>
        <w:tc>
          <w:tcPr>
            <w:tcW w:w="1825" w:type="dxa"/>
          </w:tcPr>
          <w:p>
            <w:pPr>
              <w:pStyle w:val="Tabla9"/>
              <w:jc w:val="left"/>
            </w:pPr>
            <w:r>
              <w:t xml:space="preserve">8</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Acuerdo de propiedad intelectual de la alianza</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Certificado del plan de acción de cada lugar de ejecución</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Cobertura del decreto por municipio</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las entidades de la alianza</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Norma vigente de la Aeronáutica Civil y permiso de operación del dron</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Norma vigente y autoridad ambiental competente</w:t>
            </w:r>
          </w:p>
        </w:tc>
        <w:tc>
          <w:tcPr>
            <w:tcW w:w="1825" w:type="dxa"/>
          </w:tcPr>
          <w:p>
            <w:pPr>
              <w:pStyle w:val="Tabla9"/>
              <w:jc w:val="left"/>
            </w:pPr>
            <w:r>
              <w:t xml:space="preserve">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Política de tratamiento de datos de la entidad ejecutora</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Resolución de reconocimiento del actor del SNCTI</w:t>
            </w:r>
          </w:p>
        </w:tc>
        <w:tc>
          <w:tcPr>
            <w:tcW w:w="1825" w:type="dxa"/>
          </w:tcPr>
          <w:p>
            <w:pPr>
              <w:pStyle w:val="Tabla9"/>
              <w:jc w:val="left"/>
            </w:pPr>
            <w:r>
              <w:t xml:space="preserve">9</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Autoridades ambientales de los tres departamentos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Contratistas de remoción y de demolición en los sitios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Entidades custodias externas a la alianza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Laboratorios y evaluador externo contratados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IES ejecutora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 la empresa</w:t>
            </w:r>
          </w:p>
        </w:tc>
        <w:tc>
          <w:tcPr>
            <w:tcW w:w="1825" w:type="dxa"/>
          </w:tcPr>
          <w:p>
            <w:pPr>
              <w:pStyle w:val="Tabla9"/>
              <w:jc w:val="left"/>
            </w:pPr>
            <w:r>
              <w:t xml:space="preserve">10</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Nombre y departamento del municipio</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y departamento del municipio aliado</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número de reconocimiento del actor</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Nombre y número de reconocimiento del actor del SNCTI</w:t>
            </w:r>
          </w:p>
        </w:tc>
        <w:tc>
          <w:tcPr>
            <w:tcW w:w="1825" w:type="dxa"/>
          </w:tcPr>
          <w:p>
            <w:pPr>
              <w:pStyle w:val="Tabla9"/>
              <w:jc w:val="left"/>
            </w:pPr>
            <w:r>
              <w:t xml:space="preserve">10</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Nombres de las alcaldías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las entidades participantes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Número de operarios por sitio</w:t>
            </w:r>
          </w:p>
        </w:tc>
        <w:tc>
          <w:tcPr>
            <w:tcW w:w="1825" w:type="dxa"/>
            <w:shd w:val="clear" w:color="auto" w:fill="F7F7F7"/>
          </w:tcPr>
          <w:p>
            <w:pPr>
              <w:pStyle w:val="Tabla9"/>
              <w:jc w:val="left"/>
            </w:pPr>
            <w:r>
              <w:t xml:space="preserve">10, 11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Organizaciones de operarios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Población DANE de las zonas colindantes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Proveedores de equipos y de nube</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Valor certificado del aporte del actor del SNCTI</w:t>
            </w:r>
          </w:p>
        </w:tc>
        <w:tc>
          <w:tcPr>
            <w:tcW w:w="1825" w:type="dxa"/>
            <w:shd w:val="clear" w:color="auto" w:fill="F7F7F7"/>
          </w:tcPr>
          <w:p>
            <w:pPr>
              <w:pStyle w:val="Tabla9"/>
              <w:jc w:val="left"/>
            </w:pPr>
            <w:r>
              <w:t xml:space="preserve">10, 19, 26, 28</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Composición por sexo y edad de las 150 personas</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Estructura por sexo y edad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 los 12 municipios afectados</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Número de investigadores aportados por la IES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Personas con discapacidad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Personas en zonas colindantes por sitio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Población DANE de cada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Población DANE de los 12 municipios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Población urbana y rural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Porcentaje del equipo con enfoque diferencial, Anexo 12</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Reportes oficiales de afectación</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Reportes oficiales de afectación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Resguardos y consejos comunitarios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Cotización de al menos dos estudios de dispersión por demolición</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 con la empresa y el actor del SNCTI</w:t>
            </w:r>
          </w:p>
        </w:tc>
      </w:tr>
      <w:tr>
        <w:trPr>
          <w:cantSplit/>
        </w:trPr>
        <w:tc>
          <w:tcPr>
            <w:tcW w:w="4562" w:type="dxa"/>
          </w:tcPr>
          <w:p>
            <w:pPr>
              <w:pStyle w:val="Tabla9"/>
              <w:jc w:val="left"/>
            </w:pPr>
            <w:r>
              <w:t xml:space="preserve">Informe de caracterización del sensor</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 consumo y autonomía</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Informe de prueba de enlace</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 un caso de demostración con el modelo de dispersión</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Informe del prototipo del modelo</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Especificación del gateway</w:t>
            </w:r>
          </w:p>
        </w:tc>
        <w:tc>
          <w:tcPr>
            <w:tcW w:w="1825" w:type="dxa"/>
            <w:shd w:val="clear" w:color="auto" w:fill="F7F7F7"/>
          </w:tcPr>
          <w:p>
            <w:pPr>
              <w:pStyle w:val="Tabla9"/>
              <w:jc w:val="left"/>
            </w:pPr>
            <w:r>
              <w:t xml:space="preserve">14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Fuente del pronóstico meteorológico y acuerdo de acceso a los datos</w:t>
            </w:r>
          </w:p>
        </w:tc>
        <w:tc>
          <w:tcPr>
            <w:tcW w:w="1825" w:type="dxa"/>
          </w:tcPr>
          <w:p>
            <w:pPr>
              <w:pStyle w:val="Tabla9"/>
              <w:jc w:val="left"/>
            </w:pPr>
            <w:r>
              <w:t xml:space="preserve">14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 titularidad y custodia, numeral 10.19</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Gestor autorizado de residuos en cada departamento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Plan firmado por cada entidad operadora, numeral 10.16</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Transformación y artículo del Plan Nacional de Desarrollo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que reporta I1 e I2 en el mes 36</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 Caldas</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Indicador del plan de desarrollo de Cundinamarca</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del Valle del Cauca</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Activos previos de cada integrante</w:t>
            </w:r>
          </w:p>
        </w:tc>
        <w:tc>
          <w:tcPr>
            <w:tcW w:w="1825" w:type="dxa"/>
          </w:tcPr>
          <w:p>
            <w:pPr>
              <w:pStyle w:val="Tabla9"/>
              <w:jc w:val="left"/>
            </w:pPr>
            <w:r>
              <w:t xml:space="preserve">18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Proporción de titularidad entre los integrantes</w:t>
            </w:r>
          </w:p>
        </w:tc>
        <w:tc>
          <w:tcPr>
            <w:tcW w:w="1825" w:type="dxa"/>
            <w:shd w:val="clear" w:color="auto" w:fill="F7F7F7"/>
          </w:tcPr>
          <w:p>
            <w:pPr>
              <w:pStyle w:val="Tabla9"/>
              <w:jc w:val="left"/>
            </w:pPr>
            <w:r>
              <w:t xml:space="preserve">18</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 cada integrante de la alianza</w:t>
            </w:r>
          </w:p>
        </w:tc>
        <w:tc>
          <w:tcPr>
            <w:tcW w:w="1825" w:type="dxa"/>
          </w:tcPr>
          <w:p>
            <w:pPr>
              <w:pStyle w:val="Tabla9"/>
              <w:jc w:val="left"/>
            </w:pPr>
            <w:r>
              <w:t xml:space="preserve">18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Caracterización de los 12 municipios</w:t>
            </w:r>
          </w:p>
        </w:tc>
        <w:tc>
          <w:tcPr>
            <w:tcW w:w="1825" w:type="dxa"/>
            <w:shd w:val="clear" w:color="auto" w:fill="F7F7F7"/>
          </w:tcPr>
          <w:p>
            <w:pPr>
              <w:pStyle w:val="Tabla9"/>
              <w:jc w:val="left"/>
            </w:pPr>
            <w:r>
              <w:t xml:space="preserve">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Caracterización étnica y campesina de los 12 municipios</w:t>
            </w:r>
          </w:p>
        </w:tc>
        <w:tc>
          <w:tcPr>
            <w:tcW w:w="1825" w:type="dxa"/>
          </w:tcPr>
          <w:p>
            <w:pPr>
              <w:pStyle w:val="Tabla9"/>
              <w:jc w:val="left"/>
            </w:pPr>
            <w:r>
              <w:t xml:space="preserve">19, 25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número de reconocimiento</w:t>
            </w:r>
          </w:p>
        </w:tc>
        <w:tc>
          <w:tcPr>
            <w:tcW w:w="1825" w:type="dxa"/>
            <w:shd w:val="clear" w:color="auto" w:fill="F7F7F7"/>
          </w:tcPr>
          <w:p>
            <w:pPr>
              <w:pStyle w:val="Tabla9"/>
              <w:jc w:val="left"/>
            </w:pPr>
            <w:r>
              <w:t xml:space="preserve">19, 26</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Número de operarios y organizaciones</w:t>
            </w:r>
          </w:p>
        </w:tc>
        <w:tc>
          <w:tcPr>
            <w:tcW w:w="1825" w:type="dxa"/>
          </w:tcPr>
          <w:p>
            <w:pPr>
              <w:pStyle w:val="Tabla9"/>
              <w:jc w:val="left"/>
            </w:pPr>
            <w:r>
              <w:t xml:space="preserve">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Organizaciones comunitarias de los 12 municipios</w:t>
            </w:r>
          </w:p>
        </w:tc>
        <w:tc>
          <w:tcPr>
            <w:tcW w:w="1825" w:type="dxa"/>
            <w:shd w:val="clear" w:color="auto" w:fill="F7F7F7"/>
          </w:tcPr>
          <w:p>
            <w:pPr>
              <w:pStyle w:val="Tabla9"/>
              <w:jc w:val="left"/>
            </w:pPr>
            <w:r>
              <w:t xml:space="preserve">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Responsable del tratamiento de datos personales</w:t>
            </w:r>
          </w:p>
        </w:tc>
        <w:tc>
          <w:tcPr>
            <w:tcW w:w="1825" w:type="dxa"/>
          </w:tcPr>
          <w:p>
            <w:pPr>
              <w:pStyle w:val="Tabla9"/>
              <w:jc w:val="left"/>
            </w:pPr>
            <w:r>
              <w:t xml:space="preserve">19, 25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Población objetivo con fuente oficial</w:t>
            </w:r>
          </w:p>
        </w:tc>
        <w:tc>
          <w:tcPr>
            <w:tcW w:w="1825" w:type="dxa"/>
            <w:shd w:val="clear" w:color="auto" w:fill="F7F7F7"/>
          </w:tcPr>
          <w:p>
            <w:pPr>
              <w:pStyle w:val="Tabla9"/>
              <w:jc w:val="left"/>
            </w:pPr>
            <w:r>
              <w:t xml:space="preserve">20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Administradora de riesgos laborales de la IES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Aval o determinación escrita del comité</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Determinación del comité de ética de la IES</w:t>
            </w:r>
          </w:p>
        </w:tc>
        <w:tc>
          <w:tcPr>
            <w:tcW w:w="1825" w:type="dxa"/>
          </w:tcPr>
          <w:p>
            <w:pPr>
              <w:pStyle w:val="Tabla9"/>
              <w:jc w:val="left"/>
            </w:pPr>
            <w:r>
              <w:t xml:space="preserve">25, 27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Fuentes externas y sus licencias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 electrónicos y baterías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Plazo de conservación fijado por la IES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Plazo de eliminación de las imágenes del dron fijado por la IES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Certificados de participación de los cuatro integrantes</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Dos proyectos de CTeI de los últimos cinco años</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Equipo y experiencia de modelación atmosférica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 constitución y domicilio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Instrumento municipal de gestión del riesgo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 y trazabilidad metrológica</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Modalidad contractual definida por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Municipio y departamento del municipio aliado</w:t>
            </w:r>
          </w:p>
        </w:tc>
        <w:tc>
          <w:tcPr>
            <w:tcW w:w="1825" w:type="dxa"/>
          </w:tcPr>
          <w:p>
            <w:pPr>
              <w:pStyle w:val="Tabla9"/>
              <w:jc w:val="left"/>
            </w:pPr>
            <w:r>
              <w:t xml:space="preserve">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categoría del grupo de investigación</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la resolución de reconocimiento</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Proyectos y plataformas conectadas de la empresa</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Razón social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Resolución de acreditación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Responsable institucional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del actor del SNCTI</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Responsable institucional del municipio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Resultado de la última medición del DNP</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Autoridad y norma vigente sobre aeronaves no tripuladas</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Autoridad y norma vigente sobre bandas de uso libre</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Autorizaciones vigentes del laboratorio del actor</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Certificación de presencia de comunidades étnicas</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 titularidad, administración y custodia</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Confirmación con la autoridad ambiental regional</w:t>
            </w:r>
          </w:p>
        </w:tc>
        <w:tc>
          <w:tcPr>
            <w:tcW w:w="1825" w:type="dxa"/>
          </w:tcPr>
          <w:p>
            <w:pPr>
              <w:pStyle w:val="Tabla9"/>
              <w:jc w:val="left"/>
            </w:pPr>
            <w:r>
              <w:t xml:space="preserve">27</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Confirmación con la curaduría urbana</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Exigencia vigente para módulos de radio</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Fecha del acta de inicio</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del aval o de la determinación del comité</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Obligación de registro de la universidad</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Proveedores seleccionados</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Responsable de cada demolición</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de cada sitio de remoción</w:t>
            </w:r>
          </w:p>
        </w:tc>
        <w:tc>
          <w:tcPr>
            <w:tcW w:w="1825" w:type="dxa"/>
          </w:tcPr>
          <w:p>
            <w:pPr>
              <w:pStyle w:val="Tabla9"/>
              <w:jc w:val="left"/>
            </w:pPr>
            <w:r>
              <w:t xml:space="preserve">27</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keepNext/>
              <w:jc w:val="left"/>
            </w:pPr>
            <w:r>
              <w:t xml:space="preserve">Cotizaciones vigentes de cada rubro</w:t>
            </w:r>
          </w:p>
        </w:tc>
        <w:tc>
          <w:tcPr>
            <w:tcW w:w="1825" w:type="dxa"/>
            <w:shd w:val="clear" w:color="auto" w:fill="F7F7F7"/>
          </w:tcPr>
          <w:p>
            <w:pPr>
              <w:pStyle w:val="Tabla9"/>
              <w:keepNext/>
              <w:jc w:val="left"/>
            </w:pPr>
            <w:r>
              <w:t xml:space="preserve">28</w:t>
            </w:r>
          </w:p>
        </w:tc>
        <w:tc>
          <w:tcPr>
            <w:tcW w:w="3567" w:type="dxa"/>
            <w:shd w:val="clear" w:color="auto" w:fill="F7F7F7"/>
          </w:tcPr>
          <w:p>
            <w:pPr>
              <w:pStyle w:val="Tabla9"/>
              <w:keepNext/>
              <w:jc w:val="left"/>
            </w:pPr>
            <w:r>
              <w:t xml:space="preserve">Universidad, con la empresa y el actor del SNCTI</w:t>
            </w:r>
          </w:p>
        </w:tc>
      </w:tr>
    </w:tbl>
    <w:p>
      <w:pPr>
        <w:pStyle w:val="TablaNota"/>
      </w:pPr>
      <w:r>
        <w:rPr>
          <w:i/>
          <w:iCs/>
        </w:rPr>
        <w:t xml:space="preserve">Nota.</w:t>
      </w:r>
      <w:r>
        <w:t xml:space="preserve"> </w:t>
      </w:r>
      <w:r>
        <w:t xml:space="preserve">Elaboración propia a partir de los marcadores verdes del documento. El total es de 160 datos distintos. Cada dato se completa en el texto y se elimina el marcador antes de radicar.</w:t>
      </w:r>
    </w:p>
    <w:bookmarkEnd w:id="32"/>
    <w:bookmarkStart w:id="33" w:name="Xc46ce8833b924fe7b33e8e2c0f9e7a4b6724102"/>
    <w:p>
      <w:pPr>
        <w:pStyle w:val="Heading2"/>
      </w:pPr>
      <w:r>
        <w:t xml:space="preserve">S.8. ¿Qué cambió con las respuestas de la Secretaría Técnica?</w:t>
      </w:r>
    </w:p>
    <w:p>
      <w:pPr>
        <w:pStyle w:val="FirstParagraph"/>
      </w:pPr>
      <w:r>
        <w:t xml:space="preserve">El 23 de octubre de 2026 la Secretaría Técnica publicó las respuestas a 591 observaciones sobre los términos de referencia (Secretaría Técnica de la Convocatoria 56, 2026). Las respuestas no modifican el valor solicitado, el tamaño de la alianza ni los tres objetivos. Sí precisan ocho reglas que cambian lo que debe estar en mano al radicar. La Tabla S.10 ordena cada regla, el cambio que se hizo en el documento y la acción que corresponde a la alianza.</w:t>
      </w:r>
    </w:p>
    <w:p>
      <w:pPr>
        <w:pStyle w:val="TablaRotulo"/>
      </w:pPr>
      <w:bookmarkStart w:id="9010" w:name="rot_Tabla_S_10"/>
      <w:r>
        <w:rPr>
          <w:b/>
          <w:bCs/>
        </w:rPr>
        <w:t xml:space="preserve">Tabla S.10</w:t>
      </w:r>
      <w:bookmarkEnd w:id="9010"/>
    </w:p>
    <w:p>
      <w:pPr>
        <w:pStyle w:val="TablaTitulo"/>
      </w:pPr>
      <w:r>
        <w:rPr>
          <w:i/>
          <w:iCs/>
        </w:rPr>
        <w:t xml:space="preserve">Reglas de las respuestas de la Secretaría Técnica, cambio en el documento y acción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3152"/>
        <w:gridCol w:w="3318"/>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Regla de la Secretaría Técnica</w:t>
            </w:r>
          </w:p>
        </w:tc>
        <w:tc>
          <w:tcPr>
            <w:tcW w:w="3152" w:type="dxa"/>
            <w:tcBorders>
              <w:bottom w:val="single" w:sz="12" w:space="0" w:color="6699CC"/>
            </w:tcBorders>
            <w:shd w:val="clear" w:color="auto" w:fill="B9D9EB"/>
          </w:tcPr>
          <w:p>
            <w:pPr>
              <w:pStyle w:val="Tabla9"/>
              <w:keepNext/>
              <w:jc w:val="left"/>
            </w:pPr>
            <w:r>
              <w:rPr>
                <w:b/>
              </w:rPr>
              <w:t xml:space="preserve">Cambio hecho en el documento</w:t>
            </w:r>
          </w:p>
        </w:tc>
        <w:tc>
          <w:tcPr>
            <w:tcW w:w="3318" w:type="dxa"/>
            <w:tcBorders>
              <w:bottom w:val="single" w:sz="12" w:space="0" w:color="6699CC"/>
            </w:tcBorders>
            <w:shd w:val="clear" w:color="auto" w:fill="B9D9EB"/>
          </w:tcPr>
          <w:p>
            <w:pPr>
              <w:pStyle w:val="Tabla9"/>
              <w:keepNext/>
              <w:jc w:val="left"/>
            </w:pPr>
            <w:r>
              <w:rPr>
                <w:b/>
              </w:rPr>
              <w:t xml:space="preserve">Acción de la alianza</w:t>
            </w:r>
          </w:p>
        </w:tc>
      </w:tr>
      <w:tr>
        <w:trPr>
          <w:cantSplit/>
        </w:trPr>
        <w:tc>
          <w:tcPr>
            <w:tcW w:w="3484" w:type="dxa"/>
          </w:tcPr>
          <w:p>
            <w:pPr>
              <w:pStyle w:val="Tabla9"/>
              <w:jc w:val="left"/>
            </w:pPr>
            <w:r>
              <w:t xml:space="preserve">Los numerales 10.20 y 10.21 se verifican contra todos los lugares de ejecución registrados en el SIGP. Si falta el soporte de uno al cierre, el requisito no se cumple, no se subsana y el proyecto no continúa</w:t>
            </w:r>
          </w:p>
        </w:tc>
        <w:tc>
          <w:tcPr>
            <w:tcW w:w="3152" w:type="dxa"/>
          </w:tcPr>
          <w:p>
            <w:pPr>
              <w:pStyle w:val="Tabla9"/>
              <w:jc w:val="left"/>
            </w:pPr>
            <w:r>
              <w:t xml:space="preserve">Subsección 4.1.5 con la tabla de soportes por lugar; secciones 1, 11 y 30; los municipios se fijan antes de radicar y no en la actividad 1.1</w:t>
            </w:r>
          </w:p>
        </w:tc>
        <w:tc>
          <w:tcPr>
            <w:tcW w:w="3318" w:type="dxa"/>
          </w:tcPr>
          <w:p>
            <w:pPr>
              <w:pStyle w:val="Tabla9"/>
              <w:jc w:val="left"/>
            </w:pPr>
            <w:r>
              <w:t xml:space="preserve">Registrar solo los municipios con soportes en mano y decidirlo el martes 27 de octubre</w:t>
            </w:r>
          </w:p>
        </w:tc>
      </w:tr>
      <w:tr>
        <w:trPr>
          <w:cantSplit/>
        </w:trPr>
        <w:tc>
          <w:tcPr>
            <w:tcW w:w="3484" w:type="dxa"/>
            <w:shd w:val="clear" w:color="auto" w:fill="F7F7F7"/>
          </w:tcPr>
          <w:p>
            <w:pPr>
              <w:pStyle w:val="Tabla9"/>
              <w:jc w:val="left"/>
            </w:pPr>
            <w:r>
              <w:t xml:space="preserve">El Decreto 1171 de 2026, que declaró el desastre nacional, sirve para el numeral 10.20 si comprende el municipio. No se exige un acto local</w:t>
            </w:r>
          </w:p>
        </w:tc>
        <w:tc>
          <w:tcPr>
            <w:tcW w:w="3152" w:type="dxa"/>
            <w:shd w:val="clear" w:color="auto" w:fill="F7F7F7"/>
          </w:tcPr>
          <w:p>
            <w:pPr>
              <w:pStyle w:val="Tabla9"/>
              <w:jc w:val="left"/>
            </w:pPr>
            <w:r>
              <w:t xml:space="preserve">Decreto agregado a la tabla de evidencias, a la sección 9.5 y a la lista de referencias</w:t>
            </w:r>
          </w:p>
        </w:tc>
        <w:tc>
          <w:tcPr>
            <w:tcW w:w="3318" w:type="dxa"/>
            <w:shd w:val="clear" w:color="auto" w:fill="F7F7F7"/>
          </w:tcPr>
          <w:p>
            <w:pPr>
              <w:pStyle w:val="Tabla9"/>
              <w:jc w:val="left"/>
            </w:pPr>
            <w:r>
              <w:t xml:space="preserve">Confirmar que el decreto comprende cada municipio</w:t>
            </w:r>
          </w:p>
        </w:tc>
      </w:tr>
      <w:tr>
        <w:trPr>
          <w:cantSplit/>
        </w:trPr>
        <w:tc>
          <w:tcPr>
            <w:tcW w:w="3484" w:type="dxa"/>
          </w:tcPr>
          <w:p>
            <w:pPr>
              <w:pStyle w:val="Tabla9"/>
              <w:jc w:val="left"/>
            </w:pPr>
            <w:r>
              <w:t xml:space="preserve">El certificado del numeral 10.21 lo firma el representante legal de quien suscribió el plan de acción. Uno departamental cubre los municipios que el plan incluya de forma expresa. Se carga al cierre</w:t>
            </w:r>
          </w:p>
        </w:tc>
        <w:tc>
          <w:tcPr>
            <w:tcW w:w="3152" w:type="dxa"/>
          </w:tcPr>
          <w:p>
            <w:pPr>
              <w:pStyle w:val="Tabla9"/>
              <w:jc w:val="left"/>
            </w:pPr>
            <w:r>
              <w:t xml:space="preserve">Filas del numeral 10.21 en las tablas de las secciones 4.1.4 y 30.1, con las acciones para no reactivar el riesgo</w:t>
            </w:r>
          </w:p>
        </w:tc>
        <w:tc>
          <w:tcPr>
            <w:tcW w:w="3318" w:type="dxa"/>
          </w:tcPr>
          <w:p>
            <w:pPr>
              <w:pStyle w:val="Tabla9"/>
              <w:jc w:val="left"/>
            </w:pPr>
            <w:r>
              <w:t xml:space="preserve">Pedir hoy el certificado a cada gobernación o alcaldía; la universidad lo carga</w:t>
            </w:r>
          </w:p>
        </w:tc>
      </w:tr>
      <w:tr>
        <w:trPr>
          <w:cantSplit/>
        </w:trPr>
        <w:tc>
          <w:tcPr>
            <w:tcW w:w="3484" w:type="dxa"/>
            <w:shd w:val="clear" w:color="auto" w:fill="F7F7F7"/>
          </w:tcPr>
          <w:p>
            <w:pPr>
              <w:pStyle w:val="Tabla9"/>
              <w:jc w:val="left"/>
            </w:pPr>
            <w:r>
              <w:t xml:space="preserve">Los equipos, los insumos y las adecuaciones se financian solo si se ubican en municipios afectados y permanecen en el territorio</w:t>
            </w:r>
          </w:p>
        </w:tc>
        <w:tc>
          <w:tcPr>
            <w:tcW w:w="3152" w:type="dxa"/>
            <w:shd w:val="clear" w:color="auto" w:fill="F7F7F7"/>
          </w:tcPr>
          <w:p>
            <w:pPr>
              <w:pStyle w:val="Tabla9"/>
              <w:jc w:val="left"/>
            </w:pPr>
            <w:r>
              <w:t xml:space="preserve">Sede del laboratorio en un municipio afectado en las secciones 1, 2, 7.4, 10, 16 y 18</w:t>
            </w:r>
          </w:p>
        </w:tc>
        <w:tc>
          <w:tcPr>
            <w:tcW w:w="3318" w:type="dxa"/>
            <w:shd w:val="clear" w:color="auto" w:fill="F7F7F7"/>
          </w:tcPr>
          <w:p>
            <w:pPr>
              <w:pStyle w:val="Tabla9"/>
              <w:jc w:val="left"/>
            </w:pPr>
            <w:r>
              <w:t xml:space="preserve">Elegir la sede del laboratorio y confirmar que es lugar de ejecución</w:t>
            </w:r>
          </w:p>
        </w:tc>
      </w:tr>
      <w:tr>
        <w:trPr>
          <w:cantSplit/>
        </w:trPr>
        <w:tc>
          <w:tcPr>
            <w:tcW w:w="3484" w:type="dxa"/>
          </w:tcPr>
          <w:p>
            <w:pPr>
              <w:pStyle w:val="Tabla9"/>
              <w:jc w:val="left"/>
            </w:pPr>
            <w:r>
              <w:t xml:space="preserve">Los compromisos de operación, validación, uso o adopción se cargan al cierre, firmados por las entidades responsables. El plan de sostenibilidad lo firma cada entidad operadora</w:t>
            </w:r>
          </w:p>
        </w:tc>
        <w:tc>
          <w:tcPr>
            <w:tcW w:w="3152" w:type="dxa"/>
          </w:tcPr>
          <w:p>
            <w:pPr>
              <w:pStyle w:val="Tabla9"/>
              <w:jc w:val="left"/>
            </w:pPr>
            <w:r>
              <w:t xml:space="preserve">Sección 16.3 y tabla de la sección 30.1; el custodio externo se asigna solo si firma antes de radicar</w:t>
            </w:r>
          </w:p>
        </w:tc>
        <w:tc>
          <w:tcPr>
            <w:tcW w:w="3318" w:type="dxa"/>
          </w:tcPr>
          <w:p>
            <w:pPr>
              <w:pStyle w:val="Tabla9"/>
              <w:jc w:val="left"/>
            </w:pPr>
            <w:r>
              <w:t xml:space="preserve">Pedir cartas de uso a alcaldías y gobernaciones y asignar cada componente a un integrante o a un firmante</w:t>
            </w:r>
          </w:p>
        </w:tc>
      </w:tr>
      <w:tr>
        <w:trPr>
          <w:cantSplit/>
        </w:trPr>
        <w:tc>
          <w:tcPr>
            <w:tcW w:w="3484" w:type="dxa"/>
            <w:shd w:val="clear" w:color="auto" w:fill="F7F7F7"/>
          </w:tcPr>
          <w:p>
            <w:pPr>
              <w:pStyle w:val="Tabla9"/>
              <w:jc w:val="left"/>
            </w:pPr>
            <w:r>
              <w:t xml:space="preserve">Las cotizaciones, al menos dos por rubro, se cargan al cierre. Su falta no se subsana y en el ajuste no se aportan cotizaciones nuevas</w:t>
            </w:r>
          </w:p>
        </w:tc>
        <w:tc>
          <w:tcPr>
            <w:tcW w:w="3152" w:type="dxa"/>
            <w:shd w:val="clear" w:color="auto" w:fill="F7F7F7"/>
          </w:tcPr>
          <w:p>
            <w:pPr>
              <w:pStyle w:val="Tabla9"/>
              <w:jc w:val="left"/>
            </w:pPr>
            <w:r>
              <w:t xml:space="preserve">Secciones 7.4, 28 y 30.1</w:t>
            </w:r>
          </w:p>
        </w:tc>
        <w:tc>
          <w:tcPr>
            <w:tcW w:w="3318" w:type="dxa"/>
            <w:shd w:val="clear" w:color="auto" w:fill="F7F7F7"/>
          </w:tcPr>
          <w:p>
            <w:pPr>
              <w:pStyle w:val="Tabla9"/>
              <w:jc w:val="left"/>
            </w:pPr>
            <w:r>
              <w:t xml:space="preserve">Reunir las cotizaciones del Anexo 3 antes del lunes 26 de octubre</w:t>
            </w:r>
          </w:p>
        </w:tc>
      </w:tr>
      <w:tr>
        <w:trPr>
          <w:cantSplit/>
        </w:trPr>
        <w:tc>
          <w:tcPr>
            <w:tcW w:w="3484" w:type="dxa"/>
          </w:tcPr>
          <w:p>
            <w:pPr>
              <w:pStyle w:val="Tabla9"/>
              <w:jc w:val="left"/>
            </w:pPr>
            <w:r>
              <w:t xml:space="preserve">El aval de ética se carga al cierre cuando aplica. Si los evaluadores lo consideran obligatorio y falta, el proyecto se rechaza</w:t>
            </w:r>
          </w:p>
        </w:tc>
        <w:tc>
          <w:tcPr>
            <w:tcW w:w="3152" w:type="dxa"/>
          </w:tcPr>
          <w:p>
            <w:pPr>
              <w:pStyle w:val="Tabla9"/>
              <w:jc w:val="left"/>
            </w:pPr>
            <w:r>
              <w:t xml:space="preserve">Secciones 25.7 y 27; ya no se deja para el acta de inicio</w:t>
            </w:r>
          </w:p>
        </w:tc>
        <w:tc>
          <w:tcPr>
            <w:tcW w:w="3318" w:type="dxa"/>
          </w:tcPr>
          <w:p>
            <w:pPr>
              <w:pStyle w:val="Tabla9"/>
              <w:jc w:val="left"/>
            </w:pPr>
            <w:r>
              <w:t xml:space="preserve">Pedir al comité de ética de la universidad el aval o su determinación escrita</w:t>
            </w:r>
          </w:p>
        </w:tc>
      </w:tr>
      <w:tr>
        <w:trPr>
          <w:cantSplit/>
        </w:trPr>
        <w:tc>
          <w:tcPr>
            <w:tcW w:w="3484" w:type="dxa"/>
            <w:shd w:val="clear" w:color="auto" w:fill="F7F7F7"/>
          </w:tcPr>
          <w:p>
            <w:pPr>
              <w:pStyle w:val="Tabla9"/>
              <w:keepNext/>
              <w:jc w:val="left"/>
            </w:pPr>
            <w:r>
              <w:t xml:space="preserve">Cada integrante aporta contrapartida cuantificada. El 1 % de transferencia orienta y no habilita. El TRL 8 vale 8 puntos y el TRL 9 vale 13</w:t>
            </w:r>
          </w:p>
        </w:tc>
        <w:tc>
          <w:tcPr>
            <w:tcW w:w="3152" w:type="dxa"/>
            <w:shd w:val="clear" w:color="auto" w:fill="F7F7F7"/>
          </w:tcPr>
          <w:p>
            <w:pPr>
              <w:pStyle w:val="Tabla9"/>
              <w:keepNext/>
              <w:jc w:val="left"/>
            </w:pPr>
            <w:r>
              <w:t xml:space="preserve">Secciones 18 y 28 y tabla de decisiones</w:t>
            </w:r>
          </w:p>
        </w:tc>
        <w:tc>
          <w:tcPr>
            <w:tcW w:w="3318" w:type="dxa"/>
            <w:shd w:val="clear" w:color="auto" w:fill="F7F7F7"/>
          </w:tcPr>
          <w:p>
            <w:pPr>
              <w:pStyle w:val="Tabla9"/>
              <w:keepNext/>
              <w:jc w:val="left"/>
            </w:pPr>
            <w:r>
              <w:t xml:space="preserve">Cuantificar el aporte del actor del SNCTI y decidir el nivel de madurez comprometido</w:t>
            </w:r>
          </w:p>
        </w:tc>
      </w:tr>
    </w:tbl>
    <w:p>
      <w:pPr>
        <w:pStyle w:val="TablaNota"/>
      </w:pPr>
      <w:r>
        <w:rPr>
          <w:i/>
          <w:iCs/>
        </w:rPr>
        <w:t xml:space="preserve">Nota.</w:t>
      </w:r>
      <w:r>
        <w:t xml:space="preserve"> </w:t>
      </w:r>
      <w:r>
        <w:t xml:space="preserve">Elaboración propia con la respuesta de la Secretaría Técnica a las observaciones (Secretaría Técnica de la Convocatoria 56, 2026) y los términos de referencia. SIGP: Sistema Integrado de Gestión de Proyectos. TRL: nivel de madurez tecnológica.</w:t>
      </w:r>
    </w:p>
    <w:p>
      <w:pPr>
        <w:pStyle w:val="BodyText"/>
      </w:pPr>
      <w:r>
        <w:t xml:space="preserve">No cambia el valor solicitado, que equivale a 71,6 % del tope. Tampoco cambia la contrapartida en efectivo, que supera el 1 % que valora el criterio 7. Se mantienen el tamaño de la alianza, que cumple el mínimo de tres entidades, y los valores del talento humano. La línea temática 5.1 no cambia. La fecha de cierre sigue siendo el martes 3 de noviembre de 2026 a las 4:00 p. m., sin ampliación.</w:t>
      </w:r>
    </w:p>
    <w:bookmarkEnd w:id="33"/>
    <w:bookmarkEnd w:id="34"/>
    <w:bookmarkStart w:id="38"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valida el laboratorio de modelación. El laboratorio se ubica en un municipio afectado que es lugar de ejecución </w:t>
      </w:r>
      <w:r>
        <w:rPr>
          <w:color w:val="00B050"/>
        </w:rPr>
        <w:t xml:space="preserve">[Diligenciar: sede del laboratorio, en un municipio afectado]</w:t>
      </w:r>
      <w:r>
        <w:t xml:space="preserve">.</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con afectación acreditada con reportes oficiales. Se registran como lugares de ejecución solo los municipios que reúnen los soportes de la subsección 4.1.5.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11" w:name="rot_Tabla_1_1"/>
      <w:r>
        <w:rPr>
          <w:b/>
          <w:bCs/>
        </w:rPr>
        <w:t xml:space="preserve">Tabla 1.1</w:t>
      </w:r>
      <w:bookmarkEnd w:id="901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12" w:name="rot_Tabla_1_2"/>
      <w:r>
        <w:rPr>
          <w:b/>
          <w:bCs/>
        </w:rPr>
        <w:t xml:space="preserve">Tabla 1.2</w:t>
      </w:r>
      <w:bookmarkEnd w:id="901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54" w:name="rot_Figura_1_1"/>
      <w:r>
        <w:rPr>
          <w:b/>
          <w:bCs/>
        </w:rPr>
        <w:t xml:space="preserve">Figura 1.1</w:t>
      </w:r>
      <w:bookmarkEnd w:id="9154"/>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36" name="Picture"/>
            <a:graphic>
              <a:graphicData uri="http://schemas.openxmlformats.org/drawingml/2006/picture">
                <pic:pic>
                  <pic:nvPicPr>
                    <pic:cNvPr descr="/tmp/claude-0/-home-user-docs/8ca5c040-2adb-56b3-8e64-05d4e7e569ed/scratchpad/a2/figs/out/c1_f01.png" id="37" name="Picture"/>
                    <pic:cNvPicPr>
                      <a:picLocks noChangeArrowheads="1" noChangeAspect="1"/>
                    </pic:cNvPicPr>
                  </pic:nvPicPr>
                  <pic:blipFill>
                    <a:blip r:embed="rId35"/>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38"/>
    <w:bookmarkStart w:id="39" w:name="resumen-ejecutivo"/>
    <w:p>
      <w:pPr>
        <w:pStyle w:val="Heading1"/>
      </w:pPr>
      <w:r>
        <w:t xml:space="preserve">2. RESUMEN EJECUTIVO</w:t>
      </w:r>
    </w:p>
    <w:p>
      <w:pPr>
        <w:pStyle w:val="FirstParagraph"/>
      </w:pPr>
      <w:r>
        <w:t xml:space="preserve">El terremoto del 10 de agosto de 2026 originó la emergencia del Decreto 1261 de 2026. Dejó edificaciones colapsadas o dañadas, que se demuelen, y escombros que deben removerse dentro de los centros urbanos de los departamentos afectados. La demolición y la remoción resuspenden material particulado y exponen a operarios y a población vecina. Los comités de gestión del riesgo deben decidir alertas y protecciones. Sin embargo, no disponen en esos sitios de mediciones de PM2,5 y PM10 con error conocido. Tampoco cuentan con una estimación previa del polvo de cada demolición.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proyecto responde con tres acciones. Mide el polvo en los sitios con sensores cuyo error se conoce y se corrige. Entrega a los comités un tablero y un protocolo de alerta que ellos co-diseñan. Calcula, antes de cada demolición, cuánto polvo saldrá y hacia dónde se desplazará.</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ubicado en un municipio afectado, estima antes de cada demolición la emisión, la dispersión y la exposición esperada de polvo. La universidad lo valida.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39"/>
    <w:bookmarkStart w:id="40"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40"/>
    <w:bookmarkStart w:id="50"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13" w:name="rot_Tabla_4_1"/>
      <w:r>
        <w:rPr>
          <w:b/>
          <w:bCs/>
        </w:rPr>
        <w:t xml:space="preserve">Tabla 4.1</w:t>
      </w:r>
      <w:bookmarkEnd w:id="901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49"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41" w:name="X6e825ac79791d2721580b47895c6ed6cee15ba0"/>
    <w:p>
      <w:pPr>
        <w:pStyle w:val="Heading3"/>
      </w:pPr>
      <w:r>
        <w:t xml:space="preserve">4.1.1 Afectación producida o agravada por el terremoto</w:t>
      </w:r>
    </w:p>
    <w:p>
      <w:pPr>
        <w:pStyle w:val="FirstParagraph"/>
      </w:pPr>
      <w:r>
        <w:t xml:space="preserve">El terremoto del 10 de agosto de 2026 motivó la declaratoria del Estado de Emergencia Económica, Social y Ecológica por grave calamidad pública. El Decreto 1261 de 2026 la declaró y el Decreto 1348 de 2026 lo modificó.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41"/>
    <w:bookmarkStart w:id="42"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42"/>
    <w:bookmarkStart w:id="46"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14" w:name="rot_Tabla_4_2"/>
      <w:r>
        <w:rPr>
          <w:b/>
          <w:bCs/>
        </w:rPr>
        <w:t xml:space="preserve">Tabla 4.2</w:t>
      </w:r>
      <w:bookmarkEnd w:id="901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los sitios de remoción en los 12 municipios registrados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55" w:name="rot_Figura_4_1"/>
      <w:r>
        <w:rPr>
          <w:b/>
          <w:bCs/>
        </w:rPr>
        <w:t xml:space="preserve">Figura 4.1</w:t>
      </w:r>
      <w:bookmarkEnd w:id="9155"/>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44" name="Picture"/>
            <a:graphic>
              <a:graphicData uri="http://schemas.openxmlformats.org/drawingml/2006/picture">
                <pic:pic>
                  <pic:nvPicPr>
                    <pic:cNvPr descr="/tmp/claude-0/-home-user-docs/8ca5c040-2adb-56b3-8e64-05d4e7e569ed/scratchpad/a2/figs/out/c4_f01.png" id="45" name="Picture"/>
                    <pic:cNvPicPr>
                      <a:picLocks noChangeArrowheads="1" noChangeAspect="1"/>
                    </pic:cNvPicPr>
                  </pic:nvPicPr>
                  <pic:blipFill>
                    <a:blip r:embed="rId43"/>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46"/>
    <w:bookmarkStart w:id="47"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Los reportes de la Unidad Nacional para la Gestión del Riesgo de Desastres (UNGRD) sobre el terremoto son documentos oficiales válidos. Sustentan la afectación de un municipio del ámbito de la emergencia (Secretaría Técnica de la Convocatoria 56, 2026). La Tabla 4.3 indica el documento, la entidad que lo expide y el dato que sustenta.</w:t>
      </w:r>
    </w:p>
    <w:p>
      <w:pPr>
        <w:pStyle w:val="TablaRotulo"/>
      </w:pPr>
      <w:bookmarkStart w:id="9015" w:name="rot_Tabla_4_3"/>
      <w:r>
        <w:rPr>
          <w:b/>
          <w:bCs/>
        </w:rPr>
        <w:t xml:space="preserve">Tabla 4.3</w:t>
      </w:r>
      <w:bookmarkEnd w:id="901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3069"/>
        <w:gridCol w:w="3401"/>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Evidencia</w:t>
            </w:r>
          </w:p>
        </w:tc>
        <w:tc>
          <w:tcPr>
            <w:tcW w:w="3069" w:type="dxa"/>
            <w:tcBorders>
              <w:bottom w:val="single" w:sz="12" w:space="0" w:color="6699CC"/>
            </w:tcBorders>
            <w:shd w:val="clear" w:color="auto" w:fill="B9D9EB"/>
          </w:tcPr>
          <w:p>
            <w:pPr>
              <w:pStyle w:val="Tabla9"/>
              <w:keepNext/>
              <w:jc w:val="left"/>
            </w:pPr>
            <w:r>
              <w:rPr>
                <w:b/>
              </w:rPr>
              <w:t xml:space="preserve">Entidad que la expide</w:t>
            </w:r>
          </w:p>
        </w:tc>
        <w:tc>
          <w:tcPr>
            <w:tcW w:w="3401"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84" w:type="dxa"/>
          </w:tcPr>
          <w:p>
            <w:pPr>
              <w:pStyle w:val="Tabla9"/>
              <w:jc w:val="left"/>
            </w:pPr>
            <w:r>
              <w:t xml:space="preserve">Decreto 1261 de 2026, modificado por el Decreto 1348 de 2026</w:t>
            </w:r>
          </w:p>
        </w:tc>
        <w:tc>
          <w:tcPr>
            <w:tcW w:w="3069" w:type="dxa"/>
          </w:tcPr>
          <w:p>
            <w:pPr>
              <w:pStyle w:val="Tabla9"/>
              <w:jc w:val="left"/>
            </w:pPr>
            <w:r>
              <w:t xml:space="preserve">Gobierno nacional</w:t>
            </w:r>
          </w:p>
        </w:tc>
        <w:tc>
          <w:tcPr>
            <w:tcW w:w="3401" w:type="dxa"/>
          </w:tcPr>
          <w:p>
            <w:pPr>
              <w:pStyle w:val="Tabla9"/>
              <w:jc w:val="left"/>
            </w:pPr>
            <w:r>
              <w:t xml:space="preserve">Declaratoria de emergencia y departamentos afectados</w:t>
            </w:r>
          </w:p>
        </w:tc>
      </w:tr>
      <w:tr>
        <w:trPr>
          <w:cantSplit/>
        </w:trPr>
        <w:tc>
          <w:tcPr>
            <w:tcW w:w="3484" w:type="dxa"/>
            <w:shd w:val="clear" w:color="auto" w:fill="F7F7F7"/>
          </w:tcPr>
          <w:p>
            <w:pPr>
              <w:pStyle w:val="Tabla9"/>
              <w:jc w:val="left"/>
            </w:pPr>
            <w:r>
              <w:t xml:space="preserve">Decreto 1171 de 2026</w:t>
            </w:r>
          </w:p>
        </w:tc>
        <w:tc>
          <w:tcPr>
            <w:tcW w:w="3069" w:type="dxa"/>
            <w:shd w:val="clear" w:color="auto" w:fill="F7F7F7"/>
          </w:tcPr>
          <w:p>
            <w:pPr>
              <w:pStyle w:val="Tabla9"/>
              <w:jc w:val="left"/>
            </w:pPr>
            <w:r>
              <w:t xml:space="preserve">Gobierno nacional</w:t>
            </w:r>
          </w:p>
        </w:tc>
        <w:tc>
          <w:tcPr>
            <w:tcW w:w="3401" w:type="dxa"/>
            <w:shd w:val="clear" w:color="auto" w:fill="F7F7F7"/>
          </w:tcPr>
          <w:p>
            <w:pPr>
              <w:pStyle w:val="Tabla9"/>
              <w:jc w:val="left"/>
            </w:pPr>
            <w:r>
              <w:t xml:space="preserve">Declaratoria de la situación de desastre de carácter nacional; sustenta el numeral 10.20 en los municipios que comprende</w:t>
            </w:r>
          </w:p>
        </w:tc>
      </w:tr>
      <w:tr>
        <w:trPr>
          <w:cantSplit/>
        </w:trPr>
        <w:tc>
          <w:tcPr>
            <w:tcW w:w="3484" w:type="dxa"/>
          </w:tcPr>
          <w:p>
            <w:pPr>
              <w:pStyle w:val="Tabla9"/>
              <w:jc w:val="left"/>
            </w:pPr>
            <w:r>
              <w:t xml:space="preserve">Reporte oficial de afectación del terremoto en los municipios de intervención</w:t>
            </w:r>
          </w:p>
        </w:tc>
        <w:tc>
          <w:tcPr>
            <w:tcW w:w="3069" w:type="dxa"/>
          </w:tcPr>
          <w:p>
            <w:pPr>
              <w:pStyle w:val="Tabla9"/>
              <w:jc w:val="left"/>
            </w:pPr>
            <w:r>
              <w:rPr>
                <w:color w:val="00B050"/>
              </w:rPr>
              <w:t xml:space="preserve">[Diligenciar: entidad de gestión del riesgo que lo expide]</w:t>
            </w:r>
          </w:p>
        </w:tc>
        <w:tc>
          <w:tcPr>
            <w:tcW w:w="3401" w:type="dxa"/>
          </w:tcPr>
          <w:p>
            <w:pPr>
              <w:pStyle w:val="Tabla9"/>
              <w:jc w:val="left"/>
            </w:pPr>
            <w:r>
              <w:t xml:space="preserve">Viviendas y edificaciones colapsadas o demolidas y volumen de escombros por municipio</w:t>
            </w:r>
          </w:p>
        </w:tc>
      </w:tr>
      <w:tr>
        <w:trPr>
          <w:cantSplit/>
        </w:trPr>
        <w:tc>
          <w:tcPr>
            <w:tcW w:w="3484" w:type="dxa"/>
            <w:shd w:val="clear" w:color="auto" w:fill="F7F7F7"/>
          </w:tcPr>
          <w:p>
            <w:pPr>
              <w:pStyle w:val="Tabla9"/>
              <w:jc w:val="left"/>
            </w:pPr>
            <w:r>
              <w:t xml:space="preserve">Acto departamental o municipal de desastre o calamidad pública, solo para el lugar de ejecución que el Decreto 1171 de 2026 no comprenda</w:t>
            </w:r>
          </w:p>
        </w:tc>
        <w:tc>
          <w:tcPr>
            <w:tcW w:w="3069" w:type="dxa"/>
            <w:shd w:val="clear" w:color="auto" w:fill="F7F7F7"/>
          </w:tcPr>
          <w:p>
            <w:pPr>
              <w:pStyle w:val="Tabla9"/>
              <w:jc w:val="left"/>
            </w:pPr>
            <w:r>
              <w:rPr>
                <w:color w:val="00B050"/>
              </w:rPr>
              <w:t xml:space="preserve">[Diligenciar: gobernación o alcaldía]</w:t>
            </w:r>
          </w:p>
        </w:tc>
        <w:tc>
          <w:tcPr>
            <w:tcW w:w="3401" w:type="dxa"/>
            <w:shd w:val="clear" w:color="auto" w:fill="F7F7F7"/>
          </w:tcPr>
          <w:p>
            <w:pPr>
              <w:pStyle w:val="Tabla9"/>
              <w:jc w:val="left"/>
            </w:pPr>
            <w:r>
              <w:t xml:space="preserve">Declaratoria vigente en ese lugar de ejecución (numeral 10.20 de los TdR)</w:t>
            </w:r>
          </w:p>
        </w:tc>
      </w:tr>
      <w:tr>
        <w:trPr>
          <w:cantSplit/>
        </w:trPr>
        <w:tc>
          <w:tcPr>
            <w:tcW w:w="3484" w:type="dxa"/>
          </w:tcPr>
          <w:p>
            <w:pPr>
              <w:pStyle w:val="Tabla9"/>
              <w:jc w:val="left"/>
            </w:pPr>
            <w:r>
              <w:t xml:space="preserve">Listado de demoliciones programadas por las entidades territoriales</w:t>
            </w:r>
          </w:p>
        </w:tc>
        <w:tc>
          <w:tcPr>
            <w:tcW w:w="3069" w:type="dxa"/>
          </w:tcPr>
          <w:p>
            <w:pPr>
              <w:pStyle w:val="Tabla9"/>
              <w:jc w:val="left"/>
            </w:pPr>
            <w:r>
              <w:rPr>
                <w:color w:val="00B050"/>
              </w:rPr>
              <w:t xml:space="preserve">[Diligenciar: gobernación o alcaldía que lo expide]</w:t>
            </w:r>
          </w:p>
        </w:tc>
        <w:tc>
          <w:tcPr>
            <w:tcW w:w="3401" w:type="dxa"/>
          </w:tcPr>
          <w:p>
            <w:pPr>
              <w:pStyle w:val="Tabla9"/>
              <w:jc w:val="left"/>
            </w:pPr>
            <w:r>
              <w:t xml:space="preserve">Eventos disponibles para validar el gemelo predictivo y sitios donde aplicar la evaluación previa</w:t>
            </w:r>
          </w:p>
        </w:tc>
      </w:tr>
      <w:tr>
        <w:trPr>
          <w:cantSplit/>
        </w:trPr>
        <w:tc>
          <w:tcPr>
            <w:tcW w:w="3484" w:type="dxa"/>
            <w:shd w:val="clear" w:color="auto" w:fill="F7F7F7"/>
          </w:tcPr>
          <w:p>
            <w:pPr>
              <w:pStyle w:val="Tabla9"/>
              <w:jc w:val="left"/>
            </w:pPr>
            <w:r>
              <w:t xml:space="preserve">Diagnóstico técnico sectorial de la remoción de escombros</w:t>
            </w:r>
          </w:p>
        </w:tc>
        <w:tc>
          <w:tcPr>
            <w:tcW w:w="3069" w:type="dxa"/>
            <w:shd w:val="clear" w:color="auto" w:fill="F7F7F7"/>
          </w:tcPr>
          <w:p>
            <w:pPr>
              <w:pStyle w:val="Tabla9"/>
              <w:jc w:val="left"/>
            </w:pPr>
            <w:r>
              <w:rPr>
                <w:color w:val="00B050"/>
              </w:rPr>
              <w:t xml:space="preserve">[Diligenciar: autoridad ambiental o entidad sectorial]</w:t>
            </w:r>
          </w:p>
        </w:tc>
        <w:tc>
          <w:tcPr>
            <w:tcW w:w="3401" w:type="dxa"/>
            <w:shd w:val="clear" w:color="auto" w:fill="F7F7F7"/>
          </w:tcPr>
          <w:p>
            <w:pPr>
              <w:pStyle w:val="Tabla9"/>
              <w:jc w:val="left"/>
            </w:pPr>
            <w:r>
              <w:t xml:space="preserve">Sitios de remoción y disposición, y calidad del aire en ellos</w:t>
            </w:r>
          </w:p>
        </w:tc>
      </w:tr>
      <w:tr>
        <w:trPr>
          <w:cantSplit/>
        </w:trPr>
        <w:tc>
          <w:tcPr>
            <w:tcW w:w="3484" w:type="dxa"/>
          </w:tcPr>
          <w:p>
            <w:pPr>
              <w:pStyle w:val="Tabla9"/>
              <w:keepNext/>
              <w:jc w:val="left"/>
            </w:pPr>
            <w:r>
              <w:t xml:space="preserve">Certificado del representante legal de quien suscribió el plan de acción específico para la rehabilitación y reconstrucción</w:t>
            </w:r>
          </w:p>
        </w:tc>
        <w:tc>
          <w:tcPr>
            <w:tcW w:w="3069" w:type="dxa"/>
          </w:tcPr>
          <w:p>
            <w:pPr>
              <w:pStyle w:val="Tabla9"/>
              <w:keepNext/>
              <w:jc w:val="left"/>
            </w:pPr>
            <w:r>
              <w:rPr>
                <w:color w:val="00B050"/>
              </w:rPr>
              <w:t xml:space="preserve">[Diligenciar: gobernación o alcaldía que suscribió el plan de acción]</w:t>
            </w:r>
          </w:p>
        </w:tc>
        <w:tc>
          <w:tcPr>
            <w:tcW w:w="3401" w:type="dxa"/>
          </w:tcPr>
          <w:p>
            <w:pPr>
              <w:pStyle w:val="Tabla9"/>
              <w:keepNext/>
              <w:jc w:val="left"/>
            </w:pPr>
            <w:r>
              <w:t xml:space="preserve">Concordancia del proyecto con el plan y acciones para no reactivar el riesgo preexistente (numeral 10.21 de los TdR)</w:t>
            </w:r>
          </w:p>
        </w:tc>
      </w:tr>
    </w:tbl>
    <w:p>
      <w:pPr>
        <w:pStyle w:val="TablaNota"/>
      </w:pPr>
      <w:r>
        <w:rPr>
          <w:i/>
          <w:iCs/>
        </w:rPr>
        <w:t xml:space="preserve">Nota.</w:t>
      </w:r>
      <w:r>
        <w:t xml:space="preserve"> </w:t>
      </w:r>
      <w:r>
        <w:t xml:space="preserve">Elaboración propia con los numerales 4, 10.20 y 10.21 de los términos de referencia y con las respuestas de la Secretaría Técnica de la Convocatoria 56 (2026). Cada soporte se carga en el SIGP como documento independiente. SIGP: Sistema Integrado de Gestión de Proyectos.</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carece de reporte de afectación por remoción de escombros, el proyecto no lo registra como lugar de ejecución. La subsección 4.1.5 fija esa regla.</w:t>
      </w:r>
    </w:p>
    <w:bookmarkEnd w:id="47"/>
    <w:bookmarkStart w:id="48" w:name="cobertura-de-los-lugares-de-ejecución"/>
    <w:p>
      <w:pPr>
        <w:pStyle w:val="Heading3"/>
      </w:pPr>
      <w:r>
        <w:t xml:space="preserve">4.1.5 Cobertura de los lugares de ejecución</w:t>
      </w:r>
    </w:p>
    <w:p>
      <w:pPr>
        <w:pStyle w:val="FirstParagraph"/>
      </w:pPr>
      <w:r>
        <w:t xml:space="preserve">Las respuestas de la Secretaría Técnica a las observaciones fijan reglas para los lugares de ejecución (Secretaría Técnica de la Convocatoria 56, 2026). Un lugar de ejecución es un municipio con afectación acreditada con reportes oficiales. Los soportes de los numerales 10.20 y 10.21 deben cubrir todos los lugares que se registren en el SIGP. Se cargan al radicar y no se subsanan. Si falta el soporte de un lugar, el requisito no se cumple y el proyecto no continúa.</w:t>
      </w:r>
    </w:p>
    <w:p>
      <w:pPr>
        <w:pStyle w:val="BodyText"/>
      </w:pPr>
      <w:r>
        <w:t xml:space="preserve">El proyecto aplica esas reglas. Registra como lugar de ejecución solo el municipio que reúne los soportes de la Tabla 4.4. No agrega ni cambia lugares después del cierre. La actividad 1.1 selecciona los sitios de remoción dentro de los municipios registrados y no los municipios.</w:t>
      </w:r>
    </w:p>
    <w:p>
      <w:pPr>
        <w:pStyle w:val="BodyText"/>
      </w:pPr>
      <w:r>
        <w:t xml:space="preserve">El Decreto 1171 de 2026 declaró la situación de desastre de carácter nacional. Sirve como soporte del numeral 10.20 en cada municipio que comprende (Secretaría Técnica de la Convocatoria 56, 2026). El numeral 10.21 pide un certificado del representante legal de quien suscribió el plan de acción específico. Un certificado departamental cubre los municipios que el plan departamental incluya de forma expresa. Si un municipio tiene plan propio, lo certifica su alcalde.</w:t>
      </w:r>
    </w:p>
    <w:p>
      <w:pPr>
        <w:pStyle w:val="BodyText"/>
      </w:pPr>
      <w:r>
        <w:t xml:space="preserve">Cada certificado afirma que el proyecto concuerda con el plan y que integra las acciones para no reactivar el riesgo preexistente. El proyecto aporta esas acciones desde el diseño. No demuele ni construye obras. Instala nodos y gateways en sitios existentes con autorización del propietario. No instala en zonas que la entidad territorial declare de alto riesgo no mitigable. El personal trabaja fuera de la zona de exclusión que fija el responsable de obra, según la sección 25.3.</w:t>
      </w:r>
    </w:p>
    <w:p>
      <w:pPr>
        <w:pStyle w:val="TablaRotulo"/>
      </w:pPr>
      <w:bookmarkStart w:id="9016" w:name="rot_Tabla_4_4"/>
      <w:r>
        <w:rPr>
          <w:b/>
          <w:bCs/>
        </w:rPr>
        <w:t xml:space="preserve">Tabla 4.4</w:t>
      </w:r>
      <w:bookmarkEnd w:id="9016"/>
    </w:p>
    <w:p>
      <w:pPr>
        <w:pStyle w:val="TablaTitulo"/>
      </w:pPr>
      <w:r>
        <w:rPr>
          <w:i/>
          <w:iCs/>
        </w:rPr>
        <w:t xml:space="preserve">Soportes que cada lugar de ejecución reúne al radicar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161"/>
        <w:gridCol w:w="2322"/>
        <w:gridCol w:w="2240"/>
        <w:gridCol w:w="2074"/>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Soporte por lugar de ejecución</w:t>
            </w:r>
          </w:p>
        </w:tc>
        <w:tc>
          <w:tcPr>
            <w:tcW w:w="1161" w:type="dxa"/>
            <w:tcBorders>
              <w:bottom w:val="single" w:sz="12" w:space="0" w:color="6699CC"/>
            </w:tcBorders>
            <w:shd w:val="clear" w:color="auto" w:fill="B9D9EB"/>
          </w:tcPr>
          <w:p>
            <w:pPr>
              <w:pStyle w:val="Tabla9"/>
              <w:keepNext/>
              <w:jc w:val="left"/>
            </w:pPr>
            <w:r>
              <w:rPr>
                <w:b/>
              </w:rPr>
              <w:t xml:space="preserve">Numeral</w:t>
            </w:r>
          </w:p>
        </w:tc>
        <w:tc>
          <w:tcPr>
            <w:tcW w:w="2322" w:type="dxa"/>
            <w:tcBorders>
              <w:bottom w:val="single" w:sz="12" w:space="0" w:color="6699CC"/>
            </w:tcBorders>
            <w:shd w:val="clear" w:color="auto" w:fill="B9D9EB"/>
          </w:tcPr>
          <w:p>
            <w:pPr>
              <w:pStyle w:val="Tabla9"/>
              <w:keepNext/>
              <w:jc w:val="left"/>
            </w:pPr>
            <w:r>
              <w:rPr>
                <w:b/>
              </w:rPr>
              <w:t xml:space="preserve">Entidad que lo expide</w:t>
            </w:r>
          </w:p>
        </w:tc>
        <w:tc>
          <w:tcPr>
            <w:tcW w:w="2240" w:type="dxa"/>
            <w:tcBorders>
              <w:bottom w:val="single" w:sz="12" w:space="0" w:color="6699CC"/>
            </w:tcBorders>
            <w:shd w:val="clear" w:color="auto" w:fill="B9D9EB"/>
          </w:tcPr>
          <w:p>
            <w:pPr>
              <w:pStyle w:val="Tabla9"/>
              <w:keepNext/>
              <w:jc w:val="left"/>
            </w:pPr>
            <w:r>
              <w:rPr>
                <w:b/>
              </w:rPr>
              <w:t xml:space="preserve">Qué acredita</w:t>
            </w:r>
          </w:p>
        </w:tc>
        <w:tc>
          <w:tcPr>
            <w:tcW w:w="2074" w:type="dxa"/>
            <w:tcBorders>
              <w:bottom w:val="single" w:sz="12" w:space="0" w:color="6699CC"/>
            </w:tcBorders>
            <w:shd w:val="clear" w:color="auto" w:fill="B9D9EB"/>
          </w:tcPr>
          <w:p>
            <w:pPr>
              <w:pStyle w:val="Tabla9"/>
              <w:keepNext/>
              <w:jc w:val="left"/>
            </w:pPr>
            <w:r>
              <w:rPr>
                <w:b/>
              </w:rPr>
              <w:t xml:space="preserve">Si falta al radicar</w:t>
            </w:r>
          </w:p>
        </w:tc>
      </w:tr>
      <w:tr>
        <w:trPr>
          <w:cantSplit/>
        </w:trPr>
        <w:tc>
          <w:tcPr>
            <w:tcW w:w="2157" w:type="dxa"/>
          </w:tcPr>
          <w:p>
            <w:pPr>
              <w:pStyle w:val="Tabla9"/>
              <w:jc w:val="left"/>
            </w:pPr>
            <w:r>
              <w:t xml:space="preserve">Reporte oficial de afectación del municipio</w:t>
            </w:r>
          </w:p>
        </w:tc>
        <w:tc>
          <w:tcPr>
            <w:tcW w:w="1161" w:type="dxa"/>
          </w:tcPr>
          <w:p>
            <w:pPr>
              <w:pStyle w:val="Tabla9"/>
              <w:jc w:val="left"/>
            </w:pPr>
            <w:r>
              <w:t xml:space="preserve">12.1</w:t>
            </w:r>
          </w:p>
        </w:tc>
        <w:tc>
          <w:tcPr>
            <w:tcW w:w="2322" w:type="dxa"/>
          </w:tcPr>
          <w:p>
            <w:pPr>
              <w:pStyle w:val="Tabla9"/>
              <w:jc w:val="left"/>
            </w:pPr>
            <w:r>
              <w:t xml:space="preserve">UNGRD, consejo de gestión del riesgo, entidad territorial o entidad sectorial</w:t>
            </w:r>
          </w:p>
        </w:tc>
        <w:tc>
          <w:tcPr>
            <w:tcW w:w="2240" w:type="dxa"/>
          </w:tcPr>
          <w:p>
            <w:pPr>
              <w:pStyle w:val="Tabla9"/>
              <w:jc w:val="left"/>
            </w:pPr>
            <w:r>
              <w:t xml:space="preserve">Afectación producida o agravada por el terremoto</w:t>
            </w:r>
          </w:p>
        </w:tc>
        <w:tc>
          <w:tcPr>
            <w:tcW w:w="2074" w:type="dxa"/>
          </w:tcPr>
          <w:p>
            <w:pPr>
              <w:pStyle w:val="Tabla9"/>
              <w:jc w:val="left"/>
            </w:pPr>
            <w:r>
              <w:t xml:space="preserve">El municipio no se registra como lugar de ejecución</w:t>
            </w:r>
          </w:p>
        </w:tc>
      </w:tr>
      <w:tr>
        <w:trPr>
          <w:cantSplit/>
        </w:trPr>
        <w:tc>
          <w:tcPr>
            <w:tcW w:w="2157" w:type="dxa"/>
            <w:shd w:val="clear" w:color="auto" w:fill="F7F7F7"/>
          </w:tcPr>
          <w:p>
            <w:pPr>
              <w:pStyle w:val="Tabla9"/>
              <w:jc w:val="left"/>
            </w:pPr>
            <w:r>
              <w:t xml:space="preserve">Acto de declaratoria de desastre o calamidad pública que comprenda el municipio</w:t>
            </w:r>
          </w:p>
        </w:tc>
        <w:tc>
          <w:tcPr>
            <w:tcW w:w="1161" w:type="dxa"/>
            <w:shd w:val="clear" w:color="auto" w:fill="F7F7F7"/>
          </w:tcPr>
          <w:p>
            <w:pPr>
              <w:pStyle w:val="Tabla9"/>
              <w:jc w:val="left"/>
            </w:pPr>
            <w:r>
              <w:t xml:space="preserve">10.20</w:t>
            </w:r>
          </w:p>
        </w:tc>
        <w:tc>
          <w:tcPr>
            <w:tcW w:w="2322" w:type="dxa"/>
            <w:shd w:val="clear" w:color="auto" w:fill="F7F7F7"/>
          </w:tcPr>
          <w:p>
            <w:pPr>
              <w:pStyle w:val="Tabla9"/>
              <w:jc w:val="left"/>
            </w:pPr>
            <w:r>
              <w:t xml:space="preserve">Gobierno nacional (Decreto 1171 de 2026), gobernación o alcaldía</w:t>
            </w:r>
          </w:p>
        </w:tc>
        <w:tc>
          <w:tcPr>
            <w:tcW w:w="2240" w:type="dxa"/>
            <w:shd w:val="clear" w:color="auto" w:fill="F7F7F7"/>
          </w:tcPr>
          <w:p>
            <w:pPr>
              <w:pStyle w:val="Tabla9"/>
              <w:jc w:val="left"/>
            </w:pPr>
            <w:r>
              <w:t xml:space="preserve">Declaratoria vigente según el parágrafo del artículo 64 de la Ley 1523 de 2012</w:t>
            </w:r>
          </w:p>
        </w:tc>
        <w:tc>
          <w:tcPr>
            <w:tcW w:w="2074" w:type="dxa"/>
            <w:shd w:val="clear" w:color="auto" w:fill="F7F7F7"/>
          </w:tcPr>
          <w:p>
            <w:pPr>
              <w:pStyle w:val="Tabla9"/>
              <w:jc w:val="left"/>
            </w:pPr>
            <w:r>
              <w:t xml:space="preserve">Requisito no subsanable; el proyecto no continúa</w:t>
            </w:r>
          </w:p>
        </w:tc>
      </w:tr>
      <w:tr>
        <w:trPr>
          <w:cantSplit/>
        </w:trPr>
        <w:tc>
          <w:tcPr>
            <w:tcW w:w="2157" w:type="dxa"/>
          </w:tcPr>
          <w:p>
            <w:pPr>
              <w:pStyle w:val="Tabla9"/>
              <w:jc w:val="left"/>
            </w:pPr>
            <w:r>
              <w:t xml:space="preserve">Certificado de concordancia con el plan de acción específico</w:t>
            </w:r>
          </w:p>
        </w:tc>
        <w:tc>
          <w:tcPr>
            <w:tcW w:w="1161" w:type="dxa"/>
          </w:tcPr>
          <w:p>
            <w:pPr>
              <w:pStyle w:val="Tabla9"/>
              <w:jc w:val="left"/>
            </w:pPr>
            <w:r>
              <w:t xml:space="preserve">10.21</w:t>
            </w:r>
          </w:p>
        </w:tc>
        <w:tc>
          <w:tcPr>
            <w:tcW w:w="2322" w:type="dxa"/>
          </w:tcPr>
          <w:p>
            <w:pPr>
              <w:pStyle w:val="Tabla9"/>
              <w:jc w:val="left"/>
            </w:pPr>
            <w:r>
              <w:t xml:space="preserve">Representante legal de quien suscribió el plan: gobernación o alcaldía</w:t>
            </w:r>
          </w:p>
        </w:tc>
        <w:tc>
          <w:tcPr>
            <w:tcW w:w="2240" w:type="dxa"/>
          </w:tcPr>
          <w:p>
            <w:pPr>
              <w:pStyle w:val="Tabla9"/>
              <w:jc w:val="left"/>
            </w:pPr>
            <w:r>
              <w:t xml:space="preserve">Concordancia del proyecto y acciones para no reactivar el riesgo preexistente</w:t>
            </w:r>
          </w:p>
        </w:tc>
        <w:tc>
          <w:tcPr>
            <w:tcW w:w="2074" w:type="dxa"/>
          </w:tcPr>
          <w:p>
            <w:pPr>
              <w:pStyle w:val="Tabla9"/>
              <w:jc w:val="left"/>
            </w:pPr>
            <w:r>
              <w:t xml:space="preserve">Requisito no subsanable; el proyecto no continúa</w:t>
            </w:r>
          </w:p>
        </w:tc>
      </w:tr>
      <w:tr>
        <w:trPr>
          <w:cantSplit/>
        </w:trPr>
        <w:tc>
          <w:tcPr>
            <w:tcW w:w="2157" w:type="dxa"/>
            <w:shd w:val="clear" w:color="auto" w:fill="F7F7F7"/>
          </w:tcPr>
          <w:p>
            <w:pPr>
              <w:pStyle w:val="Tabla9"/>
              <w:keepNext/>
              <w:jc w:val="left"/>
            </w:pPr>
            <w:r>
              <w:t xml:space="preserve">Compromiso de uso o adopción del comité de gestión del riesgo</w:t>
            </w:r>
          </w:p>
        </w:tc>
        <w:tc>
          <w:tcPr>
            <w:tcW w:w="1161" w:type="dxa"/>
            <w:shd w:val="clear" w:color="auto" w:fill="F7F7F7"/>
          </w:tcPr>
          <w:p>
            <w:pPr>
              <w:pStyle w:val="Tabla9"/>
              <w:keepNext/>
              <w:jc w:val="left"/>
            </w:pPr>
            <w:r>
              <w:t xml:space="preserve">10.6 y Anexo 14</w:t>
            </w:r>
          </w:p>
        </w:tc>
        <w:tc>
          <w:tcPr>
            <w:tcW w:w="2322" w:type="dxa"/>
            <w:shd w:val="clear" w:color="auto" w:fill="F7F7F7"/>
          </w:tcPr>
          <w:p>
            <w:pPr>
              <w:pStyle w:val="Tabla9"/>
              <w:keepNext/>
              <w:jc w:val="left"/>
            </w:pPr>
            <w:r>
              <w:t xml:space="preserve">Alcaldía o gobernación responsable del comité</w:t>
            </w:r>
          </w:p>
        </w:tc>
        <w:tc>
          <w:tcPr>
            <w:tcW w:w="2240" w:type="dxa"/>
            <w:shd w:val="clear" w:color="auto" w:fill="F7F7F7"/>
          </w:tcPr>
          <w:p>
            <w:pPr>
              <w:pStyle w:val="Tabla9"/>
              <w:keepNext/>
              <w:jc w:val="left"/>
            </w:pPr>
            <w:r>
              <w:t xml:space="preserve">Uso del tablero y del protocolo de alerta en las decisiones del comité</w:t>
            </w:r>
          </w:p>
        </w:tc>
        <w:tc>
          <w:tcPr>
            <w:tcW w:w="2074" w:type="dxa"/>
            <w:shd w:val="clear" w:color="auto" w:fill="F7F7F7"/>
          </w:tcPr>
          <w:p>
            <w:pPr>
              <w:pStyle w:val="Tabla9"/>
              <w:keepNext/>
              <w:jc w:val="left"/>
            </w:pPr>
            <w:r>
              <w:t xml:space="preserve">No se incorpora después del cierre; el comité no cuenta en la meta de uso</w:t>
            </w:r>
          </w:p>
        </w:tc>
      </w:tr>
    </w:tbl>
    <w:p>
      <w:pPr>
        <w:pStyle w:val="TablaNota"/>
      </w:pPr>
      <w:r>
        <w:rPr>
          <w:i/>
          <w:iCs/>
        </w:rPr>
        <w:t xml:space="preserve">Nota.</w:t>
      </w:r>
      <w:r>
        <w:t xml:space="preserve"> </w:t>
      </w:r>
      <w:r>
        <w:t xml:space="preserve">Elaboración propia con los numerales 10.6, 10.20, 10.21 y 12.1 de los términos de referencia y con las respuestas de la Secretaría Técnica de la Convocatoria 56 (2026). UNGRD: Unidad Nacional para la Gestión del Riesgo de Desastres.</w:t>
      </w:r>
    </w:p>
    <w:p>
      <w:pPr>
        <w:pStyle w:val="BodyText"/>
      </w:pPr>
      <w:r>
        <w:t xml:space="preserve">Las respuestas de la Secretaría Técnica también exigen que los equipos se ubiquen y permanezcan en municipios afectados. La subsección 7.4 aplica esa regla a la sede del laboratorio de modelación.</w:t>
      </w:r>
    </w:p>
    <w:bookmarkEnd w:id="48"/>
    <w:bookmarkEnd w:id="49"/>
    <w:bookmarkEnd w:id="50"/>
    <w:bookmarkStart w:id="66" w:name="X31a2408ea8cacdb89bff4f1e7ca489b0dd1157b"/>
    <w:p>
      <w:pPr>
        <w:pStyle w:val="Heading1"/>
      </w:pPr>
      <w:r>
        <w:t xml:space="preserve">5. IDENTIFICACIÓN Y DESCRIPCIÓN DEL PROBLEMA</w:t>
      </w:r>
    </w:p>
    <w:bookmarkStart w:id="51"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51"/>
    <w:bookmarkStart w:id="57"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52"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17" w:name="rot_Tabla_5_1"/>
      <w:r>
        <w:rPr>
          <w:b/>
          <w:bCs/>
        </w:rPr>
        <w:t xml:space="preserve">Tabla 5.1</w:t>
      </w:r>
      <w:bookmarkEnd w:id="9017"/>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52"/>
    <w:bookmarkStart w:id="53"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18" w:name="rot_Tabla_5_2"/>
      <w:r>
        <w:rPr>
          <w:b/>
          <w:bCs/>
        </w:rPr>
        <w:t xml:space="preserve">Tabla 5.2</w:t>
      </w:r>
      <w:bookmarkEnd w:id="9018"/>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53"/>
    <w:bookmarkStart w:id="54"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El sismo ocurrió el 10 de agosto de 2026. No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54"/>
    <w:bookmarkStart w:id="55"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55"/>
    <w:bookmarkStart w:id="56"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19" w:name="rot_Tabla_5_3"/>
      <w:r>
        <w:rPr>
          <w:b/>
          <w:bCs/>
        </w:rPr>
        <w:t xml:space="preserve">Tabla 5.3</w:t>
      </w:r>
      <w:bookmarkEnd w:id="9019"/>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56"/>
    <w:bookmarkEnd w:id="57"/>
    <w:bookmarkStart w:id="61"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20" w:name="rot_Tabla_5_4"/>
      <w:r>
        <w:rPr>
          <w:b/>
          <w:bCs/>
        </w:rPr>
        <w:t xml:space="preserve">Tabla 5.4</w:t>
      </w:r>
      <w:bookmarkEnd w:id="9020"/>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56" w:name="rot_Figura_5_1"/>
      <w:r>
        <w:rPr>
          <w:b/>
          <w:bCs/>
        </w:rPr>
        <w:t xml:space="preserve">Figura 5.1</w:t>
      </w:r>
      <w:bookmarkEnd w:id="9156"/>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59" name="Picture"/>
            <a:graphic>
              <a:graphicData uri="http://schemas.openxmlformats.org/drawingml/2006/picture">
                <pic:pic>
                  <pic:nvPicPr>
                    <pic:cNvPr descr="/tmp/claude-0/-home-user-docs/8ca5c040-2adb-56b3-8e64-05d4e7e569ed/scratchpad/a2/figs/out/c5_f01.png" id="60" name="Picture"/>
                    <pic:cNvPicPr>
                      <a:picLocks noChangeArrowheads="1" noChangeAspect="1"/>
                    </pic:cNvPicPr>
                  </pic:nvPicPr>
                  <pic:blipFill>
                    <a:blip r:embed="rId58"/>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21" w:name="rot_Tabla_5_5"/>
      <w:r>
        <w:rPr>
          <w:b/>
          <w:bCs/>
        </w:rPr>
        <w:t xml:space="preserve">Tabla 5.5</w:t>
      </w:r>
      <w:bookmarkEnd w:id="9021"/>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61"/>
    <w:bookmarkStart w:id="65"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22" w:name="rot_Tabla_5_6"/>
      <w:r>
        <w:rPr>
          <w:b/>
          <w:bCs/>
        </w:rPr>
        <w:t xml:space="preserve">Tabla 5.6</w:t>
      </w:r>
      <w:bookmarkEnd w:id="9022"/>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57" w:name="rot_Figura_5_2"/>
      <w:r>
        <w:rPr>
          <w:b/>
          <w:bCs/>
        </w:rPr>
        <w:t xml:space="preserve">Figura 5.2</w:t>
      </w:r>
      <w:bookmarkEnd w:id="9157"/>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63" name="Picture"/>
            <a:graphic>
              <a:graphicData uri="http://schemas.openxmlformats.org/drawingml/2006/picture">
                <pic:pic>
                  <pic:nvPicPr>
                    <pic:cNvPr descr="/tmp/claude-0/-home-user-docs/8ca5c040-2adb-56b3-8e64-05d4e7e569ed/scratchpad/a2/figs/out/c5_f02.png" id="64" name="Picture"/>
                    <pic:cNvPicPr>
                      <a:picLocks noChangeArrowheads="1" noChangeAspect="1"/>
                    </pic:cNvPicPr>
                  </pic:nvPicPr>
                  <pic:blipFill>
                    <a:blip r:embed="rId62"/>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65"/>
    <w:bookmarkEnd w:id="66"/>
    <w:bookmarkStart w:id="78"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67"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23" w:name="rot_Tabla_6_1"/>
      <w:r>
        <w:rPr>
          <w:b/>
          <w:bCs/>
        </w:rPr>
        <w:t xml:space="preserve">Tabla 6.1</w:t>
      </w:r>
      <w:bookmarkEnd w:id="9023"/>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67"/>
    <w:bookmarkStart w:id="68"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68"/>
    <w:bookmarkStart w:id="69"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24" w:name="rot_Tabla_6_2"/>
      <w:r>
        <w:rPr>
          <w:b/>
          <w:bCs/>
        </w:rPr>
        <w:t xml:space="preserve">Tabla 6.2</w:t>
      </w:r>
      <w:bookmarkEnd w:id="9024"/>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69"/>
    <w:bookmarkStart w:id="76"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58" w:name="rot_Figura_6_1"/>
      <w:r>
        <w:rPr>
          <w:b/>
          <w:bCs/>
        </w:rPr>
        <w:t xml:space="preserve">Figura 6.1</w:t>
      </w:r>
      <w:bookmarkEnd w:id="9158"/>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71" name="Picture"/>
            <a:graphic>
              <a:graphicData uri="http://schemas.openxmlformats.org/drawingml/2006/picture">
                <pic:pic>
                  <pic:nvPicPr>
                    <pic:cNvPr descr="/tmp/claude-0/-home-user-docs/8ca5c040-2adb-56b3-8e64-05d4e7e569ed/scratchpad/a2/figs/out/c6_f01.png" id="72" name="Picture"/>
                    <pic:cNvPicPr>
                      <a:picLocks noChangeArrowheads="1" noChangeAspect="1"/>
                    </pic:cNvPicPr>
                  </pic:nvPicPr>
                  <pic:blipFill>
                    <a:blip r:embed="rId70"/>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59" w:name="rot_Figura_6_2"/>
      <w:r>
        <w:rPr>
          <w:b/>
          <w:bCs/>
        </w:rPr>
        <w:t xml:space="preserve">Figura 6.2</w:t>
      </w:r>
      <w:bookmarkEnd w:id="9159"/>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74" name="Picture"/>
            <a:graphic>
              <a:graphicData uri="http://schemas.openxmlformats.org/drawingml/2006/picture">
                <pic:pic>
                  <pic:nvPicPr>
                    <pic:cNvPr descr="/tmp/claude-0/-home-user-docs/8ca5c040-2adb-56b3-8e64-05d4e7e569ed/scratchpad/a2/figs/out/c6_f02.png" id="75" name="Picture"/>
                    <pic:cNvPicPr>
                      <a:picLocks noChangeArrowheads="1" noChangeAspect="1"/>
                    </pic:cNvPicPr>
                  </pic:nvPicPr>
                  <pic:blipFill>
                    <a:blip r:embed="rId73"/>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76"/>
    <w:bookmarkStart w:id="77"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25" w:name="rot_Tabla_6_3"/>
      <w:r>
        <w:rPr>
          <w:b/>
          <w:bCs/>
        </w:rPr>
        <w:t xml:space="preserve">Tabla 6.3</w:t>
      </w:r>
      <w:bookmarkEnd w:id="9025"/>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77"/>
    <w:bookmarkEnd w:id="78"/>
    <w:bookmarkStart w:id="83"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79"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26" w:name="rot_Tabla_7_1"/>
      <w:r>
        <w:rPr>
          <w:b/>
          <w:bCs/>
        </w:rPr>
        <w:t xml:space="preserve">Tabla 7.1</w:t>
      </w:r>
      <w:bookmarkEnd w:id="9026"/>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79"/>
    <w:bookmarkStart w:id="80"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27" w:name="rot_Tabla_7_2"/>
      <w:r>
        <w:rPr>
          <w:b/>
          <w:bCs/>
        </w:rPr>
        <w:t xml:space="preserve">Tabla 7.2</w:t>
      </w:r>
      <w:bookmarkEnd w:id="9027"/>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80"/>
    <w:bookmarkStart w:id="81"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28" w:name="rot_Tabla_7_3"/>
      <w:r>
        <w:rPr>
          <w:b/>
          <w:bCs/>
        </w:rPr>
        <w:t xml:space="preserve">Tabla 7.3</w:t>
      </w:r>
      <w:bookmarkEnd w:id="9028"/>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81"/>
    <w:bookmarkStart w:id="82"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29" w:name="rot_Tabla_7_4"/>
      <w:r>
        <w:rPr>
          <w:b/>
          <w:bCs/>
        </w:rPr>
        <w:t xml:space="preserve">Tabla 7.4</w:t>
      </w:r>
      <w:bookmarkEnd w:id="9029"/>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TdR financian equipos y adecuaciones solo si se ubican en municipios afectados y se relacionan con la demanda (Secretaría Técnica de la Convocatoria 56, 2026). Por eso los nodos, los gateways y los monitores de referencia se instalan en los lugares de ejecución. Los demás equipos son el banco de calibración, las estaciones de trabajo, el servidor, el dron y los monitores portátiles. Se ubican en una sede dentro de un municipio afectado que es lugar de ejecución </w:t>
      </w:r>
      <w:r>
        <w:rPr>
          <w:color w:val="00B050"/>
        </w:rPr>
        <w:t xml:space="preserve">[Diligenciar: sede de esos equipos]</w:t>
      </w:r>
      <w:r>
        <w:t xml:space="preserve">. Los laboratorios de la universidad o del actor del SNCTI fuera de esos municipios prestan servicio técnico o contrapartida. El proyecto no compra equipos en ellos. El análisis gravimétrico de los filtros se contrata fuera del territorio afectado solo si allí no existe un laboratorio acreditado. Es una actividad de apoyo indispensable.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82"/>
    <w:bookmarkEnd w:id="83"/>
    <w:bookmarkStart w:id="91"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84"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84"/>
    <w:bookmarkStart w:id="85"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30" w:name="rot_Tabla_8_1"/>
      <w:r>
        <w:rPr>
          <w:b/>
          <w:bCs/>
        </w:rPr>
        <w:t xml:space="preserve">Tabla 8.1</w:t>
      </w:r>
      <w:bookmarkEnd w:id="9030"/>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85"/>
    <w:bookmarkStart w:id="89"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31" w:name="rot_Tabla_8_2"/>
      <w:r>
        <w:rPr>
          <w:b/>
          <w:bCs/>
        </w:rPr>
        <w:t xml:space="preserve">Tabla 8.2</w:t>
      </w:r>
      <w:bookmarkEnd w:id="9031"/>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60" w:name="rot_Figura_8_1"/>
      <w:r>
        <w:rPr>
          <w:b/>
          <w:bCs/>
        </w:rPr>
        <w:t xml:space="preserve">Figura 8.1</w:t>
      </w:r>
      <w:bookmarkEnd w:id="9160"/>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87" name="Picture"/>
            <a:graphic>
              <a:graphicData uri="http://schemas.openxmlformats.org/drawingml/2006/picture">
                <pic:pic>
                  <pic:nvPicPr>
                    <pic:cNvPr descr="/tmp/claude-0/-home-user-docs/8ca5c040-2adb-56b3-8e64-05d4e7e569ed/scratchpad/a2/figs/out/c8_f01.png" id="88" name="Picture"/>
                    <pic:cNvPicPr>
                      <a:picLocks noChangeArrowheads="1" noChangeAspect="1"/>
                    </pic:cNvPicPr>
                  </pic:nvPicPr>
                  <pic:blipFill>
                    <a:blip r:embed="rId86"/>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p>
      <w:pPr>
        <w:pStyle w:val="BodyText"/>
      </w:pPr>
      <w:r>
        <w:t xml:space="preserve">La Tabla 8.3 es la matriz de trazabilidad territorial. Relaciona por departamento seis elementos: la afectación, la demanda, las actividades, los productos, las metas y los responsables. Responde a la indicación de la Secretaría Técnica (Secretaría Técnica de la Convocatoria 56, 2026). Los TdR no fijan un formato. La matriz se desagrega por municipio cuando se fijan los lugares de ejecución </w:t>
      </w:r>
      <w:r>
        <w:rPr>
          <w:color w:val="00B050"/>
        </w:rPr>
        <w:t xml:space="preserve">[Diligenciar: nombres de los 12 municipios]</w:t>
      </w:r>
      <w:r>
        <w:t xml:space="preserve">.</w:t>
      </w:r>
    </w:p>
    <w:p>
      <w:pPr>
        <w:pStyle w:val="TablaRotulo"/>
      </w:pPr>
      <w:bookmarkStart w:id="9032" w:name="rot_Tabla_8_3"/>
      <w:r>
        <w:rPr>
          <w:b/>
          <w:bCs/>
        </w:rPr>
        <w:t xml:space="preserve">Tabla 8.3</w:t>
      </w:r>
      <w:bookmarkEnd w:id="9032"/>
    </w:p>
    <w:p>
      <w:pPr>
        <w:pStyle w:val="TablaTitulo"/>
      </w:pPr>
      <w:r>
        <w:rPr>
          <w:i/>
          <w:iCs/>
        </w:rPr>
        <w:t xml:space="preserve">Matriz de trazabilidad territorial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1505"/>
        <w:gridCol w:w="1171"/>
        <w:gridCol w:w="1338"/>
        <w:gridCol w:w="1422"/>
        <w:gridCol w:w="1591"/>
        <w:gridCol w:w="1505"/>
      </w:tblGrid>
      <w:tr>
        <w:trPr>
          <w:cantSplit/>
          <w:tblHeader w:val="true"/>
          <w:tblHeader/>
        </w:trPr>
        <w:tc>
          <w:tcPr>
            <w:tcW w:w="1422" w:type="dxa"/>
            <w:tcBorders>
              <w:bottom w:val="single" w:sz="12" w:space="0" w:color="6699CC"/>
            </w:tcBorders>
            <w:shd w:val="clear" w:color="auto" w:fill="B9D9EB"/>
          </w:tcPr>
          <w:p>
            <w:pPr>
              <w:pStyle w:val="Tabla8"/>
              <w:keepNext/>
              <w:jc w:val="left"/>
            </w:pPr>
            <w:r>
              <w:rPr>
                <w:b/>
              </w:rPr>
              <w:t xml:space="preserve">Departamento</w:t>
            </w:r>
          </w:p>
        </w:tc>
        <w:tc>
          <w:tcPr>
            <w:tcW w:w="1505" w:type="dxa"/>
            <w:tcBorders>
              <w:bottom w:val="single" w:sz="12" w:space="0" w:color="6699CC"/>
            </w:tcBorders>
            <w:shd w:val="clear" w:color="auto" w:fill="B9D9EB"/>
          </w:tcPr>
          <w:p>
            <w:pPr>
              <w:pStyle w:val="Tabla8"/>
              <w:keepNext/>
              <w:jc w:val="left"/>
            </w:pPr>
            <w:r>
              <w:rPr>
                <w:b/>
              </w:rPr>
              <w:t xml:space="preserve">Afectación que se acredita</w:t>
            </w:r>
          </w:p>
        </w:tc>
        <w:tc>
          <w:tcPr>
            <w:tcW w:w="1171" w:type="dxa"/>
            <w:tcBorders>
              <w:bottom w:val="single" w:sz="12" w:space="0" w:color="6699CC"/>
            </w:tcBorders>
            <w:shd w:val="clear" w:color="auto" w:fill="B9D9EB"/>
          </w:tcPr>
          <w:p>
            <w:pPr>
              <w:pStyle w:val="Tabla8"/>
              <w:keepNext/>
              <w:jc w:val="left"/>
            </w:pPr>
            <w:r>
              <w:rPr>
                <w:b/>
              </w:rPr>
              <w:t xml:space="preserve">Demanda</w:t>
            </w:r>
          </w:p>
        </w:tc>
        <w:tc>
          <w:tcPr>
            <w:tcW w:w="1338" w:type="dxa"/>
            <w:tcBorders>
              <w:bottom w:val="single" w:sz="12" w:space="0" w:color="6699CC"/>
            </w:tcBorders>
            <w:shd w:val="clear" w:color="auto" w:fill="B9D9EB"/>
          </w:tcPr>
          <w:p>
            <w:pPr>
              <w:pStyle w:val="Tabla8"/>
              <w:keepNext/>
              <w:jc w:val="left"/>
            </w:pPr>
            <w:r>
              <w:rPr>
                <w:b/>
              </w:rPr>
              <w:t xml:space="preserve">Actividades</w:t>
            </w:r>
          </w:p>
        </w:tc>
        <w:tc>
          <w:tcPr>
            <w:tcW w:w="1422" w:type="dxa"/>
            <w:tcBorders>
              <w:bottom w:val="single" w:sz="12" w:space="0" w:color="6699CC"/>
            </w:tcBorders>
            <w:shd w:val="clear" w:color="auto" w:fill="B9D9EB"/>
          </w:tcPr>
          <w:p>
            <w:pPr>
              <w:pStyle w:val="Tabla8"/>
              <w:keepNext/>
              <w:jc w:val="left"/>
            </w:pPr>
            <w:r>
              <w:rPr>
                <w:b/>
              </w:rPr>
              <w:t xml:space="preserve">Productos</w:t>
            </w:r>
          </w:p>
        </w:tc>
        <w:tc>
          <w:tcPr>
            <w:tcW w:w="1591" w:type="dxa"/>
            <w:tcBorders>
              <w:bottom w:val="single" w:sz="12" w:space="0" w:color="6699CC"/>
            </w:tcBorders>
            <w:shd w:val="clear" w:color="auto" w:fill="B9D9EB"/>
          </w:tcPr>
          <w:p>
            <w:pPr>
              <w:pStyle w:val="Tabla8"/>
              <w:keepNext/>
              <w:jc w:val="left"/>
            </w:pPr>
            <w:r>
              <w:rPr>
                <w:b/>
              </w:rPr>
              <w:t xml:space="preserve">Metas</w:t>
            </w:r>
          </w:p>
        </w:tc>
        <w:tc>
          <w:tcPr>
            <w:tcW w:w="1505" w:type="dxa"/>
            <w:tcBorders>
              <w:bottom w:val="single" w:sz="12" w:space="0" w:color="6699CC"/>
            </w:tcBorders>
            <w:shd w:val="clear" w:color="auto" w:fill="B9D9EB"/>
          </w:tcPr>
          <w:p>
            <w:pPr>
              <w:pStyle w:val="Tabla8"/>
              <w:keepNext/>
              <w:jc w:val="left"/>
            </w:pPr>
            <w:r>
              <w:rPr>
                <w:b/>
              </w:rPr>
              <w:t xml:space="preserve">Responsables</w:t>
            </w:r>
          </w:p>
        </w:tc>
      </w:tr>
      <w:tr>
        <w:trPr>
          <w:cantSplit/>
        </w:trPr>
        <w:tc>
          <w:tcPr>
            <w:tcW w:w="1422" w:type="dxa"/>
          </w:tcPr>
          <w:p>
            <w:pPr>
              <w:pStyle w:val="Tabla8"/>
              <w:jc w:val="left"/>
            </w:pPr>
            <w:r>
              <w:t xml:space="preserve">Caldas</w:t>
            </w:r>
          </w:p>
        </w:tc>
        <w:tc>
          <w:tcPr>
            <w:tcW w:w="1505" w:type="dxa"/>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jc w:val="left"/>
            </w:pPr>
            <w:r>
              <w:t xml:space="preserve">Medición verificada de PM2,5 y PM10 y estimación previa de la exposición en sitios de remoción y demolición</w:t>
            </w:r>
          </w:p>
        </w:tc>
        <w:tc>
          <w:tcPr>
            <w:tcW w:w="1338" w:type="dxa"/>
          </w:tcPr>
          <w:p>
            <w:pPr>
              <w:pStyle w:val="Tabla8"/>
              <w:jc w:val="left"/>
            </w:pPr>
            <w:r>
              <w:t xml:space="preserve">1.1, 1.3 a 1.7, 2.3, 2.4 y 3.1 a 3.5</w:t>
            </w:r>
          </w:p>
        </w:tc>
        <w:tc>
          <w:tcPr>
            <w:tcW w:w="1422" w:type="dxa"/>
          </w:tcPr>
          <w:p>
            <w:pPr>
              <w:pStyle w:val="Tabla8"/>
              <w:jc w:val="left"/>
            </w:pPr>
            <w:r>
              <w:t xml:space="preserve">33 nodos y 1 monitor de referencia; 5 comités con tablero; evaluaciones previas de demolición</w:t>
            </w:r>
          </w:p>
        </w:tc>
        <w:tc>
          <w:tcPr>
            <w:tcW w:w="1591" w:type="dxa"/>
          </w:tcPr>
          <w:p>
            <w:pPr>
              <w:pStyle w:val="Tabla8"/>
              <w:jc w:val="left"/>
            </w:pPr>
            <w:r>
              <w:t xml:space="preserve">R² ≥ 0,70 y NRMSE ≤ 30 % frente a la referencia; disponibilidad ≥ 90 %; al menos 3 evaluaciones previas y 2 eventos válidos</w:t>
            </w:r>
          </w:p>
        </w:tc>
        <w:tc>
          <w:tcPr>
            <w:tcW w:w="1505" w:type="dxa"/>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shd w:val="clear" w:color="auto" w:fill="F7F7F7"/>
          </w:tcPr>
          <w:p>
            <w:pPr>
              <w:pStyle w:val="Tabla8"/>
              <w:jc w:val="left"/>
            </w:pPr>
            <w:r>
              <w:t xml:space="preserve">Cundinamarca</w:t>
            </w:r>
          </w:p>
        </w:tc>
        <w:tc>
          <w:tcPr>
            <w:tcW w:w="1505" w:type="dxa"/>
            <w:shd w:val="clear" w:color="auto" w:fill="F7F7F7"/>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shd w:val="clear" w:color="auto" w:fill="F7F7F7"/>
          </w:tcPr>
          <w:p>
            <w:pPr>
              <w:pStyle w:val="Tabla8"/>
              <w:jc w:val="left"/>
            </w:pPr>
            <w:r>
              <w:t xml:space="preserve">Medición verificada de PM2,5 y PM10 y estimación previa de la exposición en sitios de remoción y demolición</w:t>
            </w:r>
          </w:p>
        </w:tc>
        <w:tc>
          <w:tcPr>
            <w:tcW w:w="1338" w:type="dxa"/>
            <w:shd w:val="clear" w:color="auto" w:fill="F7F7F7"/>
          </w:tcPr>
          <w:p>
            <w:pPr>
              <w:pStyle w:val="Tabla8"/>
              <w:jc w:val="left"/>
            </w:pPr>
            <w:r>
              <w:t xml:space="preserve">1.1, 1.3 a 1.7, 2.3, 2.4 y 3.1 a 3.5</w:t>
            </w:r>
          </w:p>
        </w:tc>
        <w:tc>
          <w:tcPr>
            <w:tcW w:w="1422" w:type="dxa"/>
            <w:shd w:val="clear" w:color="auto" w:fill="F7F7F7"/>
          </w:tcPr>
          <w:p>
            <w:pPr>
              <w:pStyle w:val="Tabla8"/>
              <w:jc w:val="left"/>
            </w:pPr>
            <w:r>
              <w:t xml:space="preserve">34 nodos y 1 monitor de referencia; 5 comités con tablero; evaluaciones previas de demolición</w:t>
            </w:r>
          </w:p>
        </w:tc>
        <w:tc>
          <w:tcPr>
            <w:tcW w:w="1591" w:type="dxa"/>
            <w:shd w:val="clear" w:color="auto" w:fill="F7F7F7"/>
          </w:tcPr>
          <w:p>
            <w:pPr>
              <w:pStyle w:val="Tabla8"/>
              <w:jc w:val="left"/>
            </w:pPr>
            <w:r>
              <w:t xml:space="preserve">R² ≥ 0,70 y NRMSE ≤ 30 % frente a la referencia; disponibilidad ≥ 90 %; al menos 3 evaluaciones previas y 2 eventos válidos</w:t>
            </w:r>
          </w:p>
        </w:tc>
        <w:tc>
          <w:tcPr>
            <w:tcW w:w="1505" w:type="dxa"/>
            <w:shd w:val="clear" w:color="auto" w:fill="F7F7F7"/>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tcPr>
          <w:p>
            <w:pPr>
              <w:pStyle w:val="Tabla8"/>
              <w:keepNext/>
              <w:jc w:val="left"/>
            </w:pPr>
            <w:r>
              <w:t xml:space="preserve">Valle del Cauca</w:t>
            </w:r>
          </w:p>
        </w:tc>
        <w:tc>
          <w:tcPr>
            <w:tcW w:w="1505" w:type="dxa"/>
          </w:tcPr>
          <w:p>
            <w:pPr>
              <w:pStyle w:val="Tabla8"/>
              <w:keepNext/>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keepNext/>
              <w:jc w:val="left"/>
            </w:pPr>
            <w:r>
              <w:t xml:space="preserve">Medición verificada de PM2,5 y PM10 y estimación previa de la exposición en sitios de remoción y demolición</w:t>
            </w:r>
          </w:p>
        </w:tc>
        <w:tc>
          <w:tcPr>
            <w:tcW w:w="1338" w:type="dxa"/>
          </w:tcPr>
          <w:p>
            <w:pPr>
              <w:pStyle w:val="Tabla8"/>
              <w:keepNext/>
              <w:jc w:val="left"/>
            </w:pPr>
            <w:r>
              <w:t xml:space="preserve">1.1, 1.3 a 1.7, 2.3, 2.4 y 3.1 a 3.5</w:t>
            </w:r>
          </w:p>
        </w:tc>
        <w:tc>
          <w:tcPr>
            <w:tcW w:w="1422" w:type="dxa"/>
          </w:tcPr>
          <w:p>
            <w:pPr>
              <w:pStyle w:val="Tabla8"/>
              <w:keepNext/>
              <w:jc w:val="left"/>
            </w:pPr>
            <w:r>
              <w:t xml:space="preserve">33 nodos y 1 monitor de referencia; 5 comités con tablero; evaluaciones previas de demolición</w:t>
            </w:r>
          </w:p>
        </w:tc>
        <w:tc>
          <w:tcPr>
            <w:tcW w:w="1591" w:type="dxa"/>
          </w:tcPr>
          <w:p>
            <w:pPr>
              <w:pStyle w:val="Tabla8"/>
              <w:keepNext/>
              <w:jc w:val="left"/>
            </w:pPr>
            <w:r>
              <w:t xml:space="preserve">R² ≥ 0,70 y NRMSE ≤ 30 % frente a la referencia; disponibilidad ≥ 90 %; al menos 3 evaluaciones previas y 2 eventos válidos</w:t>
            </w:r>
          </w:p>
        </w:tc>
        <w:tc>
          <w:tcPr>
            <w:tcW w:w="1505" w:type="dxa"/>
          </w:tcPr>
          <w:p>
            <w:pPr>
              <w:pStyle w:val="Tabla8"/>
              <w:keepNext/>
              <w:jc w:val="left"/>
            </w:pPr>
            <w:r>
              <w:t xml:space="preserve">Universidad y empresa tecnológica; municipio aliado </w:t>
            </w:r>
            <w:r>
              <w:rPr>
                <w:color w:val="00B050"/>
              </w:rPr>
              <w:t xml:space="preserve">[Diligenciar: departamento del municipio aliado]</w:t>
            </w:r>
            <w:r>
              <w:t xml:space="preserve">; gobernación y comités</w:t>
            </w:r>
          </w:p>
        </w:tc>
      </w:tr>
    </w:tbl>
    <w:p>
      <w:pPr>
        <w:pStyle w:val="TablaNota"/>
      </w:pPr>
      <w:r>
        <w:rPr>
          <w:i/>
          <w:iCs/>
        </w:rPr>
        <w:t xml:space="preserve">Nota.</w:t>
      </w:r>
      <w:r>
        <w:t xml:space="preserve"> </w:t>
      </w:r>
      <w:r>
        <w:t xml:space="preserve">Elaboración propia con la formulación del proyecto. Las actividades se numeran como en las secciones 14 y 21. La meta de uso es de 75 % de los 15 comités del proyecto al mes 24. PM2,5 y PM10: material particulado de menos de 2,5 y de menos de 10 micras. R²: coeficiente de determinación. NRMSE: error cuadrático medio normalizado.</w:t>
      </w:r>
    </w:p>
    <w:bookmarkEnd w:id="89"/>
    <w:bookmarkStart w:id="90"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90"/>
    <w:bookmarkEnd w:id="91"/>
    <w:bookmarkStart w:id="108"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103" w:name="fundamentos-teóricos"/>
    <w:p>
      <w:pPr>
        <w:pStyle w:val="Heading2"/>
      </w:pPr>
      <w:r>
        <w:t xml:space="preserve">9.1 Fundamentos teóricos</w:t>
      </w:r>
    </w:p>
    <w:bookmarkStart w:id="92"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92"/>
    <w:bookmarkStart w:id="93"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93"/>
    <w:bookmarkStart w:id="94"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94"/>
    <w:bookmarkStart w:id="95"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95"/>
    <w:bookmarkStart w:id="96"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96"/>
    <w:bookmarkStart w:id="97"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97"/>
    <w:bookmarkStart w:id="98"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98"/>
    <w:bookmarkStart w:id="102"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33" w:name="rot_Tabla_9_1"/>
      <w:r>
        <w:rPr>
          <w:b/>
          <w:bCs/>
        </w:rPr>
        <w:t xml:space="preserve">Tabla 9.1</w:t>
      </w:r>
      <w:bookmarkEnd w:id="9033"/>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61" w:name="rot_Figura_9_1"/>
      <w:r>
        <w:rPr>
          <w:b/>
          <w:bCs/>
        </w:rPr>
        <w:t xml:space="preserve">Figura 9.1</w:t>
      </w:r>
      <w:bookmarkEnd w:id="9161"/>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100" name="Picture"/>
            <a:graphic>
              <a:graphicData uri="http://schemas.openxmlformats.org/drawingml/2006/picture">
                <pic:pic>
                  <pic:nvPicPr>
                    <pic:cNvPr descr="/tmp/claude-0/-home-user-docs/8ca5c040-2adb-56b3-8e64-05d4e7e569ed/scratchpad/a2/figs/out/c9_f01.png" id="101" name="Picture"/>
                    <pic:cNvPicPr>
                      <a:picLocks noChangeArrowheads="1" noChangeAspect="1"/>
                    </pic:cNvPicPr>
                  </pic:nvPicPr>
                  <pic:blipFill>
                    <a:blip r:embed="rId99"/>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102"/>
    <w:bookmarkEnd w:id="103"/>
    <w:bookmarkStart w:id="104"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34" w:name="rot_Tabla_9_2"/>
      <w:r>
        <w:rPr>
          <w:b/>
          <w:bCs/>
        </w:rPr>
        <w:t xml:space="preserve">Tabla 9.2</w:t>
      </w:r>
      <w:bookmarkEnd w:id="9034"/>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104"/>
    <w:bookmarkStart w:id="105"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35" w:name="rot_Tabla_9_3"/>
      <w:r>
        <w:rPr>
          <w:b/>
          <w:bCs/>
        </w:rPr>
        <w:t xml:space="preserve">Tabla 9.3</w:t>
      </w:r>
      <w:bookmarkEnd w:id="9035"/>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105"/>
    <w:bookmarkStart w:id="106"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106"/>
    <w:bookmarkStart w:id="107"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Decreto 1171 de 2026 declaró la situación de desastre de carácter nacional y sirve como primer soporte en los municipios que comprende (Secretaría Técnica de la Convocatoria 56, 2026). Cada requisito debe cubrir todos los lugares de ejecución. El proyecto debe confirmar que el decreto comprende cada municipio </w:t>
      </w:r>
      <w:r>
        <w:rPr>
          <w:color w:val="00B050"/>
        </w:rPr>
        <w:t xml:space="preserve">[Diligenciar: cobertura del decreto por municipio]</w:t>
      </w:r>
      <w:r>
        <w:t xml:space="preserve">. Aún no cuenta con el segundo soporte </w:t>
      </w:r>
      <w:r>
        <w:rPr>
          <w:color w:val="00B050"/>
        </w:rPr>
        <w:t xml:space="preserve">[Diligenciar: certificado del plan de acción de cada lugar de ejecución]</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36" w:name="rot_Tabla_9_4"/>
      <w:r>
        <w:rPr>
          <w:b/>
          <w:bCs/>
        </w:rPr>
        <w:t xml:space="preserve">Tabla 9.4</w:t>
      </w:r>
      <w:bookmarkEnd w:id="9036"/>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1171 de 2026</w:t>
            </w:r>
          </w:p>
        </w:tc>
        <w:tc>
          <w:tcPr>
            <w:tcW w:w="2571" w:type="dxa"/>
            <w:shd w:val="clear" w:color="auto" w:fill="F7F7F7"/>
          </w:tcPr>
          <w:p>
            <w:pPr>
              <w:pStyle w:val="Tabla9"/>
              <w:jc w:val="left"/>
            </w:pPr>
            <w:r>
              <w:t xml:space="preserve">Declaratoria de la situación de desastre de carácter nacional</w:t>
            </w:r>
          </w:p>
        </w:tc>
        <w:tc>
          <w:tcPr>
            <w:tcW w:w="2571" w:type="dxa"/>
            <w:shd w:val="clear" w:color="auto" w:fill="F7F7F7"/>
          </w:tcPr>
          <w:p>
            <w:pPr>
              <w:pStyle w:val="Tabla9"/>
              <w:jc w:val="left"/>
            </w:pPr>
            <w:r>
              <w:t xml:space="preserve">Sustenta el numeral 10.20 en los municipios que comprende</w:t>
            </w:r>
          </w:p>
        </w:tc>
        <w:tc>
          <w:tcPr>
            <w:tcW w:w="2406" w:type="dxa"/>
            <w:shd w:val="clear" w:color="auto" w:fill="F7F7F7"/>
          </w:tcPr>
          <w:p>
            <w:pPr>
              <w:pStyle w:val="Tabla9"/>
              <w:jc w:val="left"/>
            </w:pPr>
            <w:r>
              <w:rPr>
                <w:color w:val="00B050"/>
              </w:rPr>
              <w:t xml:space="preserve">[Diligenciar: cobertura del decreto por municipio]</w:t>
            </w:r>
          </w:p>
        </w:tc>
      </w:tr>
      <w:tr>
        <w:trPr>
          <w:cantSplit/>
        </w:trPr>
        <w:tc>
          <w:tcPr>
            <w:tcW w:w="2406" w:type="dxa"/>
          </w:tcPr>
          <w:p>
            <w:pPr>
              <w:pStyle w:val="Tabla9"/>
              <w:jc w:val="left"/>
            </w:pPr>
            <w:r>
              <w:t xml:space="preserve">Decreto Legislativo 1414 de 2026</w:t>
            </w:r>
          </w:p>
        </w:tc>
        <w:tc>
          <w:tcPr>
            <w:tcW w:w="2571" w:type="dxa"/>
          </w:tcPr>
          <w:p>
            <w:pPr>
              <w:pStyle w:val="Tabla9"/>
              <w:jc w:val="left"/>
            </w:pPr>
            <w:r>
              <w:t xml:space="preserve">Medidas transitorias para proyectos del SGR; artículos 2, 6 y 7</w:t>
            </w:r>
          </w:p>
        </w:tc>
        <w:tc>
          <w:tcPr>
            <w:tcW w:w="2571" w:type="dxa"/>
          </w:tcPr>
          <w:p>
            <w:pPr>
              <w:pStyle w:val="Tabla9"/>
              <w:jc w:val="left"/>
            </w:pPr>
            <w:r>
              <w:t xml:space="preserve">Habilita nuevas demandas, fija las líneas estratégicas y exige productos verificables</w:t>
            </w:r>
          </w:p>
        </w:tc>
        <w:tc>
          <w:tcPr>
            <w:tcW w:w="2406" w:type="dxa"/>
          </w:tcPr>
          <w:p>
            <w:pPr>
              <w:pStyle w:val="Tabla9"/>
              <w:jc w:val="left"/>
            </w:pPr>
            <w:r>
              <w:rPr>
                <w:color w:val="00B050"/>
              </w:rPr>
              <w:t xml:space="preserve">[Diligenciar: código de la demanda en el Anexo 4]</w:t>
            </w:r>
          </w:p>
        </w:tc>
      </w:tr>
      <w:tr>
        <w:trPr>
          <w:cantSplit/>
        </w:trPr>
        <w:tc>
          <w:tcPr>
            <w:tcW w:w="2406" w:type="dxa"/>
            <w:shd w:val="clear" w:color="auto" w:fill="F7F7F7"/>
          </w:tcPr>
          <w:p>
            <w:pPr>
              <w:pStyle w:val="Tabla9"/>
              <w:jc w:val="left"/>
            </w:pPr>
            <w:r>
              <w:t xml:space="preserve">Ley 2056 de 2020</w:t>
            </w:r>
          </w:p>
        </w:tc>
        <w:tc>
          <w:tcPr>
            <w:tcW w:w="2571" w:type="dxa"/>
            <w:shd w:val="clear" w:color="auto" w:fill="F7F7F7"/>
          </w:tcPr>
          <w:p>
            <w:pPr>
              <w:pStyle w:val="Tabla9"/>
              <w:jc w:val="left"/>
            </w:pPr>
            <w:r>
              <w:t xml:space="preserve">Régimen del SGR; artículos 53 y 55</w:t>
            </w:r>
          </w:p>
        </w:tc>
        <w:tc>
          <w:tcPr>
            <w:tcW w:w="2571" w:type="dxa"/>
            <w:shd w:val="clear" w:color="auto" w:fill="F7F7F7"/>
          </w:tcPr>
          <w:p>
            <w:pPr>
              <w:pStyle w:val="Tabla9"/>
              <w:jc w:val="left"/>
            </w:pPr>
            <w:r>
              <w:t xml:space="preserve">Fuente de financiación y régimen de vigilancia</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1821 de 2020</w:t>
            </w:r>
          </w:p>
        </w:tc>
        <w:tc>
          <w:tcPr>
            <w:tcW w:w="2571" w:type="dxa"/>
          </w:tcPr>
          <w:p>
            <w:pPr>
              <w:pStyle w:val="Tabla9"/>
              <w:jc w:val="left"/>
            </w:pPr>
            <w:r>
              <w:t xml:space="preserve">Decreto Único Reglamentario del SGR; artículos 1.2.3.2.2, 1.2.1.2.29, 1.2.3.1.1 y 1.2.3.3.2</w:t>
            </w:r>
          </w:p>
        </w:tc>
        <w:tc>
          <w:tcPr>
            <w:tcW w:w="2571" w:type="dxa"/>
          </w:tcPr>
          <w:p>
            <w:pPr>
              <w:pStyle w:val="Tabla9"/>
              <w:jc w:val="left"/>
            </w:pPr>
            <w:r>
              <w:t xml:space="preserve">Alianza, desempeño del proponente, gobernanza y vigilancia</w:t>
            </w:r>
          </w:p>
        </w:tc>
        <w:tc>
          <w:tcPr>
            <w:tcW w:w="2406" w:type="dxa"/>
          </w:tcPr>
          <w:p>
            <w:pPr>
              <w:pStyle w:val="Tabla9"/>
              <w:jc w:val="left"/>
            </w:pPr>
            <w:r>
              <w:rPr>
                <w:color w:val="00B050"/>
              </w:rPr>
              <w:t xml:space="preserve">[Diligenciar: nombres de las entidades de la alianza]</w:t>
            </w:r>
          </w:p>
        </w:tc>
      </w:tr>
      <w:tr>
        <w:trPr>
          <w:cantSplit/>
        </w:trPr>
        <w:tc>
          <w:tcPr>
            <w:tcW w:w="2406" w:type="dxa"/>
            <w:shd w:val="clear" w:color="auto" w:fill="F7F7F7"/>
          </w:tcPr>
          <w:p>
            <w:pPr>
              <w:pStyle w:val="Tabla9"/>
              <w:jc w:val="left"/>
            </w:pPr>
            <w:r>
              <w:t xml:space="preserve">Acuerdo 12 de 2024 de la Comisión Rectora del SGR</w:t>
            </w:r>
          </w:p>
        </w:tc>
        <w:tc>
          <w:tcPr>
            <w:tcW w:w="2571" w:type="dxa"/>
            <w:shd w:val="clear" w:color="auto" w:fill="F7F7F7"/>
          </w:tcPr>
          <w:p>
            <w:pPr>
              <w:pStyle w:val="Tabla9"/>
              <w:jc w:val="left"/>
            </w:pPr>
            <w:r>
              <w:t xml:space="preserve">Requisitos y viabilidad de proyectos</w:t>
            </w:r>
          </w:p>
        </w:tc>
        <w:tc>
          <w:tcPr>
            <w:tcW w:w="2571" w:type="dxa"/>
            <w:shd w:val="clear" w:color="auto" w:fill="F7F7F7"/>
          </w:tcPr>
          <w:p>
            <w:pPr>
              <w:pStyle w:val="Tabla9"/>
              <w:jc w:val="left"/>
            </w:pPr>
            <w:r>
              <w:t xml:space="preserve">Define las etapas de verificación de requisitos</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591 de 1991</w:t>
            </w:r>
          </w:p>
        </w:tc>
        <w:tc>
          <w:tcPr>
            <w:tcW w:w="2571" w:type="dxa"/>
          </w:tcPr>
          <w:p>
            <w:pPr>
              <w:pStyle w:val="Tabla9"/>
              <w:jc w:val="left"/>
            </w:pPr>
            <w:r>
              <w:t xml:space="preserve">Actividades de ciencia, tecnología e innovación; artículo 2</w:t>
            </w:r>
          </w:p>
        </w:tc>
        <w:tc>
          <w:tcPr>
            <w:tcW w:w="2571" w:type="dxa"/>
          </w:tcPr>
          <w:p>
            <w:pPr>
              <w:pStyle w:val="Tabla9"/>
              <w:jc w:val="left"/>
            </w:pPr>
            <w:r>
              <w:t xml:space="preserve">Tipifica las actividades del proyecto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1286 de 2009</w:t>
            </w:r>
          </w:p>
        </w:tc>
        <w:tc>
          <w:tcPr>
            <w:tcW w:w="2571" w:type="dxa"/>
            <w:shd w:val="clear" w:color="auto" w:fill="F7F7F7"/>
          </w:tcPr>
          <w:p>
            <w:pPr>
              <w:pStyle w:val="Tabla9"/>
              <w:jc w:val="left"/>
            </w:pPr>
            <w:r>
              <w:t xml:space="preserve">Fortalecimiento del SNCTI</w:t>
            </w:r>
          </w:p>
        </w:tc>
        <w:tc>
          <w:tcPr>
            <w:tcW w:w="2571" w:type="dxa"/>
            <w:shd w:val="clear" w:color="auto" w:fill="F7F7F7"/>
          </w:tcPr>
          <w:p>
            <w:pPr>
              <w:pStyle w:val="Tabla9"/>
              <w:jc w:val="left"/>
            </w:pPr>
            <w:r>
              <w:t xml:space="preserve">Marco del sistema al que pertenece el actor del SNCTI de la alianza</w:t>
            </w:r>
          </w:p>
        </w:tc>
        <w:tc>
          <w:tcPr>
            <w:tcW w:w="2406" w:type="dxa"/>
            <w:shd w:val="clear" w:color="auto" w:fill="F7F7F7"/>
          </w:tcPr>
          <w:p>
            <w:pPr>
              <w:pStyle w:val="Tabla9"/>
              <w:jc w:val="left"/>
            </w:pPr>
            <w:r>
              <w:rPr>
                <w:color w:val="00B050"/>
              </w:rPr>
              <w:t xml:space="preserve">[Diligenciar: resolución de reconocimiento del actor del SNCTI]</w:t>
            </w:r>
          </w:p>
        </w:tc>
      </w:tr>
      <w:tr>
        <w:trPr>
          <w:cantSplit/>
        </w:trPr>
        <w:tc>
          <w:tcPr>
            <w:tcW w:w="2406" w:type="dxa"/>
          </w:tcPr>
          <w:p>
            <w:pPr>
              <w:pStyle w:val="Tabla9"/>
              <w:jc w:val="left"/>
            </w:pPr>
            <w:r>
              <w:t xml:space="preserve">Ley 1523 de 2012</w:t>
            </w:r>
          </w:p>
        </w:tc>
        <w:tc>
          <w:tcPr>
            <w:tcW w:w="2571" w:type="dxa"/>
          </w:tcPr>
          <w:p>
            <w:pPr>
              <w:pStyle w:val="Tabla9"/>
              <w:jc w:val="left"/>
            </w:pPr>
            <w:r>
              <w:t xml:space="preserve">Política y sistema de gestión del riesgo; artículos 61 y 64</w:t>
            </w:r>
          </w:p>
        </w:tc>
        <w:tc>
          <w:tcPr>
            <w:tcW w:w="2571" w:type="dxa"/>
          </w:tcPr>
          <w:p>
            <w:pPr>
              <w:pStyle w:val="Tabla9"/>
              <w:jc w:val="left"/>
            </w:pPr>
            <w:r>
              <w:t xml:space="preserve">Define las instancias usuarias del tablero y condiciona dos requisitos habilitantes</w:t>
            </w:r>
          </w:p>
        </w:tc>
        <w:tc>
          <w:tcPr>
            <w:tcW w:w="2406" w:type="dxa"/>
          </w:tcPr>
          <w:p>
            <w:pPr>
              <w:pStyle w:val="Tabla9"/>
              <w:jc w:val="left"/>
            </w:pPr>
            <w:r>
              <w:rPr>
                <w:color w:val="00B050"/>
              </w:rPr>
              <w:t xml:space="preserve">[Diligenciar: certificado del plan de acción de cada lugar de ejecución]</w:t>
            </w:r>
          </w:p>
        </w:tc>
      </w:tr>
      <w:tr>
        <w:trPr>
          <w:cantSplit/>
        </w:trPr>
        <w:tc>
          <w:tcPr>
            <w:tcW w:w="2406" w:type="dxa"/>
            <w:shd w:val="clear" w:color="auto" w:fill="F7F7F7"/>
          </w:tcPr>
          <w:p>
            <w:pPr>
              <w:pStyle w:val="Tabla9"/>
              <w:jc w:val="left"/>
            </w:pPr>
            <w:r>
              <w:t xml:space="preserve">Resolución 2254 de 2017</w:t>
            </w:r>
          </w:p>
        </w:tc>
        <w:tc>
          <w:tcPr>
            <w:tcW w:w="2571" w:type="dxa"/>
            <w:shd w:val="clear" w:color="auto" w:fill="F7F7F7"/>
          </w:tcPr>
          <w:p>
            <w:pPr>
              <w:pStyle w:val="Tabla9"/>
              <w:jc w:val="left"/>
            </w:pPr>
            <w:r>
              <w:t xml:space="preserve">Norma de calidad del aire ambiente</w:t>
            </w:r>
          </w:p>
        </w:tc>
        <w:tc>
          <w:tcPr>
            <w:tcW w:w="2571" w:type="dxa"/>
            <w:shd w:val="clear" w:color="auto" w:fill="F7F7F7"/>
          </w:tcPr>
          <w:p>
            <w:pPr>
              <w:pStyle w:val="Tabla9"/>
              <w:jc w:val="left"/>
            </w:pPr>
            <w:r>
              <w:t xml:space="preserve">Contexto de interpretación de niveles; sin declaración de cumplimiento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1581 de 2012</w:t>
            </w:r>
          </w:p>
        </w:tc>
        <w:tc>
          <w:tcPr>
            <w:tcW w:w="2571" w:type="dxa"/>
          </w:tcPr>
          <w:p>
            <w:pPr>
              <w:pStyle w:val="Tabla9"/>
              <w:jc w:val="left"/>
            </w:pPr>
            <w:r>
              <w:t xml:space="preserve">Protección de datos personales</w:t>
            </w:r>
          </w:p>
        </w:tc>
        <w:tc>
          <w:tcPr>
            <w:tcW w:w="2571" w:type="dxa"/>
          </w:tcPr>
          <w:p>
            <w:pPr>
              <w:pStyle w:val="Tabla9"/>
              <w:jc w:val="left"/>
            </w:pPr>
            <w:r>
              <w:t xml:space="preserve">Aplica a consentimientos y datos de contacto</w:t>
            </w:r>
          </w:p>
        </w:tc>
        <w:tc>
          <w:tcPr>
            <w:tcW w:w="2406" w:type="dxa"/>
          </w:tcPr>
          <w:p>
            <w:pPr>
              <w:pStyle w:val="Tabla9"/>
              <w:jc w:val="left"/>
            </w:pPr>
            <w:r>
              <w:rPr>
                <w:color w:val="00B050"/>
              </w:rPr>
              <w:t xml:space="preserve">[Diligenciar: política de tratamiento de datos de la entidad ejecutora]</w:t>
            </w:r>
          </w:p>
        </w:tc>
      </w:tr>
      <w:tr>
        <w:trPr>
          <w:cantSplit/>
        </w:trPr>
        <w:tc>
          <w:tcPr>
            <w:tcW w:w="2406" w:type="dxa"/>
            <w:shd w:val="clear" w:color="auto" w:fill="F7F7F7"/>
          </w:tcPr>
          <w:p>
            <w:pPr>
              <w:pStyle w:val="Tabla9"/>
              <w:jc w:val="left"/>
            </w:pPr>
            <w:r>
              <w:t xml:space="preserve">Ley 1955 de 2019, artículo 169, y Ley 2294 de 2023, artículos 170 y 171</w:t>
            </w:r>
          </w:p>
        </w:tc>
        <w:tc>
          <w:tcPr>
            <w:tcW w:w="2571" w:type="dxa"/>
            <w:shd w:val="clear" w:color="auto" w:fill="F7F7F7"/>
          </w:tcPr>
          <w:p>
            <w:pPr>
              <w:pStyle w:val="Tabla9"/>
              <w:jc w:val="left"/>
            </w:pPr>
            <w:r>
              <w:t xml:space="preserve">Titularidad de resultados con recursos públicos; ciencia abierta</w:t>
            </w:r>
          </w:p>
        </w:tc>
        <w:tc>
          <w:tcPr>
            <w:tcW w:w="2571" w:type="dxa"/>
            <w:shd w:val="clear" w:color="auto" w:fill="F7F7F7"/>
          </w:tcPr>
          <w:p>
            <w:pPr>
              <w:pStyle w:val="Tabla9"/>
              <w:jc w:val="left"/>
            </w:pPr>
            <w:r>
              <w:t xml:space="preserve">Gobierna la titularidad y la apertura de datos y resultados</w:t>
            </w:r>
          </w:p>
        </w:tc>
        <w:tc>
          <w:tcPr>
            <w:tcW w:w="2406" w:type="dxa"/>
            <w:shd w:val="clear" w:color="auto" w:fill="F7F7F7"/>
          </w:tcPr>
          <w:p>
            <w:pPr>
              <w:pStyle w:val="Tabla9"/>
              <w:jc w:val="left"/>
            </w:pPr>
            <w:r>
              <w:rPr>
                <w:color w:val="00B050"/>
              </w:rPr>
              <w:t xml:space="preserve">[Diligenciar: acuerdo de propiedad intelectual de la alianza]</w:t>
            </w:r>
          </w:p>
        </w:tc>
      </w:tr>
      <w:tr>
        <w:trPr>
          <w:cantSplit/>
        </w:trPr>
        <w:tc>
          <w:tcPr>
            <w:tcW w:w="2406" w:type="dxa"/>
          </w:tcPr>
          <w:p>
            <w:pPr>
              <w:pStyle w:val="Tabla9"/>
              <w:jc w:val="left"/>
            </w:pPr>
            <w:r>
              <w:t xml:space="preserve">Decisión 486 de la Comunidad Andina</w:t>
            </w:r>
          </w:p>
        </w:tc>
        <w:tc>
          <w:tcPr>
            <w:tcW w:w="2571" w:type="dxa"/>
          </w:tcPr>
          <w:p>
            <w:pPr>
              <w:pStyle w:val="Tabla9"/>
              <w:jc w:val="left"/>
            </w:pPr>
            <w:r>
              <w:t xml:space="preserve">Régimen común de propiedad industrial</w:t>
            </w:r>
          </w:p>
        </w:tc>
        <w:tc>
          <w:tcPr>
            <w:tcW w:w="2571" w:type="dxa"/>
          </w:tcPr>
          <w:p>
            <w:pPr>
              <w:pStyle w:val="Tabla9"/>
              <w:jc w:val="left"/>
            </w:pPr>
            <w:r>
              <w:t xml:space="preserve">Fundamenta la consulta de libertad de operación</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Reglamentación de la Aeronáutica Civil sobre aeronaves no tripuladas</w:t>
            </w:r>
          </w:p>
        </w:tc>
        <w:tc>
          <w:tcPr>
            <w:tcW w:w="2571" w:type="dxa"/>
            <w:shd w:val="clear" w:color="auto" w:fill="F7F7F7"/>
          </w:tcPr>
          <w:p>
            <w:pPr>
              <w:pStyle w:val="Tabla9"/>
              <w:jc w:val="left"/>
            </w:pPr>
            <w:r>
              <w:t xml:space="preserve">Condiciones de operación y autorización de vuelo</w:t>
            </w:r>
          </w:p>
        </w:tc>
        <w:tc>
          <w:tcPr>
            <w:tcW w:w="2571" w:type="dxa"/>
            <w:shd w:val="clear" w:color="auto" w:fill="F7F7F7"/>
          </w:tcPr>
          <w:p>
            <w:pPr>
              <w:pStyle w:val="Tabla9"/>
              <w:jc w:val="left"/>
            </w:pPr>
            <w:r>
              <w:t xml:space="preserve">Rige el uso del dron del laboratorio en cada sitio</w:t>
            </w:r>
          </w:p>
        </w:tc>
        <w:tc>
          <w:tcPr>
            <w:tcW w:w="2406" w:type="dxa"/>
            <w:shd w:val="clear" w:color="auto" w:fill="F7F7F7"/>
          </w:tcPr>
          <w:p>
            <w:pPr>
              <w:pStyle w:val="Tabla9"/>
              <w:jc w:val="left"/>
            </w:pPr>
            <w:r>
              <w:rPr>
                <w:color w:val="00B050"/>
              </w:rPr>
              <w:t xml:space="preserve">[Diligenciar: norma vigente de la Aeronáutica Civil y permiso de operación del dron]</w:t>
            </w:r>
          </w:p>
        </w:tc>
      </w:tr>
      <w:tr>
        <w:trPr>
          <w:cantSplit/>
        </w:trPr>
        <w:tc>
          <w:tcPr>
            <w:tcW w:w="2406" w:type="dxa"/>
          </w:tcPr>
          <w:p>
            <w:pPr>
              <w:pStyle w:val="Tabla9"/>
              <w:keepNext/>
              <w:jc w:val="left"/>
            </w:pPr>
            <w:r>
              <w:t xml:space="preserve">Normas de gestión de residuos de construcción y demolición</w:t>
            </w:r>
          </w:p>
        </w:tc>
        <w:tc>
          <w:tcPr>
            <w:tcW w:w="2571" w:type="dxa"/>
          </w:tcPr>
          <w:p>
            <w:pPr>
              <w:pStyle w:val="Tabla9"/>
              <w:keepNext/>
              <w:jc w:val="left"/>
            </w:pPr>
            <w:r>
              <w:t xml:space="preserve">Obligaciones de quien demuele y dispone escombros</w:t>
            </w:r>
          </w:p>
        </w:tc>
        <w:tc>
          <w:tcPr>
            <w:tcW w:w="2571" w:type="dxa"/>
          </w:tcPr>
          <w:p>
            <w:pPr>
              <w:pStyle w:val="Tabla9"/>
              <w:keepNext/>
              <w:jc w:val="left"/>
            </w:pPr>
            <w:r>
              <w:t xml:space="preserve">Contexto en que se aplica la evaluación previa; el proyecto no autoriza ni controla demoliciones</w:t>
            </w:r>
          </w:p>
        </w:tc>
        <w:tc>
          <w:tcPr>
            <w:tcW w:w="2406" w:type="dxa"/>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diez de las 15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107"/>
    <w:bookmarkEnd w:id="108"/>
    <w:bookmarkStart w:id="115"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109"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(2.5 a 2.7 y 3.5) y valida sus resultados.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37" w:name="rot_Tabla_10_1"/>
      <w:r>
        <w:rPr>
          <w:b/>
          <w:bCs/>
        </w:rPr>
        <w:t xml:space="preserve">Tabla 10.1</w:t>
      </w:r>
      <w:bookmarkEnd w:id="9037"/>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38" w:name="rot_Tabla_10_2"/>
      <w:r>
        <w:rPr>
          <w:b/>
          <w:bCs/>
        </w:rPr>
        <w:t xml:space="preserve">Tabla 10.2</w:t>
      </w:r>
      <w:bookmarkEnd w:id="9038"/>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109"/>
    <w:bookmarkStart w:id="110"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39" w:name="rot_Tabla_10_3"/>
      <w:r>
        <w:rPr>
          <w:b/>
          <w:bCs/>
        </w:rPr>
        <w:t xml:space="preserve">Tabla 10.3</w:t>
      </w:r>
      <w:bookmarkEnd w:id="9039"/>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110"/>
    <w:bookmarkStart w:id="114"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40" w:name="rot_Tabla_10_4"/>
      <w:r>
        <w:rPr>
          <w:b/>
          <w:bCs/>
        </w:rPr>
        <w:t xml:space="preserve">Tabla 10.4</w:t>
      </w:r>
      <w:bookmarkEnd w:id="9040"/>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62" w:name="rot_Figura_10_1"/>
      <w:r>
        <w:rPr>
          <w:b/>
          <w:bCs/>
        </w:rPr>
        <w:t xml:space="preserve">Figura 10.1</w:t>
      </w:r>
      <w:bookmarkEnd w:id="9162"/>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112" name="Picture"/>
            <a:graphic>
              <a:graphicData uri="http://schemas.openxmlformats.org/drawingml/2006/picture">
                <pic:pic>
                  <pic:nvPicPr>
                    <pic:cNvPr descr="/tmp/claude-0/-home-user-docs/8ca5c040-2adb-56b3-8e64-05d4e7e569ed/scratchpad/a2/figs/out/c10_f01.png" id="113" name="Picture"/>
                    <pic:cNvPicPr>
                      <a:picLocks noChangeArrowheads="1" noChangeAspect="1"/>
                    </pic:cNvPicPr>
                  </pic:nvPicPr>
                  <pic:blipFill>
                    <a:blip r:embed="rId111"/>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41" w:name="rot_Tabla_10_5"/>
      <w:r>
        <w:rPr>
          <w:b/>
          <w:bCs/>
        </w:rPr>
        <w:t xml:space="preserve">Tabla 10.5</w:t>
      </w:r>
      <w:bookmarkEnd w:id="9041"/>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114"/>
    <w:bookmarkEnd w:id="115"/>
    <w:bookmarkStart w:id="120"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16"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el proyecto fija los 12 municipios y los registra como lugares de ejecución.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42" w:name="rot_Tabla_11_1"/>
      <w:r>
        <w:rPr>
          <w:b/>
          <w:bCs/>
        </w:rPr>
        <w:t xml:space="preserve">Tabla 11.1</w:t>
      </w:r>
      <w:bookmarkEnd w:id="9042"/>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16"/>
    <w:bookmarkStart w:id="117"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el proyecto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La actividad 1.1 selecciona después los sitios de remoción dentro de esos municipios.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43" w:name="rot_Tabla_11_2"/>
      <w:r>
        <w:rPr>
          <w:b/>
          <w:bCs/>
        </w:rPr>
        <w:t xml:space="preserve">Tabla 11.2</w:t>
      </w:r>
      <w:bookmarkEnd w:id="9043"/>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17"/>
    <w:bookmarkStart w:id="118"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44" w:name="rot_Tabla_11_3"/>
      <w:r>
        <w:rPr>
          <w:b/>
          <w:bCs/>
        </w:rPr>
        <w:t xml:space="preserve">Tabla 11.3</w:t>
      </w:r>
      <w:bookmarkEnd w:id="9044"/>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18"/>
    <w:bookmarkStart w:id="119"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45" w:name="rot_Tabla_11_4"/>
      <w:r>
        <w:rPr>
          <w:b/>
          <w:bCs/>
        </w:rPr>
        <w:t xml:space="preserve">Tabla 11.4</w:t>
      </w:r>
      <w:bookmarkEnd w:id="9045"/>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19"/>
    <w:bookmarkEnd w:id="120"/>
    <w:bookmarkStart w:id="130"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21"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46" w:name="rot_Tabla_12_1"/>
      <w:r>
        <w:rPr>
          <w:b/>
          <w:bCs/>
        </w:rPr>
        <w:t xml:space="preserve">Tabla 12.1</w:t>
      </w:r>
      <w:bookmarkEnd w:id="9046"/>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21"/>
    <w:bookmarkStart w:id="122"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47" w:name="rot_Tabla_12_2"/>
      <w:r>
        <w:rPr>
          <w:b/>
          <w:bCs/>
        </w:rPr>
        <w:t xml:space="preserve">Tabla 12.2</w:t>
      </w:r>
      <w:bookmarkEnd w:id="9047"/>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22"/>
    <w:bookmarkStart w:id="129"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48" w:name="rot_Tabla_12_3"/>
      <w:r>
        <w:rPr>
          <w:b/>
          <w:bCs/>
        </w:rPr>
        <w:t xml:space="preserve">Tabla 12.3</w:t>
      </w:r>
      <w:bookmarkEnd w:id="9048"/>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63" w:name="rot_Figura_12_1"/>
      <w:r>
        <w:rPr>
          <w:b/>
          <w:bCs/>
        </w:rPr>
        <w:t xml:space="preserve">Figura 12.1</w:t>
      </w:r>
      <w:bookmarkEnd w:id="9163"/>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24" name="Picture"/>
            <a:graphic>
              <a:graphicData uri="http://schemas.openxmlformats.org/drawingml/2006/picture">
                <pic:pic>
                  <pic:nvPicPr>
                    <pic:cNvPr descr="/tmp/claude-0/-home-user-docs/8ca5c040-2adb-56b3-8e64-05d4e7e569ed/scratchpad/a2/figs/out/c12_f01.png" id="125" name="Picture"/>
                    <pic:cNvPicPr>
                      <a:picLocks noChangeArrowheads="1" noChangeAspect="1"/>
                    </pic:cNvPicPr>
                  </pic:nvPicPr>
                  <pic:blipFill>
                    <a:blip r:embed="rId123"/>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64" w:name="rot_Figura_12_2"/>
      <w:r>
        <w:rPr>
          <w:b/>
          <w:bCs/>
        </w:rPr>
        <w:t xml:space="preserve">Figura 12.2</w:t>
      </w:r>
      <w:bookmarkEnd w:id="9164"/>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27" name="Picture"/>
            <a:graphic>
              <a:graphicData uri="http://schemas.openxmlformats.org/drawingml/2006/picture">
                <pic:pic>
                  <pic:nvPicPr>
                    <pic:cNvPr descr="/tmp/claude-0/-home-user-docs/8ca5c040-2adb-56b3-8e64-05d4e7e569ed/scratchpad/a2/figs/out/c12_f02.png" id="128" name="Picture"/>
                    <pic:cNvPicPr>
                      <a:picLocks noChangeArrowheads="1" noChangeAspect="1"/>
                    </pic:cNvPicPr>
                  </pic:nvPicPr>
                  <pic:blipFill>
                    <a:blip r:embed="rId126"/>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29"/>
    <w:bookmarkEnd w:id="130"/>
    <w:bookmarkStart w:id="143"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49" w:name="rot_Tabla_13_1"/>
      <w:r>
        <w:rPr>
          <w:b/>
          <w:bCs/>
        </w:rPr>
        <w:t xml:space="preserve">Tabla 13.1</w:t>
      </w:r>
      <w:bookmarkEnd w:id="9049"/>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37"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50" w:name="rot_Tabla_13_2"/>
      <w:r>
        <w:rPr>
          <w:b/>
          <w:bCs/>
        </w:rPr>
        <w:t xml:space="preserve">Tabla 13.2</w:t>
      </w:r>
      <w:bookmarkEnd w:id="9050"/>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65" w:name="rot_Figura_13_1"/>
      <w:r>
        <w:rPr>
          <w:b/>
          <w:bCs/>
        </w:rPr>
        <w:t xml:space="preserve">Figura 13.1</w:t>
      </w:r>
      <w:bookmarkEnd w:id="9165"/>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32" name="Picture"/>
            <a:graphic>
              <a:graphicData uri="http://schemas.openxmlformats.org/drawingml/2006/picture">
                <pic:pic>
                  <pic:nvPicPr>
                    <pic:cNvPr descr="/tmp/claude-0/-home-user-docs/8ca5c040-2adb-56b3-8e64-05d4e7e569ed/scratchpad/a2/figs/out/c13_f01.png" id="133" name="Picture"/>
                    <pic:cNvPicPr>
                      <a:picLocks noChangeArrowheads="1" noChangeAspect="1"/>
                    </pic:cNvPicPr>
                  </pic:nvPicPr>
                  <pic:blipFill>
                    <a:blip r:embed="rId131"/>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51" w:name="rot_Tabla_13_3"/>
      <w:r>
        <w:rPr>
          <w:b/>
          <w:bCs/>
        </w:rPr>
        <w:t xml:space="preserve">Tabla 13.3</w:t>
      </w:r>
      <w:bookmarkEnd w:id="9051"/>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66" w:name="rot_Figura_13_2"/>
      <w:r>
        <w:rPr>
          <w:b/>
          <w:bCs/>
        </w:rPr>
        <w:t xml:space="preserve">Figura 13.2</w:t>
      </w:r>
      <w:bookmarkEnd w:id="9166"/>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35" name="Picture"/>
            <a:graphic>
              <a:graphicData uri="http://schemas.openxmlformats.org/drawingml/2006/picture">
                <pic:pic>
                  <pic:nvPicPr>
                    <pic:cNvPr descr="/tmp/claude-0/-home-user-docs/8ca5c040-2adb-56b3-8e64-05d4e7e569ed/scratchpad/a2/figs/out/c13_f03.png" id="136" name="Picture"/>
                    <pic:cNvPicPr>
                      <a:picLocks noChangeArrowheads="1" noChangeAspect="1"/>
                    </pic:cNvPicPr>
                  </pic:nvPicPr>
                  <pic:blipFill>
                    <a:blip r:embed="rId134"/>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37"/>
    <w:bookmarkStart w:id="141"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52" w:name="rot_Tabla_13_4"/>
      <w:r>
        <w:rPr>
          <w:b/>
          <w:bCs/>
        </w:rPr>
        <w:t xml:space="preserve">Tabla 13.4</w:t>
      </w:r>
      <w:bookmarkEnd w:id="9052"/>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53" w:name="rot_Tabla_13_5"/>
      <w:r>
        <w:rPr>
          <w:b/>
          <w:bCs/>
        </w:rPr>
        <w:t xml:space="preserve">Tabla 13.5</w:t>
      </w:r>
      <w:bookmarkEnd w:id="9053"/>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67" w:name="rot_Figura_13_3"/>
      <w:r>
        <w:rPr>
          <w:b/>
          <w:bCs/>
        </w:rPr>
        <w:t xml:space="preserve">Figura 13.3</w:t>
      </w:r>
      <w:bookmarkEnd w:id="9167"/>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39" name="Picture"/>
            <a:graphic>
              <a:graphicData uri="http://schemas.openxmlformats.org/drawingml/2006/picture">
                <pic:pic>
                  <pic:nvPicPr>
                    <pic:cNvPr descr="/tmp/claude-0/-home-user-docs/8ca5c040-2adb-56b3-8e64-05d4e7e569ed/scratchpad/a2/figs/out/c13_f02.png" id="140" name="Picture"/>
                    <pic:cNvPicPr>
                      <a:picLocks noChangeArrowheads="1" noChangeAspect="1"/>
                    </pic:cNvPicPr>
                  </pic:nvPicPr>
                  <pic:blipFill>
                    <a:blip r:embed="rId138"/>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54" w:name="rot_Tabla_13_6"/>
      <w:r>
        <w:rPr>
          <w:b/>
          <w:bCs/>
        </w:rPr>
        <w:t xml:space="preserve">Tabla 13.6</w:t>
      </w:r>
      <w:bookmarkEnd w:id="9054"/>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41"/>
    <w:bookmarkStart w:id="142"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55" w:name="rot_Tabla_13_7"/>
      <w:r>
        <w:rPr>
          <w:b/>
          <w:bCs/>
        </w:rPr>
        <w:t xml:space="preserve">Tabla 13.7</w:t>
      </w:r>
      <w:bookmarkEnd w:id="9055"/>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42"/>
    <w:bookmarkEnd w:id="143"/>
    <w:bookmarkStart w:id="159"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50"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68" w:name="rot_Figura_14_1"/>
      <w:r>
        <w:rPr>
          <w:b/>
          <w:bCs/>
        </w:rPr>
        <w:t xml:space="preserve">Figura 14.1</w:t>
      </w:r>
      <w:bookmarkEnd w:id="9168"/>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45" name="Picture"/>
            <a:graphic>
              <a:graphicData uri="http://schemas.openxmlformats.org/drawingml/2006/picture">
                <pic:pic>
                  <pic:nvPicPr>
                    <pic:cNvPr descr="/tmp/claude-0/-home-user-docs/8ca5c040-2adb-56b3-8e64-05d4e7e569ed/scratchpad/a2/figs/out/c14_f01.png" id="146" name="Picture"/>
                    <pic:cNvPicPr>
                      <a:picLocks noChangeArrowheads="1" noChangeAspect="1"/>
                    </pic:cNvPicPr>
                  </pic:nvPicPr>
                  <pic:blipFill>
                    <a:blip r:embed="rId144"/>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69" w:name="rot_Figura_14_2"/>
      <w:r>
        <w:rPr>
          <w:b/>
          <w:bCs/>
        </w:rPr>
        <w:t xml:space="preserve">Figura 14.2</w:t>
      </w:r>
      <w:bookmarkEnd w:id="9169"/>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48" name="Picture"/>
            <a:graphic>
              <a:graphicData uri="http://schemas.openxmlformats.org/drawingml/2006/picture">
                <pic:pic>
                  <pic:nvPicPr>
                    <pic:cNvPr descr="/tmp/claude-0/-home-user-docs/8ca5c040-2adb-56b3-8e64-05d4e7e569ed/scratchpad/a2/figs/out/c14_f02.png" id="149" name="Picture"/>
                    <pic:cNvPicPr>
                      <a:picLocks noChangeArrowheads="1" noChangeAspect="1"/>
                    </pic:cNvPicPr>
                  </pic:nvPicPr>
                  <pic:blipFill>
                    <a:blip r:embed="rId147"/>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56" w:name="rot_Tabla_14_1"/>
      <w:r>
        <w:rPr>
          <w:b/>
          <w:bCs/>
        </w:rPr>
        <w:t xml:space="preserve">Tabla 14.1</w:t>
      </w:r>
      <w:bookmarkEnd w:id="9056"/>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57" w:name="rot_Tabla_14_2"/>
      <w:r>
        <w:rPr>
          <w:b/>
          <w:bCs/>
        </w:rPr>
        <w:t xml:space="preserve">Tabla 14.2</w:t>
      </w:r>
      <w:bookmarkEnd w:id="9057"/>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58" w:name="rot_Tabla_14_3"/>
      <w:r>
        <w:rPr>
          <w:b/>
          <w:bCs/>
        </w:rPr>
        <w:t xml:space="preserve">Tabla 14.3</w:t>
      </w:r>
      <w:bookmarkEnd w:id="9058"/>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50"/>
    <w:bookmarkStart w:id="151"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59" w:name="rot_Tabla_14_4"/>
      <w:r>
        <w:rPr>
          <w:b/>
          <w:bCs/>
        </w:rPr>
        <w:t xml:space="preserve">Tabla 14.4</w:t>
      </w:r>
      <w:bookmarkEnd w:id="9059"/>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51"/>
    <w:bookmarkStart w:id="152"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52"/>
    <w:bookmarkStart w:id="153"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53"/>
    <w:bookmarkStart w:id="154"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54"/>
    <w:bookmarkStart w:id="158"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70" w:name="rot_Figura_14_3"/>
      <w:r>
        <w:rPr>
          <w:b/>
          <w:bCs/>
        </w:rPr>
        <w:t xml:space="preserve">Figura 14.3</w:t>
      </w:r>
      <w:bookmarkEnd w:id="9170"/>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56" name="Picture"/>
            <a:graphic>
              <a:graphicData uri="http://schemas.openxmlformats.org/drawingml/2006/picture">
                <pic:pic>
                  <pic:nvPicPr>
                    <pic:cNvPr descr="/tmp/claude-0/-home-user-docs/8ca5c040-2adb-56b3-8e64-05d4e7e569ed/scratchpad/a2/figs/out/c14_f03.png" id="157" name="Picture"/>
                    <pic:cNvPicPr>
                      <a:picLocks noChangeArrowheads="1" noChangeAspect="1"/>
                    </pic:cNvPicPr>
                  </pic:nvPicPr>
                  <pic:blipFill>
                    <a:blip r:embed="rId155"/>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58"/>
    <w:bookmarkEnd w:id="159"/>
    <w:bookmarkStart w:id="163"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60" w:name="rot_Tabla_15_1"/>
      <w:r>
        <w:rPr>
          <w:b/>
          <w:bCs/>
        </w:rPr>
        <w:t xml:space="preserve">Tabla 15.1</w:t>
      </w:r>
      <w:bookmarkEnd w:id="9060"/>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71" w:name="rot_Figura_15_1"/>
      <w:r>
        <w:rPr>
          <w:b/>
          <w:bCs/>
        </w:rPr>
        <w:t xml:space="preserve">Figura 15.1</w:t>
      </w:r>
      <w:bookmarkEnd w:id="9171"/>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61" name="Picture"/>
            <a:graphic>
              <a:graphicData uri="http://schemas.openxmlformats.org/drawingml/2006/picture">
                <pic:pic>
                  <pic:nvPicPr>
                    <pic:cNvPr descr="/tmp/claude-0/-home-user-docs/8ca5c040-2adb-56b3-8e64-05d4e7e569ed/scratchpad/a2/figs/out/c15_f01.png" id="162" name="Picture"/>
                    <pic:cNvPicPr>
                      <a:picLocks noChangeArrowheads="1" noChangeAspect="1"/>
                    </pic:cNvPicPr>
                  </pic:nvPicPr>
                  <pic:blipFill>
                    <a:blip r:embed="rId160"/>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61" w:name="rot_Tabla_15_2"/>
      <w:r>
        <w:rPr>
          <w:b/>
          <w:bCs/>
        </w:rPr>
        <w:t xml:space="preserve">Tabla 15.2</w:t>
      </w:r>
      <w:bookmarkEnd w:id="9061"/>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62" w:name="rot_Tabla_15_3"/>
      <w:r>
        <w:rPr>
          <w:b/>
          <w:bCs/>
        </w:rPr>
        <w:t xml:space="preserve">Tabla 15.3</w:t>
      </w:r>
      <w:bookmarkEnd w:id="9062"/>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63"/>
    <w:bookmarkStart w:id="173"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64"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63" w:name="rot_Tabla_16_1"/>
      <w:r>
        <w:rPr>
          <w:b/>
          <w:bCs/>
        </w:rPr>
        <w:t xml:space="preserve">Tabla 16.1</w:t>
      </w:r>
      <w:bookmarkEnd w:id="9063"/>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64"/>
    <w:bookmarkStart w:id="165"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64" w:name="rot_Tabla_16_2"/>
      <w:r>
        <w:rPr>
          <w:b/>
          <w:bCs/>
        </w:rPr>
        <w:t xml:space="preserve">Tabla 16.2</w:t>
      </w:r>
      <w:bookmarkEnd w:id="9064"/>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65"/>
    <w:bookmarkStart w:id="169"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65" w:name="rot_Tabla_16_3"/>
      <w:r>
        <w:rPr>
          <w:b/>
          <w:bCs/>
        </w:rPr>
        <w:t xml:space="preserve">Tabla 16.3</w:t>
      </w:r>
      <w:bookmarkEnd w:id="9065"/>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842"/>
        <w:gridCol w:w="1589"/>
        <w:gridCol w:w="1756"/>
        <w:gridCol w:w="1589"/>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Componente</w:t>
            </w:r>
          </w:p>
        </w:tc>
        <w:tc>
          <w:tcPr>
            <w:tcW w:w="1673" w:type="dxa"/>
            <w:tcBorders>
              <w:bottom w:val="single" w:sz="12" w:space="0" w:color="6699CC"/>
            </w:tcBorders>
            <w:shd w:val="clear" w:color="auto" w:fill="B9D9EB"/>
          </w:tcPr>
          <w:p>
            <w:pPr>
              <w:pStyle w:val="Tabla9"/>
              <w:keepNext/>
              <w:jc w:val="left"/>
            </w:pPr>
            <w:r>
              <w:rPr>
                <w:b/>
              </w:rPr>
              <w:t xml:space="preserve">Hito de transferencia</w:t>
            </w:r>
          </w:p>
        </w:tc>
        <w:tc>
          <w:tcPr>
            <w:tcW w:w="1842" w:type="dxa"/>
            <w:tcBorders>
              <w:bottom w:val="single" w:sz="12" w:space="0" w:color="6699CC"/>
            </w:tcBorders>
            <w:shd w:val="clear" w:color="auto" w:fill="B9D9EB"/>
          </w:tcPr>
          <w:p>
            <w:pPr>
              <w:pStyle w:val="Tabla9"/>
              <w:keepNext/>
              <w:jc w:val="left"/>
            </w:pPr>
            <w:r>
              <w:rPr>
                <w:b/>
              </w:rPr>
              <w:t xml:space="preserve">Qué se transfiere</w:t>
            </w:r>
          </w:p>
        </w:tc>
        <w:tc>
          <w:tcPr>
            <w:tcW w:w="1589" w:type="dxa"/>
            <w:tcBorders>
              <w:bottom w:val="single" w:sz="12" w:space="0" w:color="6699CC"/>
            </w:tcBorders>
            <w:shd w:val="clear" w:color="auto" w:fill="B9D9EB"/>
          </w:tcPr>
          <w:p>
            <w:pPr>
              <w:pStyle w:val="Tabla9"/>
              <w:keepNext/>
              <w:jc w:val="left"/>
            </w:pPr>
            <w:r>
              <w:rPr>
                <w:b/>
              </w:rPr>
              <w:t xml:space="preserve">Custodios candidatos</w:t>
            </w:r>
          </w:p>
        </w:tc>
        <w:tc>
          <w:tcPr>
            <w:tcW w:w="1756" w:type="dxa"/>
            <w:tcBorders>
              <w:bottom w:val="single" w:sz="12" w:space="0" w:color="6699CC"/>
            </w:tcBorders>
            <w:shd w:val="clear" w:color="auto" w:fill="B9D9EB"/>
          </w:tcPr>
          <w:p>
            <w:pPr>
              <w:pStyle w:val="Tabla9"/>
              <w:keepNext/>
              <w:jc w:val="left"/>
            </w:pPr>
            <w:r>
              <w:rPr>
                <w:b/>
              </w:rPr>
              <w:t xml:space="preserve">Condición de recepción</w:t>
            </w:r>
          </w:p>
        </w:tc>
        <w:tc>
          <w:tcPr>
            <w:tcW w:w="158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505" w:type="dxa"/>
          </w:tcPr>
          <w:p>
            <w:pPr>
              <w:pStyle w:val="Tabla9"/>
              <w:jc w:val="left"/>
            </w:pPr>
            <w:r>
              <w:t xml:space="preserve">Gobernanza y acuerdos</w:t>
            </w:r>
          </w:p>
        </w:tc>
        <w:tc>
          <w:tcPr>
            <w:tcW w:w="1673" w:type="dxa"/>
          </w:tcPr>
          <w:p>
            <w:pPr>
              <w:pStyle w:val="Tabla9"/>
              <w:jc w:val="left"/>
            </w:pPr>
            <w:r>
              <w:t xml:space="preserve">Mes 6</w:t>
            </w:r>
          </w:p>
        </w:tc>
        <w:tc>
          <w:tcPr>
            <w:tcW w:w="1842" w:type="dxa"/>
          </w:tcPr>
          <w:p>
            <w:pPr>
              <w:pStyle w:val="Tabla9"/>
              <w:jc w:val="left"/>
            </w:pPr>
            <w:r>
              <w:t xml:space="preserve">Acuerdo marco, acuerdo de titularidad y cláusula de apertura; no se transfieren activos</w:t>
            </w:r>
          </w:p>
        </w:tc>
        <w:tc>
          <w:tcPr>
            <w:tcW w:w="1589" w:type="dxa"/>
          </w:tcPr>
          <w:p>
            <w:pPr>
              <w:pStyle w:val="Tabla9"/>
              <w:jc w:val="left"/>
            </w:pPr>
            <w:r>
              <w:t xml:space="preserve">Comité directivo de la alianza, con sus cuatro integrantes</w:t>
            </w:r>
          </w:p>
        </w:tc>
        <w:tc>
          <w:tcPr>
            <w:tcW w:w="1756" w:type="dxa"/>
          </w:tcPr>
          <w:p>
            <w:pPr>
              <w:pStyle w:val="Tabla9"/>
              <w:jc w:val="left"/>
            </w:pPr>
            <w:r>
              <w:t xml:space="preserve">Acuerdos firmados antes de comprar el segundo lote de nodos</w:t>
            </w:r>
          </w:p>
        </w:tc>
        <w:tc>
          <w:tcPr>
            <w:tcW w:w="1589" w:type="dxa"/>
          </w:tcPr>
          <w:p>
            <w:pPr>
              <w:pStyle w:val="Tabla9"/>
              <w:jc w:val="left"/>
            </w:pPr>
            <w:r>
              <w:t xml:space="preserve">Profesional de convenios y custodia (168.000.000 COP) y consultoría en propiedad intelectual (45.000.000 COP)</w:t>
            </w:r>
          </w:p>
        </w:tc>
      </w:tr>
      <w:tr>
        <w:trPr>
          <w:cantSplit/>
        </w:trPr>
        <w:tc>
          <w:tcPr>
            <w:tcW w:w="1505" w:type="dxa"/>
            <w:shd w:val="clear" w:color="auto" w:fill="F7F7F7"/>
          </w:tcPr>
          <w:p>
            <w:pPr>
              <w:pStyle w:val="Tabla9"/>
              <w:jc w:val="left"/>
            </w:pPr>
            <w:r>
              <w:t xml:space="preserve">Protocolo de calibración y series de datos</w:t>
            </w:r>
          </w:p>
        </w:tc>
        <w:tc>
          <w:tcPr>
            <w:tcW w:w="1673" w:type="dxa"/>
            <w:shd w:val="clear" w:color="auto" w:fill="F7F7F7"/>
          </w:tcPr>
          <w:p>
            <w:pPr>
              <w:pStyle w:val="Tabla9"/>
              <w:jc w:val="left"/>
            </w:pPr>
            <w:r>
              <w:t xml:space="preserve">Mes 12, compuerta C1</w:t>
            </w:r>
          </w:p>
        </w:tc>
        <w:tc>
          <w:tcPr>
            <w:tcW w:w="1842" w:type="dxa"/>
            <w:shd w:val="clear" w:color="auto" w:fill="F7F7F7"/>
          </w:tcPr>
          <w:p>
            <w:pPr>
              <w:pStyle w:val="Tabla9"/>
              <w:jc w:val="left"/>
            </w:pPr>
            <w:r>
              <w:t xml:space="preserve">Protocolo escrito, series de colocalización y repositorio de datos</w:t>
            </w:r>
          </w:p>
        </w:tc>
        <w:tc>
          <w:tcPr>
            <w:tcW w:w="1589" w:type="dxa"/>
            <w:shd w:val="clear" w:color="auto" w:fill="F7F7F7"/>
          </w:tcPr>
          <w:p>
            <w:pPr>
              <w:pStyle w:val="Tabla9"/>
              <w:jc w:val="left"/>
            </w:pPr>
            <w:r>
              <w:t xml:space="preserve">Actor del SNCTI para el repositorio; autoridad ambiental; IES</w:t>
            </w:r>
          </w:p>
        </w:tc>
        <w:tc>
          <w:tcPr>
            <w:tcW w:w="1756" w:type="dxa"/>
            <w:shd w:val="clear" w:color="auto" w:fill="F7F7F7"/>
          </w:tcPr>
          <w:p>
            <w:pPr>
              <w:pStyle w:val="Tabla9"/>
              <w:jc w:val="left"/>
            </w:pPr>
            <w:r>
              <w:t xml:space="preserve">Desempeño del piloto verificado y custodio con capacidad demostrada</w:t>
            </w:r>
          </w:p>
        </w:tc>
        <w:tc>
          <w:tcPr>
            <w:tcW w:w="1589" w:type="dxa"/>
            <w:shd w:val="clear" w:color="auto" w:fill="F7F7F7"/>
          </w:tcPr>
          <w:p>
            <w:pPr>
              <w:pStyle w:val="Tabla9"/>
              <w:jc w:val="left"/>
            </w:pPr>
            <w:r>
              <w:t xml:space="preserve">Formación y soporte a custodios (50.000.000 COP por tramo)</w:t>
            </w:r>
          </w:p>
        </w:tc>
      </w:tr>
      <w:tr>
        <w:trPr>
          <w:cantSplit/>
        </w:trPr>
        <w:tc>
          <w:tcPr>
            <w:tcW w:w="1505" w:type="dxa"/>
          </w:tcPr>
          <w:p>
            <w:pPr>
              <w:pStyle w:val="Tabla9"/>
              <w:jc w:val="left"/>
            </w:pPr>
            <w:r>
              <w:t xml:space="preserve">Nodos adicionales y repuestos</w:t>
            </w:r>
          </w:p>
        </w:tc>
        <w:tc>
          <w:tcPr>
            <w:tcW w:w="1673" w:type="dxa"/>
          </w:tcPr>
          <w:p>
            <w:pPr>
              <w:pStyle w:val="Tabla9"/>
              <w:jc w:val="left"/>
            </w:pPr>
            <w:r>
              <w:t xml:space="preserve">Mes 18, después de la compuerta C2</w:t>
            </w:r>
          </w:p>
        </w:tc>
        <w:tc>
          <w:tcPr>
            <w:tcW w:w="1842" w:type="dxa"/>
          </w:tcPr>
          <w:p>
            <w:pPr>
              <w:pStyle w:val="Tabla9"/>
              <w:jc w:val="left"/>
            </w:pPr>
            <w:r>
              <w:t xml:space="preserve">Nodos del segundo tramo, repuestos y reserva</w:t>
            </w:r>
          </w:p>
        </w:tc>
        <w:tc>
          <w:tcPr>
            <w:tcW w:w="1589" w:type="dxa"/>
          </w:tcPr>
          <w:p>
            <w:pPr>
              <w:pStyle w:val="Tabla9"/>
              <w:jc w:val="left"/>
            </w:pPr>
            <w:r>
              <w:t xml:space="preserve">Empresa tecnológica; IES; municipio aliado</w:t>
            </w:r>
          </w:p>
        </w:tc>
        <w:tc>
          <w:tcPr>
            <w:tcW w:w="1756" w:type="dxa"/>
          </w:tcPr>
          <w:p>
            <w:pPr>
              <w:pStyle w:val="Tabla9"/>
              <w:jc w:val="left"/>
            </w:pPr>
            <w:r>
              <w:t xml:space="preserve">Convenio con partida, personal designado y competencia jurídica</w:t>
            </w:r>
          </w:p>
        </w:tc>
        <w:tc>
          <w:tcPr>
            <w:tcW w:w="1589" w:type="dxa"/>
          </w:tcPr>
          <w:p>
            <w:pPr>
              <w:pStyle w:val="Tabla9"/>
              <w:jc w:val="left"/>
            </w:pPr>
            <w:r>
              <w:t xml:space="preserve">Repuestos y consumibles (60.000.000 COP) y formación a custodios</w:t>
            </w:r>
          </w:p>
        </w:tc>
      </w:tr>
      <w:tr>
        <w:trPr>
          <w:cantSplit/>
        </w:trPr>
        <w:tc>
          <w:tcPr>
            <w:tcW w:w="1505" w:type="dxa"/>
            <w:shd w:val="clear" w:color="auto" w:fill="F7F7F7"/>
          </w:tcPr>
          <w:p>
            <w:pPr>
              <w:pStyle w:val="Tabla9"/>
              <w:jc w:val="left"/>
            </w:pPr>
            <w:r>
              <w:t xml:space="preserve">Tablero y alertas</w:t>
            </w:r>
          </w:p>
        </w:tc>
        <w:tc>
          <w:tcPr>
            <w:tcW w:w="1673" w:type="dxa"/>
            <w:shd w:val="clear" w:color="auto" w:fill="F7F7F7"/>
          </w:tcPr>
          <w:p>
            <w:pPr>
              <w:pStyle w:val="Tabla9"/>
              <w:jc w:val="left"/>
            </w:pPr>
            <w:r>
              <w:t xml:space="preserve">Mes 18, después de la compuerta C2</w:t>
            </w:r>
          </w:p>
        </w:tc>
        <w:tc>
          <w:tcPr>
            <w:tcW w:w="1842" w:type="dxa"/>
            <w:shd w:val="clear" w:color="auto" w:fill="F7F7F7"/>
          </w:tcPr>
          <w:p>
            <w:pPr>
              <w:pStyle w:val="Tabla9"/>
              <w:jc w:val="left"/>
            </w:pPr>
            <w:r>
              <w:t xml:space="preserve">Tablero, protocolo de alerta y umbrales co-diseñados</w:t>
            </w:r>
          </w:p>
        </w:tc>
        <w:tc>
          <w:tcPr>
            <w:tcW w:w="1589" w:type="dxa"/>
            <w:shd w:val="clear" w:color="auto" w:fill="F7F7F7"/>
          </w:tcPr>
          <w:p>
            <w:pPr>
              <w:pStyle w:val="Tabla9"/>
              <w:jc w:val="left"/>
            </w:pPr>
            <w:r>
              <w:t xml:space="preserve">Unidades de gestión del riesgo; municipio aliado; alcaldías</w:t>
            </w:r>
          </w:p>
        </w:tc>
        <w:tc>
          <w:tcPr>
            <w:tcW w:w="1756" w:type="dxa"/>
            <w:shd w:val="clear" w:color="auto" w:fill="F7F7F7"/>
          </w:tcPr>
          <w:p>
            <w:pPr>
              <w:pStyle w:val="Tabla9"/>
              <w:jc w:val="left"/>
            </w:pPr>
            <w:r>
              <w:t xml:space="preserve">Convenio de uso con partida y personal designado</w:t>
            </w:r>
          </w:p>
        </w:tc>
        <w:tc>
          <w:tcPr>
            <w:tcW w:w="1589" w:type="dxa"/>
            <w:shd w:val="clear" w:color="auto" w:fill="F7F7F7"/>
          </w:tcPr>
          <w:p>
            <w:pPr>
              <w:pStyle w:val="Tabla9"/>
              <w:jc w:val="left"/>
            </w:pPr>
            <w:r>
              <w:t xml:space="preserve">Actividades 3.1 y 3.2 y 5.000 cartillas</w:t>
            </w:r>
          </w:p>
        </w:tc>
      </w:tr>
      <w:tr>
        <w:trPr>
          <w:cantSplit/>
        </w:trPr>
        <w:tc>
          <w:tcPr>
            <w:tcW w:w="1505" w:type="dxa"/>
          </w:tcPr>
          <w:p>
            <w:pPr>
              <w:pStyle w:val="Tabla9"/>
              <w:keepNext/>
              <w:jc w:val="left"/>
            </w:pPr>
            <w:r>
              <w:t xml:space="preserve">Gemelo digital, laboratorio y datos</w:t>
            </w:r>
          </w:p>
        </w:tc>
        <w:tc>
          <w:tcPr>
            <w:tcW w:w="1673" w:type="dxa"/>
          </w:tcPr>
          <w:p>
            <w:pPr>
              <w:pStyle w:val="Tabla9"/>
              <w:keepNext/>
              <w:jc w:val="left"/>
            </w:pPr>
            <w:r>
              <w:t xml:space="preserve">Mes 24, compuerta C3</w:t>
            </w:r>
          </w:p>
        </w:tc>
        <w:tc>
          <w:tcPr>
            <w:tcW w:w="1842" w:type="dxa"/>
          </w:tcPr>
          <w:p>
            <w:pPr>
              <w:pStyle w:val="Tabla9"/>
              <w:keepNext/>
              <w:jc w:val="left"/>
            </w:pPr>
            <w:r>
              <w:t xml:space="preserve">Operación continua del gemelo digital y de la plataforma; laboratorio de modelación con su modelo, su documentación y el protocolo de evaluación previa</w:t>
            </w:r>
          </w:p>
        </w:tc>
        <w:tc>
          <w:tcPr>
            <w:tcW w:w="1589" w:type="dxa"/>
          </w:tcPr>
          <w:p>
            <w:pPr>
              <w:pStyle w:val="Tabla9"/>
              <w:keepNext/>
              <w:jc w:val="left"/>
            </w:pPr>
            <w:r>
              <w:t xml:space="preserve">IES, que valida el laboratorio; entidad titular de la sede del laboratorio; empresa tecnológica; actor del SNCTI</w:t>
            </w:r>
          </w:p>
        </w:tc>
        <w:tc>
          <w:tcPr>
            <w:tcW w:w="1756" w:type="dxa"/>
          </w:tcPr>
          <w:p>
            <w:pPr>
              <w:pStyle w:val="Tabla9"/>
              <w:keepNext/>
              <w:jc w:val="left"/>
            </w:pPr>
            <w:r>
              <w:t xml:space="preserve">Competencia jurídica documentada, licencia de uso y compromiso de sostenimiento del laboratorio</w:t>
            </w:r>
          </w:p>
        </w:tc>
        <w:tc>
          <w:tcPr>
            <w:tcW w:w="158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Un custodio externo a la alianza se asigna solo si su compromiso firmado se carga con la postulación; si no, el componente queda con un integrante de la alianza. SGR: Sistema General de Regalías. SNCTI: Sistema Nacional de Ciencia, Tecnología e Innovación.</w:t>
      </w:r>
    </w:p>
    <w:p>
      <w:pPr>
        <w:pStyle w:val="FiguraRotulo"/>
      </w:pPr>
      <w:bookmarkStart w:id="9172" w:name="rot_Figura_16_1"/>
      <w:r>
        <w:rPr>
          <w:b/>
          <w:bCs/>
        </w:rPr>
        <w:t xml:space="preserve">Figura 16.1</w:t>
      </w:r>
      <w:bookmarkEnd w:id="9172"/>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67" name="Picture"/>
            <a:graphic>
              <a:graphicData uri="http://schemas.openxmlformats.org/drawingml/2006/picture">
                <pic:pic>
                  <pic:nvPicPr>
                    <pic:cNvPr descr="/tmp/claude-0/-home-user-docs/8ca5c040-2adb-56b3-8e64-05d4e7e569ed/scratchpad/a2/figs/out/c16_f01.png" id="168" name="Picture"/>
                    <pic:cNvPicPr>
                      <a:picLocks noChangeArrowheads="1" noChangeAspect="1"/>
                    </pic:cNvPicPr>
                  </pic:nvPicPr>
                  <pic:blipFill>
                    <a:blip r:embed="rId166"/>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en el formato del Anexo 7 del Acuerdo 12 de 2024. Lo suscribe el representante legal de cada entidad que opera un componente. Declara que la operación se financia con ingresos de naturaleza permanente (Secretaría Técnica de la Convocatoria 56, 2026) </w:t>
      </w:r>
      <w:r>
        <w:rPr>
          <w:color w:val="00B050"/>
        </w:rPr>
        <w:t xml:space="preserve">[Diligenciar: plan firmado por cada entidad operadora, numeral 10.16]</w:t>
      </w:r>
      <w:r>
        <w:t xml:space="preserve">. Los compromisos de operación, validación y uso del numeral 10.6 siguen la misma regla. Los TdR rechazan los certificados de compromiso de posterior suscripción (MinCiencias, 2026, numeral 11.11). Por eso el proyecto asigna cada componente a un integrante de la alianza al radicar. Asigna a una entidad externa solo el componente cuyo compromiso firmado se carga con la postulación. El numeral 10.19 exige el certificado de titularidad y custodia. Todos esos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66" w:name="rot_Tabla_16_4"/>
      <w:r>
        <w:rPr>
          <w:b/>
          <w:bCs/>
        </w:rPr>
        <w:t xml:space="preserve">Tabla 16.4</w:t>
      </w:r>
      <w:bookmarkEnd w:id="9066"/>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69"/>
    <w:bookmarkStart w:id="170"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67" w:name="rot_Tabla_16_5"/>
      <w:r>
        <w:rPr>
          <w:b/>
          <w:bCs/>
        </w:rPr>
        <w:t xml:space="preserve">Tabla 16.5</w:t>
      </w:r>
      <w:bookmarkEnd w:id="9067"/>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655"/>
        <w:gridCol w:w="2571"/>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655" w:type="dxa"/>
            <w:tcBorders>
              <w:bottom w:val="single" w:sz="12" w:space="0" w:color="6699CC"/>
            </w:tcBorders>
            <w:shd w:val="clear" w:color="auto" w:fill="B9D9EB"/>
          </w:tcPr>
          <w:p>
            <w:pPr>
              <w:pStyle w:val="Tabla9"/>
              <w:keepNext/>
              <w:jc w:val="left"/>
            </w:pPr>
            <w:r>
              <w:rPr>
                <w:b/>
              </w:rPr>
              <w:t xml:space="preserve">Cantidad del proyecto</w:t>
            </w:r>
          </w:p>
        </w:tc>
        <w:tc>
          <w:tcPr>
            <w:tcW w:w="2571"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655" w:type="dxa"/>
          </w:tcPr>
          <w:p>
            <w:pPr>
              <w:pStyle w:val="Tabla9"/>
              <w:jc w:val="left"/>
            </w:pPr>
            <w:r>
              <w:t xml:space="preserve">120 kits solares y 11 gateways con energía solar y respaldo</w:t>
            </w:r>
          </w:p>
        </w:tc>
        <w:tc>
          <w:tcPr>
            <w:tcW w:w="2571"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655" w:type="dxa"/>
            <w:shd w:val="clear" w:color="auto" w:fill="F7F7F7"/>
          </w:tcPr>
          <w:p>
            <w:pPr>
              <w:pStyle w:val="Tabla9"/>
              <w:jc w:val="left"/>
            </w:pPr>
            <w:r>
              <w:t xml:space="preserve">120 kits con batería y repuestos de baterías</w:t>
            </w:r>
          </w:p>
        </w:tc>
        <w:tc>
          <w:tcPr>
            <w:tcW w:w="2571"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655" w:type="dxa"/>
          </w:tcPr>
          <w:p>
            <w:pPr>
              <w:pStyle w:val="Tabla9"/>
              <w:jc w:val="left"/>
            </w:pPr>
            <w:r>
              <w:t xml:space="preserve">120 nodos, 11 gateways, 10 módulos satelitales y 150 cabezales</w:t>
            </w:r>
          </w:p>
        </w:tc>
        <w:tc>
          <w:tcPr>
            <w:tcW w:w="2571"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655" w:type="dxa"/>
            <w:shd w:val="clear" w:color="auto" w:fill="F7F7F7"/>
          </w:tcPr>
          <w:p>
            <w:pPr>
              <w:pStyle w:val="Tabla9"/>
              <w:jc w:val="left"/>
            </w:pPr>
            <w:r>
              <w:t xml:space="preserve">1.200 filtros de membrana y 15 lotes de polvo de ensayo</w:t>
            </w:r>
          </w:p>
        </w:tc>
        <w:tc>
          <w:tcPr>
            <w:tcW w:w="2571"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655" w:type="dxa"/>
          </w:tcPr>
          <w:p>
            <w:pPr>
              <w:pStyle w:val="Tabla9"/>
              <w:jc w:val="left"/>
            </w:pPr>
            <w:r>
              <w:t xml:space="preserve">190 trayectos aéreos, 310 días de vehículo 4x4 y dos viajes internacionales</w:t>
            </w:r>
          </w:p>
        </w:tc>
        <w:tc>
          <w:tcPr>
            <w:tcW w:w="2571"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655" w:type="dxa"/>
            <w:shd w:val="clear" w:color="auto" w:fill="F7F7F7"/>
          </w:tcPr>
          <w:p>
            <w:pPr>
              <w:pStyle w:val="Tabla9"/>
              <w:jc w:val="left"/>
            </w:pPr>
            <w:r>
              <w:t xml:space="preserve">1 servidor, 4 estaciones meteorológicas, 1 dron y 2 monitores portátiles</w:t>
            </w:r>
          </w:p>
        </w:tc>
        <w:tc>
          <w:tcPr>
            <w:tcW w:w="2571" w:type="dxa"/>
            <w:shd w:val="clear" w:color="auto" w:fill="F7F7F7"/>
          </w:tcPr>
          <w:p>
            <w:pPr>
              <w:pStyle w:val="Tabla9"/>
              <w:jc w:val="left"/>
            </w:pPr>
            <w:r>
              <w:t xml:space="preserve">Custodia en la sede del laboratorio, en un municipio afectado,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655" w:type="dxa"/>
          </w:tcPr>
          <w:p>
            <w:pPr>
              <w:pStyle w:val="Tabla9"/>
              <w:keepNext/>
              <w:jc w:val="left"/>
            </w:pPr>
            <w:r>
              <w:t xml:space="preserve">5.000 cartillas del índice y del protocolo</w:t>
            </w:r>
          </w:p>
        </w:tc>
        <w:tc>
          <w:tcPr>
            <w:tcW w:w="2571"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70"/>
    <w:bookmarkStart w:id="171"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71"/>
    <w:bookmarkStart w:id="172"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68" w:name="rot_Tabla_16_6"/>
      <w:r>
        <w:rPr>
          <w:b/>
          <w:bCs/>
        </w:rPr>
        <w:t xml:space="preserve">Tabla 16.6</w:t>
      </w:r>
      <w:bookmarkEnd w:id="9068"/>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72"/>
    <w:bookmarkEnd w:id="173"/>
    <w:bookmarkStart w:id="180"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74"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69" w:name="rot_Tabla_17_1"/>
      <w:r>
        <w:rPr>
          <w:b/>
          <w:bCs/>
        </w:rPr>
        <w:t xml:space="preserve">Tabla 17.1</w:t>
      </w:r>
      <w:bookmarkEnd w:id="9069"/>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70" w:name="rot_Tabla_17_2"/>
      <w:r>
        <w:rPr>
          <w:b/>
          <w:bCs/>
        </w:rPr>
        <w:t xml:space="preserve">Tabla 17.2</w:t>
      </w:r>
      <w:bookmarkEnd w:id="9070"/>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74"/>
    <w:bookmarkStart w:id="178"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71" w:name="rot_Tabla_17_3"/>
      <w:r>
        <w:rPr>
          <w:b/>
          <w:bCs/>
        </w:rPr>
        <w:t xml:space="preserve">Tabla 17.3</w:t>
      </w:r>
      <w:bookmarkEnd w:id="9071"/>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72" w:name="rot_Tabla_17_4"/>
      <w:r>
        <w:rPr>
          <w:b/>
          <w:bCs/>
        </w:rPr>
        <w:t xml:space="preserve">Tabla 17.4</w:t>
      </w:r>
      <w:bookmarkEnd w:id="9072"/>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73" w:name="rot_Tabla_17_5"/>
      <w:r>
        <w:rPr>
          <w:b/>
          <w:bCs/>
        </w:rPr>
        <w:t xml:space="preserve">Tabla 17.5</w:t>
      </w:r>
      <w:bookmarkEnd w:id="9073"/>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73" w:name="rot_Figura_17_1"/>
      <w:r>
        <w:rPr>
          <w:b/>
          <w:bCs/>
        </w:rPr>
        <w:t xml:space="preserve">Figura 17.1</w:t>
      </w:r>
      <w:bookmarkEnd w:id="9173"/>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76" name="Picture"/>
            <a:graphic>
              <a:graphicData uri="http://schemas.openxmlformats.org/drawingml/2006/picture">
                <pic:pic>
                  <pic:nvPicPr>
                    <pic:cNvPr descr="/tmp/claude-0/-home-user-docs/8ca5c040-2adb-56b3-8e64-05d4e7e569ed/scratchpad/a2/figs/out/c17_f01.png" id="177" name="Picture"/>
                    <pic:cNvPicPr>
                      <a:picLocks noChangeArrowheads="1" noChangeAspect="1"/>
                    </pic:cNvPicPr>
                  </pic:nvPicPr>
                  <pic:blipFill>
                    <a:blip r:embed="rId175"/>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78"/>
    <w:bookmarkStart w:id="179"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74" w:name="rot_Tabla_17_6"/>
      <w:r>
        <w:rPr>
          <w:b/>
          <w:bCs/>
        </w:rPr>
        <w:t xml:space="preserve">Tabla 17.6</w:t>
      </w:r>
      <w:bookmarkEnd w:id="9074"/>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79"/>
    <w:bookmarkEnd w:id="180"/>
    <w:bookmarkStart w:id="190"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actividades de transferencia, adopción y valoración tecnológica. La plantilla del Anexo 2 propone destinar a ellas al menos 1 % del valor total. La Secretaría Técnica precisa que ese porcentaje orienta y no es requisito habilitante (Secretaría Técnica de la Convocatoria 56, 2026).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81"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75" w:name="rot_Tabla_18_1"/>
      <w:r>
        <w:rPr>
          <w:b/>
          <w:bCs/>
        </w:rPr>
        <w:t xml:space="preserve">Tabla 18.1</w:t>
      </w:r>
      <w:bookmarkEnd w:id="9075"/>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81"/>
    <w:bookmarkStart w:id="182"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valida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82"/>
    <w:bookmarkStart w:id="183"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76" w:name="rot_Tabla_18_2"/>
      <w:r>
        <w:rPr>
          <w:b/>
          <w:bCs/>
        </w:rPr>
        <w:t xml:space="preserve">Tabla 18.2</w:t>
      </w:r>
      <w:bookmarkEnd w:id="9076"/>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software y los modelos que un integrante aporta ya desarrollados son activos previos. Se declaran en el modelo de gobernanza del Anexo 1 </w:t>
      </w:r>
      <w:r>
        <w:rPr>
          <w:color w:val="00B050"/>
        </w:rPr>
        <w:t xml:space="preserve">[Diligenciar: activos previos de cada integrante]</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83"/>
    <w:bookmarkStart w:id="187"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77" w:name="rot_Tabla_18_3"/>
      <w:r>
        <w:rPr>
          <w:b/>
          <w:bCs/>
        </w:rPr>
        <w:t xml:space="preserve">Tabla 18.3</w:t>
      </w:r>
      <w:bookmarkEnd w:id="9077"/>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74" w:name="rot_Figura_18_1"/>
      <w:r>
        <w:rPr>
          <w:b/>
          <w:bCs/>
        </w:rPr>
        <w:t xml:space="preserve">Figura 18.1</w:t>
      </w:r>
      <w:bookmarkEnd w:id="9174"/>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85" name="Picture"/>
            <a:graphic>
              <a:graphicData uri="http://schemas.openxmlformats.org/drawingml/2006/picture">
                <pic:pic>
                  <pic:nvPicPr>
                    <pic:cNvPr descr="/tmp/claude-0/-home-user-docs/8ca5c040-2adb-56b3-8e64-05d4e7e569ed/scratchpad/a2/figs/out/c18_f01.png" id="186" name="Picture"/>
                    <pic:cNvPicPr>
                      <a:picLocks noChangeArrowheads="1" noChangeAspect="1"/>
                    </pic:cNvPicPr>
                  </pic:nvPicPr>
                  <pic:blipFill>
                    <a:blip r:embed="rId184"/>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78" w:name="rot_Tabla_18_4"/>
      <w:r>
        <w:rPr>
          <w:b/>
          <w:bCs/>
        </w:rPr>
        <w:t xml:space="preserve">Tabla 18.4</w:t>
      </w:r>
      <w:bookmarkEnd w:id="9078"/>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87"/>
    <w:bookmarkStart w:id="188"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79" w:name="rot_Tabla_18_5"/>
      <w:r>
        <w:rPr>
          <w:b/>
          <w:bCs/>
        </w:rPr>
        <w:t xml:space="preserve">Tabla 18.5</w:t>
      </w:r>
      <w:bookmarkEnd w:id="9079"/>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88"/>
    <w:bookmarkStart w:id="189"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80" w:name="rot_Tabla_18_6"/>
      <w:r>
        <w:rPr>
          <w:b/>
          <w:bCs/>
        </w:rPr>
        <w:t xml:space="preserve">Tabla 18.6</w:t>
      </w:r>
      <w:bookmarkEnd w:id="9080"/>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89"/>
    <w:bookmarkEnd w:id="190"/>
    <w:bookmarkStart w:id="208"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204"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75" w:name="rot_Figura_19_1"/>
      <w:r>
        <w:rPr>
          <w:b/>
          <w:bCs/>
        </w:rPr>
        <w:t xml:space="preserve">Figura 19.1</w:t>
      </w:r>
      <w:bookmarkEnd w:id="9175"/>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92" name="Picture"/>
            <a:graphic>
              <a:graphicData uri="http://schemas.openxmlformats.org/drawingml/2006/picture">
                <pic:pic>
                  <pic:nvPicPr>
                    <pic:cNvPr descr="/tmp/claude-0/-home-user-docs/8ca5c040-2adb-56b3-8e64-05d4e7e569ed/scratchpad/a2/figs/out/c19_f01.png" id="193" name="Picture"/>
                    <pic:cNvPicPr>
                      <a:picLocks noChangeArrowheads="1" noChangeAspect="1"/>
                    </pic:cNvPicPr>
                  </pic:nvPicPr>
                  <pic:blipFill>
                    <a:blip r:embed="rId191"/>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94"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94"/>
    <w:bookmarkStart w:id="195"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81" w:name="rot_Tabla_19_1"/>
      <w:r>
        <w:rPr>
          <w:b/>
          <w:bCs/>
        </w:rPr>
        <w:t xml:space="preserve">Tabla 19.1</w:t>
      </w:r>
      <w:bookmarkEnd w:id="9081"/>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95"/>
    <w:bookmarkStart w:id="196"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82" w:name="rot_Tabla_19_2"/>
      <w:r>
        <w:rPr>
          <w:b/>
          <w:bCs/>
        </w:rPr>
        <w:t xml:space="preserve">Tabla 19.2</w:t>
      </w:r>
      <w:bookmarkEnd w:id="9082"/>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96"/>
    <w:bookmarkStart w:id="197"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97"/>
    <w:bookmarkStart w:id="198"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98"/>
    <w:bookmarkStart w:id="202"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76" w:name="rot_Figura_19_2"/>
      <w:r>
        <w:rPr>
          <w:b/>
          <w:bCs/>
        </w:rPr>
        <w:t xml:space="preserve">Figura 19.2</w:t>
      </w:r>
      <w:bookmarkEnd w:id="9176"/>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200" name="Picture"/>
            <a:graphic>
              <a:graphicData uri="http://schemas.openxmlformats.org/drawingml/2006/picture">
                <pic:pic>
                  <pic:nvPicPr>
                    <pic:cNvPr descr="/tmp/claude-0/-home-user-docs/8ca5c040-2adb-56b3-8e64-05d4e7e569ed/scratchpad/a2/figs/out/c19_f02.png" id="201" name="Picture"/>
                    <pic:cNvPicPr>
                      <a:picLocks noChangeArrowheads="1" noChangeAspect="1"/>
                    </pic:cNvPicPr>
                  </pic:nvPicPr>
                  <pic:blipFill>
                    <a:blip r:embed="rId199"/>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202"/>
    <w:bookmarkStart w:id="203"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203"/>
    <w:bookmarkEnd w:id="204"/>
    <w:bookmarkStart w:id="205"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83" w:name="rot_Tabla_19_3"/>
      <w:r>
        <w:rPr>
          <w:b/>
          <w:bCs/>
        </w:rPr>
        <w:t xml:space="preserve">Tabla 19.3</w:t>
      </w:r>
      <w:bookmarkEnd w:id="9083"/>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205"/>
    <w:bookmarkStart w:id="206"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84" w:name="rot_Tabla_19_4"/>
      <w:r>
        <w:rPr>
          <w:b/>
          <w:bCs/>
        </w:rPr>
        <w:t xml:space="preserve">Tabla 19.4</w:t>
      </w:r>
      <w:bookmarkEnd w:id="9084"/>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206"/>
    <w:bookmarkStart w:id="207"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85" w:name="rot_Tabla_19_5"/>
      <w:r>
        <w:rPr>
          <w:b/>
          <w:bCs/>
        </w:rPr>
        <w:t xml:space="preserve">Tabla 19.5</w:t>
      </w:r>
      <w:bookmarkEnd w:id="9085"/>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207"/>
    <w:bookmarkEnd w:id="208"/>
    <w:bookmarkStart w:id="209"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86" w:name="rot_Tabla_20_1"/>
      <w:r>
        <w:rPr>
          <w:b/>
          <w:bCs/>
        </w:rPr>
        <w:t xml:space="preserve">Tabla 20.1</w:t>
      </w:r>
      <w:bookmarkEnd w:id="9086"/>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87" w:name="rot_Tabla_20_2"/>
      <w:r>
        <w:rPr>
          <w:b/>
          <w:bCs/>
        </w:rPr>
        <w:t xml:space="preserve">Tabla 20.2</w:t>
      </w:r>
      <w:bookmarkEnd w:id="9087"/>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La culminación de la maestría es requisito para el cierre del proyecto (Secretaría Técnica de la Convocatoria 56, 2026). Por eso el proyecto vincula a estudiantes que la culminan dentro de los 24 meses. El doctor en estancia posdoctoral entrega un producto de tipo TOP o de tipo A, un producto de divulgación y un informe técnico final. Estos compromisos se verifican con constancias de sometimiento y con el registro de cada producto en la plataforma.</w:t>
      </w:r>
    </w:p>
    <w:bookmarkEnd w:id="209"/>
    <w:bookmarkStart w:id="213"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88" w:name="rot_Tabla_21_1"/>
      <w:r>
        <w:rPr>
          <w:b/>
          <w:bCs/>
        </w:rPr>
        <w:t xml:space="preserve">Tabla 21.1</w:t>
      </w:r>
      <w:bookmarkEnd w:id="9088"/>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77" w:name="rot_Figura_21_1"/>
      <w:r>
        <w:rPr>
          <w:b/>
          <w:bCs/>
        </w:rPr>
        <w:t xml:space="preserve">Figura 21.1</w:t>
      </w:r>
      <w:bookmarkEnd w:id="9177"/>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211" name="Picture"/>
            <a:graphic>
              <a:graphicData uri="http://schemas.openxmlformats.org/drawingml/2006/picture">
                <pic:pic>
                  <pic:nvPicPr>
                    <pic:cNvPr descr="/tmp/claude-0/-home-user-docs/8ca5c040-2adb-56b3-8e64-05d4e7e569ed/scratchpad/a2/figs/out/c21_f01.png" id="212" name="Picture"/>
                    <pic:cNvPicPr>
                      <a:picLocks noChangeArrowheads="1" noChangeAspect="1"/>
                    </pic:cNvPicPr>
                  </pic:nvPicPr>
                  <pic:blipFill>
                    <a:blip r:embed="rId210"/>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89" w:name="rot_Tabla_21_2"/>
      <w:r>
        <w:rPr>
          <w:b/>
          <w:bCs/>
        </w:rPr>
        <w:t xml:space="preserve">Tabla 21.2</w:t>
      </w:r>
      <w:bookmarkEnd w:id="9089"/>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90" w:name="rot_Tabla_21_3"/>
      <w:r>
        <w:rPr>
          <w:b/>
          <w:bCs/>
        </w:rPr>
        <w:t xml:space="preserve">Tabla 21.3</w:t>
      </w:r>
      <w:bookmarkEnd w:id="9090"/>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213"/>
    <w:bookmarkStart w:id="217"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91" w:name="rot_Tabla_22_1"/>
      <w:r>
        <w:rPr>
          <w:b/>
          <w:bCs/>
        </w:rPr>
        <w:t xml:space="preserve">Tabla 22.1</w:t>
      </w:r>
      <w:bookmarkEnd w:id="9091"/>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78" w:name="rot_Figura_22_1"/>
      <w:r>
        <w:rPr>
          <w:b/>
          <w:bCs/>
        </w:rPr>
        <w:t xml:space="preserve">Figura 22.1</w:t>
      </w:r>
      <w:bookmarkEnd w:id="9178"/>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215" name="Picture"/>
            <a:graphic>
              <a:graphicData uri="http://schemas.openxmlformats.org/drawingml/2006/picture">
                <pic:pic>
                  <pic:nvPicPr>
                    <pic:cNvPr descr="/tmp/claude-0/-home-user-docs/8ca5c040-2adb-56b3-8e64-05d4e7e569ed/scratchpad/a2/figs/out/c22_f01.png" id="216" name="Picture"/>
                    <pic:cNvPicPr>
                      <a:picLocks noChangeArrowheads="1" noChangeAspect="1"/>
                    </pic:cNvPicPr>
                  </pic:nvPicPr>
                  <pic:blipFill>
                    <a:blip r:embed="rId214"/>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92" w:name="rot_Tabla_22_2"/>
      <w:r>
        <w:rPr>
          <w:b/>
          <w:bCs/>
        </w:rPr>
        <w:t xml:space="preserve">Tabla 22.2</w:t>
      </w:r>
      <w:bookmarkEnd w:id="9092"/>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93" w:name="rot_Tabla_22_3"/>
      <w:r>
        <w:rPr>
          <w:b/>
          <w:bCs/>
        </w:rPr>
        <w:t xml:space="preserve">Tabla 22.3</w:t>
      </w:r>
      <w:bookmarkEnd w:id="9093"/>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17"/>
    <w:bookmarkStart w:id="218"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94" w:name="rot_Tabla_23_1"/>
      <w:r>
        <w:rPr>
          <w:b/>
          <w:bCs/>
        </w:rPr>
        <w:t xml:space="preserve">Tabla 23.1</w:t>
      </w:r>
      <w:bookmarkEnd w:id="9094"/>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95" w:name="rot_Tabla_23_2"/>
      <w:r>
        <w:rPr>
          <w:b/>
          <w:bCs/>
        </w:rPr>
        <w:t xml:space="preserve">Tabla 23.2</w:t>
      </w:r>
      <w:bookmarkEnd w:id="9095"/>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18"/>
    <w:bookmarkStart w:id="219"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96" w:name="rot_Tabla_24_1"/>
      <w:r>
        <w:rPr>
          <w:b/>
          <w:bCs/>
        </w:rPr>
        <w:t xml:space="preserve">Tabla 24.1</w:t>
      </w:r>
      <w:bookmarkEnd w:id="9096"/>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97" w:name="rot_Tabla_24_2"/>
      <w:r>
        <w:rPr>
          <w:b/>
          <w:bCs/>
        </w:rPr>
        <w:t xml:space="preserve">Tabla 24.2</w:t>
      </w:r>
      <w:bookmarkEnd w:id="9097"/>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19"/>
    <w:bookmarkStart w:id="227"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20"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98" w:name="rot_Tabla_25_1"/>
      <w:r>
        <w:rPr>
          <w:b/>
          <w:bCs/>
        </w:rPr>
        <w:t xml:space="preserve">Tabla 25.1</w:t>
      </w:r>
      <w:bookmarkEnd w:id="9098"/>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20"/>
    <w:bookmarkStart w:id="221"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21"/>
    <w:bookmarkStart w:id="222"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22"/>
    <w:bookmarkStart w:id="223"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99" w:name="rot_Tabla_25_2"/>
      <w:r>
        <w:rPr>
          <w:b/>
          <w:bCs/>
        </w:rPr>
        <w:t xml:space="preserve">Tabla 25.2</w:t>
      </w:r>
      <w:bookmarkEnd w:id="9099"/>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23"/>
    <w:bookmarkStart w:id="224"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100" w:name="rot_Tabla_25_3"/>
      <w:r>
        <w:rPr>
          <w:b/>
          <w:bCs/>
        </w:rPr>
        <w:t xml:space="preserve">Tabla 25.3</w:t>
      </w:r>
      <w:bookmarkEnd w:id="9100"/>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24"/>
    <w:bookmarkStart w:id="225"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25"/>
    <w:bookmarkStart w:id="226"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los evaluadores determinan que el aval es obligatorio y no se cargó, el proyecto se rechaza (numeral 11.6 de los TdR). Por eso la IES no espera al acta de inicio. Solicita al comité su aval o su determinación escrita de que el proyecto no lo requiere. Carga ese documento con la postulación </w:t>
      </w:r>
      <w:r>
        <w:rPr>
          <w:color w:val="00B050"/>
        </w:rPr>
        <w:t xml:space="preserve">[Diligenciar: aval o determinación escrita del comité]</w:t>
      </w:r>
      <w:r>
        <w:t xml:space="preserve">. Cuando el aval aplica, adjunta el acto administrativo de conformación del comité, como pide el numeral 10.10 (Secretaría Técnica de la Convocatoria 56, 2026). Si la IES no cuenta con comité, solicita el aval a otra entidad que lo tenga. El protocolo de participación y el de consentimiento se someten a esa revisión. El estado del aval se informa en la sección 27.</w:t>
      </w:r>
    </w:p>
    <w:bookmarkEnd w:id="226"/>
    <w:bookmarkEnd w:id="227"/>
    <w:bookmarkStart w:id="235"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28"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101" w:name="rot_Tabla_26_1"/>
      <w:r>
        <w:rPr>
          <w:b/>
          <w:bCs/>
        </w:rPr>
        <w:t xml:space="preserve">Tabla 26.1</w:t>
      </w:r>
      <w:bookmarkEnd w:id="9101"/>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102" w:name="rot_Tabla_26_2"/>
      <w:r>
        <w:rPr>
          <w:b/>
          <w:bCs/>
        </w:rPr>
        <w:t xml:space="preserve">Tabla 26.2</w:t>
      </w:r>
      <w:bookmarkEnd w:id="9102"/>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28"/>
    <w:bookmarkStart w:id="229"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103" w:name="rot_Tabla_26_3"/>
      <w:r>
        <w:rPr>
          <w:b/>
          <w:bCs/>
        </w:rPr>
        <w:t xml:space="preserve">Tabla 26.3</w:t>
      </w:r>
      <w:bookmarkEnd w:id="9103"/>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29"/>
    <w:bookmarkStart w:id="233"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104" w:name="rot_Tabla_26_4"/>
      <w:r>
        <w:rPr>
          <w:b/>
          <w:bCs/>
        </w:rPr>
        <w:t xml:space="preserve">Tabla 26.4</w:t>
      </w:r>
      <w:bookmarkEnd w:id="9104"/>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105" w:name="rot_Tabla_26_5"/>
      <w:r>
        <w:rPr>
          <w:b/>
          <w:bCs/>
        </w:rPr>
        <w:t xml:space="preserve">Tabla 26.5</w:t>
      </w:r>
      <w:bookmarkEnd w:id="9105"/>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79" w:name="rot_Figura_26_1"/>
      <w:r>
        <w:rPr>
          <w:b/>
          <w:bCs/>
        </w:rPr>
        <w:t xml:space="preserve">Figura 26.1</w:t>
      </w:r>
      <w:bookmarkEnd w:id="9179"/>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31" name="Picture"/>
            <a:graphic>
              <a:graphicData uri="http://schemas.openxmlformats.org/drawingml/2006/picture">
                <pic:pic>
                  <pic:nvPicPr>
                    <pic:cNvPr descr="/tmp/claude-0/-home-user-docs/8ca5c040-2adb-56b3-8e64-05d4e7e569ed/scratchpad/a2/figs/out/c26_f01.png" id="232" name="Picture"/>
                    <pic:cNvPicPr>
                      <a:picLocks noChangeArrowheads="1" noChangeAspect="1"/>
                    </pic:cNvPicPr>
                  </pic:nvPicPr>
                  <pic:blipFill>
                    <a:blip r:embed="rId230"/>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106" w:name="rot_Tabla_26_6"/>
      <w:r>
        <w:rPr>
          <w:b/>
          <w:bCs/>
        </w:rPr>
        <w:t xml:space="preserve">Tabla 26.6</w:t>
      </w:r>
      <w:bookmarkEnd w:id="9106"/>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33"/>
    <w:bookmarkStart w:id="234"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107" w:name="rot_Tabla_26_7"/>
      <w:r>
        <w:rPr>
          <w:b/>
          <w:bCs/>
        </w:rPr>
        <w:t xml:space="preserve">Tabla 26.7</w:t>
      </w:r>
      <w:bookmarkEnd w:id="9107"/>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34"/>
    <w:bookmarkEnd w:id="235"/>
    <w:bookmarkStart w:id="240" w:name="análisis-de-licencias-y-permisos"/>
    <w:p>
      <w:pPr>
        <w:pStyle w:val="Heading1"/>
      </w:pPr>
      <w:r>
        <w:t xml:space="preserve">27. ANÁLISIS DE LICENCIAS Y PERMISOS</w:t>
      </w:r>
    </w:p>
    <w:bookmarkStart w:id="236"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36"/>
    <w:bookmarkStart w:id="237"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108" w:name="rot_Tabla_27_1"/>
      <w:r>
        <w:rPr>
          <w:b/>
          <w:bCs/>
        </w:rPr>
        <w:t xml:space="preserve">Tabla 27.1</w:t>
      </w:r>
      <w:bookmarkEnd w:id="9108"/>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Al radicar, con la postulación (numeral 10.10; causal de rechazo 11.6)</w:t>
            </w:r>
          </w:p>
        </w:tc>
        <w:tc>
          <w:tcPr>
            <w:tcW w:w="1171" w:type="dxa"/>
            <w:shd w:val="clear" w:color="auto" w:fill="F7F7F7"/>
          </w:tcPr>
          <w:p>
            <w:pPr>
              <w:pStyle w:val="Tabla8"/>
              <w:jc w:val="left"/>
            </w:pPr>
            <w:r>
              <w:t xml:space="preserve">La formulación considera que no es obligatorio; se adjunta el aval o la determinación del comité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 radicar </w:t>
            </w:r>
            <w:r>
              <w:rPr>
                <w:color w:val="00B050"/>
              </w:rPr>
              <w:t xml:space="preserve">[Diligenciar: fecha del aval o de la determinación del comité]</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37"/>
    <w:bookmarkStart w:id="238"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 El proyecto adjunta el aval o la determinación escrita del comité con la postulación.</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38"/>
    <w:bookmarkStart w:id="239"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109" w:name="rot_Tabla_27_2"/>
      <w:r>
        <w:rPr>
          <w:b/>
          <w:bCs/>
        </w:rPr>
        <w:t xml:space="preserve">Tabla 27.2</w:t>
      </w:r>
      <w:bookmarkEnd w:id="9109"/>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1422"/>
        <w:gridCol w:w="2427"/>
        <w:gridCol w:w="2258"/>
        <w:gridCol w:w="2091"/>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Momento</w:t>
            </w:r>
          </w:p>
        </w:tc>
        <w:tc>
          <w:tcPr>
            <w:tcW w:w="1422" w:type="dxa"/>
            <w:tcBorders>
              <w:bottom w:val="single" w:sz="12" w:space="0" w:color="6699CC"/>
            </w:tcBorders>
            <w:shd w:val="clear" w:color="auto" w:fill="B9D9EB"/>
          </w:tcPr>
          <w:p>
            <w:pPr>
              <w:pStyle w:val="Tabla9"/>
              <w:keepNext/>
              <w:jc w:val="left"/>
            </w:pPr>
            <w:r>
              <w:rPr>
                <w:b/>
              </w:rPr>
              <w:t xml:space="preserve">Mes del proyecto</w:t>
            </w:r>
          </w:p>
        </w:tc>
        <w:tc>
          <w:tcPr>
            <w:tcW w:w="2427" w:type="dxa"/>
            <w:tcBorders>
              <w:bottom w:val="single" w:sz="12" w:space="0" w:color="6699CC"/>
            </w:tcBorders>
            <w:shd w:val="clear" w:color="auto" w:fill="B9D9EB"/>
          </w:tcPr>
          <w:p>
            <w:pPr>
              <w:pStyle w:val="Tabla9"/>
              <w:keepNext/>
              <w:jc w:val="left"/>
            </w:pPr>
            <w:r>
              <w:rPr>
                <w:b/>
              </w:rPr>
              <w:t xml:space="preserve">Requisitos que se acreditan</w:t>
            </w:r>
          </w:p>
        </w:tc>
        <w:tc>
          <w:tcPr>
            <w:tcW w:w="2258" w:type="dxa"/>
            <w:tcBorders>
              <w:bottom w:val="single" w:sz="12" w:space="0" w:color="6699CC"/>
            </w:tcBorders>
            <w:shd w:val="clear" w:color="auto" w:fill="B9D9EB"/>
          </w:tcPr>
          <w:p>
            <w:pPr>
              <w:pStyle w:val="Tabla9"/>
              <w:keepNext/>
              <w:jc w:val="left"/>
            </w:pPr>
            <w:r>
              <w:rPr>
                <w:b/>
              </w:rPr>
              <w:t xml:space="preserve">Evidencia de cierre</w:t>
            </w:r>
          </w:p>
        </w:tc>
        <w:tc>
          <w:tcPr>
            <w:tcW w:w="2091"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56" w:type="dxa"/>
          </w:tcPr>
          <w:p>
            <w:pPr>
              <w:pStyle w:val="Tabla9"/>
              <w:jc w:val="left"/>
            </w:pPr>
            <w:r>
              <w:t xml:space="preserve">Con la postulación</w:t>
            </w:r>
          </w:p>
        </w:tc>
        <w:tc>
          <w:tcPr>
            <w:tcW w:w="1422" w:type="dxa"/>
          </w:tcPr>
          <w:p>
            <w:pPr>
              <w:pStyle w:val="Tabla9"/>
              <w:jc w:val="left"/>
            </w:pPr>
            <w:r>
              <w:t xml:space="preserve">Antes del 3 de noviembre de 2026</w:t>
            </w:r>
          </w:p>
        </w:tc>
        <w:tc>
          <w:tcPr>
            <w:tcW w:w="2427" w:type="dxa"/>
          </w:tcPr>
          <w:p>
            <w:pPr>
              <w:pStyle w:val="Tabla9"/>
              <w:jc w:val="left"/>
            </w:pPr>
            <w:r>
              <w:t xml:space="preserve">Estado de los permisos de este anexo; certificado de titularidad (numeral 10.19); certificados de participación (numeral 10.18); aval del comité de ética o su determinación escrita (numeral 10.10); compromisos de operación, validación y uso (numeral 10.6); soportes de los numerales 10.20 y 10.21 de cada lugar de ejecución; cotizaciones por rubro (numeral 10.8)</w:t>
            </w:r>
          </w:p>
        </w:tc>
        <w:tc>
          <w:tcPr>
            <w:tcW w:w="2258" w:type="dxa"/>
          </w:tcPr>
          <w:p>
            <w:pPr>
              <w:pStyle w:val="Tabla9"/>
              <w:jc w:val="left"/>
            </w:pPr>
            <w:r>
              <w:t xml:space="preserve">Documentos cargados en el SIGP</w:t>
            </w:r>
          </w:p>
        </w:tc>
        <w:tc>
          <w:tcPr>
            <w:tcW w:w="2091" w:type="dxa"/>
          </w:tcPr>
          <w:p>
            <w:pPr>
              <w:pStyle w:val="Tabla9"/>
              <w:jc w:val="left"/>
            </w:pPr>
            <w:r>
              <w:t xml:space="preserve">Universidad ejecutora, cada integrante y las entidades territoriales</w:t>
            </w:r>
          </w:p>
        </w:tc>
      </w:tr>
      <w:tr>
        <w:trPr>
          <w:cantSplit/>
        </w:trPr>
        <w:tc>
          <w:tcPr>
            <w:tcW w:w="1756" w:type="dxa"/>
            <w:shd w:val="clear" w:color="auto" w:fill="F7F7F7"/>
          </w:tcPr>
          <w:p>
            <w:pPr>
              <w:pStyle w:val="Tabla9"/>
              <w:jc w:val="left"/>
            </w:pPr>
            <w:r>
              <w:t xml:space="preserve">Antes del acta de inicio</w:t>
            </w:r>
          </w:p>
        </w:tc>
        <w:tc>
          <w:tcPr>
            <w:tcW w:w="1422" w:type="dxa"/>
            <w:shd w:val="clear" w:color="auto" w:fill="F7F7F7"/>
          </w:tcPr>
          <w:p>
            <w:pPr>
              <w:pStyle w:val="Tabla9"/>
              <w:jc w:val="left"/>
            </w:pPr>
            <w:r>
              <w:t xml:space="preserve">Mes 2</w:t>
            </w:r>
          </w:p>
        </w:tc>
        <w:tc>
          <w:tcPr>
            <w:tcW w:w="2427" w:type="dxa"/>
            <w:shd w:val="clear" w:color="auto" w:fill="F7F7F7"/>
          </w:tcPr>
          <w:p>
            <w:pPr>
              <w:pStyle w:val="Tabla9"/>
              <w:jc w:val="left"/>
            </w:pPr>
            <w:r>
              <w:t xml:space="preserve">Formato de consentimiento; modalidad contractual de la alianza; contratación del agente aduanero</w:t>
            </w:r>
          </w:p>
        </w:tc>
        <w:tc>
          <w:tcPr>
            <w:tcW w:w="2258" w:type="dxa"/>
            <w:shd w:val="clear" w:color="auto" w:fill="F7F7F7"/>
          </w:tcPr>
          <w:p>
            <w:pPr>
              <w:pStyle w:val="Tabla9"/>
              <w:jc w:val="left"/>
            </w:pPr>
            <w:r>
              <w:t xml:space="preserve">Formato de consentimiento aprobado y convenio de la alianza firmado</w:t>
            </w:r>
          </w:p>
        </w:tc>
        <w:tc>
          <w:tcPr>
            <w:tcW w:w="2091" w:type="dxa"/>
            <w:shd w:val="clear" w:color="auto" w:fill="F7F7F7"/>
          </w:tcPr>
          <w:p>
            <w:pPr>
              <w:pStyle w:val="Tabla9"/>
              <w:jc w:val="left"/>
            </w:pPr>
            <w:r>
              <w:t xml:space="preserve">Universidad ejecutora</w:t>
            </w:r>
          </w:p>
        </w:tc>
      </w:tr>
      <w:tr>
        <w:trPr>
          <w:cantSplit/>
        </w:trPr>
        <w:tc>
          <w:tcPr>
            <w:tcW w:w="1756" w:type="dxa"/>
          </w:tcPr>
          <w:p>
            <w:pPr>
              <w:pStyle w:val="Tabla9"/>
              <w:jc w:val="left"/>
            </w:pPr>
            <w:r>
              <w:t xml:space="preserve">Antes del tramo 1</w:t>
            </w:r>
          </w:p>
        </w:tc>
        <w:tc>
          <w:tcPr>
            <w:tcW w:w="1422" w:type="dxa"/>
          </w:tcPr>
          <w:p>
            <w:pPr>
              <w:pStyle w:val="Tabla9"/>
              <w:jc w:val="left"/>
            </w:pPr>
            <w:r>
              <w:t xml:space="preserve">Meses 3 a 5</w:t>
            </w:r>
          </w:p>
        </w:tc>
        <w:tc>
          <w:tcPr>
            <w:tcW w:w="2427"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258" w:type="dxa"/>
          </w:tcPr>
          <w:p>
            <w:pPr>
              <w:pStyle w:val="Tabla9"/>
              <w:jc w:val="left"/>
            </w:pPr>
            <w:r>
              <w:t xml:space="preserve">Autorizaciones firmadas e informe de libertad de operación</w:t>
            </w:r>
          </w:p>
        </w:tc>
        <w:tc>
          <w:tcPr>
            <w:tcW w:w="2091" w:type="dxa"/>
          </w:tcPr>
          <w:p>
            <w:pPr>
              <w:pStyle w:val="Tabla9"/>
              <w:jc w:val="left"/>
            </w:pPr>
            <w:r>
              <w:t xml:space="preserve">Municipio aliado, empresa tecnológica y universidad ejecutora</w:t>
            </w:r>
          </w:p>
        </w:tc>
      </w:tr>
      <w:tr>
        <w:trPr>
          <w:cantSplit/>
        </w:trPr>
        <w:tc>
          <w:tcPr>
            <w:tcW w:w="1756" w:type="dxa"/>
            <w:shd w:val="clear" w:color="auto" w:fill="F7F7F7"/>
          </w:tcPr>
          <w:p>
            <w:pPr>
              <w:pStyle w:val="Tabla9"/>
              <w:jc w:val="left"/>
            </w:pPr>
            <w:r>
              <w:t xml:space="preserve">Antes del tramo 2</w:t>
            </w:r>
          </w:p>
        </w:tc>
        <w:tc>
          <w:tcPr>
            <w:tcW w:w="1422" w:type="dxa"/>
            <w:shd w:val="clear" w:color="auto" w:fill="F7F7F7"/>
          </w:tcPr>
          <w:p>
            <w:pPr>
              <w:pStyle w:val="Tabla9"/>
              <w:jc w:val="left"/>
            </w:pPr>
            <w:r>
              <w:t xml:space="preserve">Meses 6 a 13</w:t>
            </w:r>
          </w:p>
        </w:tc>
        <w:tc>
          <w:tcPr>
            <w:tcW w:w="2427"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258" w:type="dxa"/>
            <w:shd w:val="clear" w:color="auto" w:fill="F7F7F7"/>
          </w:tcPr>
          <w:p>
            <w:pPr>
              <w:pStyle w:val="Tabla9"/>
              <w:jc w:val="left"/>
            </w:pPr>
            <w:r>
              <w:t xml:space="preserve">Acuerdo firmado, autorizaciones y radicado del registro</w:t>
            </w:r>
          </w:p>
        </w:tc>
        <w:tc>
          <w:tcPr>
            <w:tcW w:w="2091" w:type="dxa"/>
            <w:shd w:val="clear" w:color="auto" w:fill="F7F7F7"/>
          </w:tcPr>
          <w:p>
            <w:pPr>
              <w:pStyle w:val="Tabla9"/>
              <w:jc w:val="left"/>
            </w:pPr>
            <w:r>
              <w:t xml:space="preserve">Universidad ejecutora y empresa tecnológica</w:t>
            </w:r>
          </w:p>
        </w:tc>
      </w:tr>
      <w:tr>
        <w:trPr>
          <w:cantSplit/>
        </w:trPr>
        <w:tc>
          <w:tcPr>
            <w:tcW w:w="1756" w:type="dxa"/>
          </w:tcPr>
          <w:p>
            <w:pPr>
              <w:pStyle w:val="Tabla9"/>
              <w:jc w:val="left"/>
            </w:pPr>
            <w:r>
              <w:t xml:space="preserve">Antes del tramo 3</w:t>
            </w:r>
          </w:p>
        </w:tc>
        <w:tc>
          <w:tcPr>
            <w:tcW w:w="1422" w:type="dxa"/>
          </w:tcPr>
          <w:p>
            <w:pPr>
              <w:pStyle w:val="Tabla9"/>
              <w:jc w:val="left"/>
            </w:pPr>
            <w:r>
              <w:t xml:space="preserve">Meses 14 a 18</w:t>
            </w:r>
          </w:p>
        </w:tc>
        <w:tc>
          <w:tcPr>
            <w:tcW w:w="2427"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258" w:type="dxa"/>
          </w:tcPr>
          <w:p>
            <w:pPr>
              <w:pStyle w:val="Tabla9"/>
              <w:jc w:val="left"/>
            </w:pPr>
            <w:r>
              <w:t xml:space="preserve">Autorizaciones y informe actualizado</w:t>
            </w:r>
          </w:p>
        </w:tc>
        <w:tc>
          <w:tcPr>
            <w:tcW w:w="2091" w:type="dxa"/>
          </w:tcPr>
          <w:p>
            <w:pPr>
              <w:pStyle w:val="Tabla9"/>
              <w:jc w:val="left"/>
            </w:pPr>
            <w:r>
              <w:t xml:space="preserve">Municipio aliado y empresa tecnológica</w:t>
            </w:r>
          </w:p>
        </w:tc>
      </w:tr>
      <w:tr>
        <w:trPr>
          <w:cantSplit/>
        </w:trPr>
        <w:tc>
          <w:tcPr>
            <w:tcW w:w="1756" w:type="dxa"/>
            <w:shd w:val="clear" w:color="auto" w:fill="F7F7F7"/>
          </w:tcPr>
          <w:p>
            <w:pPr>
              <w:pStyle w:val="Tabla9"/>
              <w:keepNext/>
              <w:jc w:val="left"/>
            </w:pPr>
            <w:r>
              <w:t xml:space="preserve">Antes de la entrega a las entidades custodias</w:t>
            </w:r>
          </w:p>
        </w:tc>
        <w:tc>
          <w:tcPr>
            <w:tcW w:w="1422" w:type="dxa"/>
            <w:shd w:val="clear" w:color="auto" w:fill="F7F7F7"/>
          </w:tcPr>
          <w:p>
            <w:pPr>
              <w:pStyle w:val="Tabla9"/>
              <w:keepNext/>
              <w:jc w:val="left"/>
            </w:pPr>
            <w:r>
              <w:t xml:space="preserve">Meses 19 a 24</w:t>
            </w:r>
          </w:p>
        </w:tc>
        <w:tc>
          <w:tcPr>
            <w:tcW w:w="2427" w:type="dxa"/>
            <w:shd w:val="clear" w:color="auto" w:fill="F7F7F7"/>
          </w:tcPr>
          <w:p>
            <w:pPr>
              <w:pStyle w:val="Tabla9"/>
              <w:keepNext/>
              <w:jc w:val="left"/>
            </w:pPr>
            <w:r>
              <w:t xml:space="preserve">Segunda solicitud de registro ante la DNDA; convenios de custodia; cláusula de apertura</w:t>
            </w:r>
          </w:p>
        </w:tc>
        <w:tc>
          <w:tcPr>
            <w:tcW w:w="2258" w:type="dxa"/>
            <w:shd w:val="clear" w:color="auto" w:fill="F7F7F7"/>
          </w:tcPr>
          <w:p>
            <w:pPr>
              <w:pStyle w:val="Tabla9"/>
              <w:keepNext/>
              <w:jc w:val="left"/>
            </w:pPr>
            <w:r>
              <w:t xml:space="preserve">Certificados de registro, convenios y actas de entrega</w:t>
            </w:r>
          </w:p>
        </w:tc>
        <w:tc>
          <w:tcPr>
            <w:tcW w:w="2091"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39"/>
    <w:bookmarkEnd w:id="240"/>
    <w:bookmarkStart w:id="250"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10" w:name="rot_Tabla_28_1"/>
      <w:r>
        <w:rPr>
          <w:b/>
          <w:bCs/>
        </w:rPr>
        <w:t xml:space="preserve">Tabla 28.1</w:t>
      </w:r>
      <w:bookmarkEnd w:id="9110"/>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44"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11" w:name="rot_Tabla_28_2"/>
      <w:r>
        <w:rPr>
          <w:b/>
          <w:bCs/>
        </w:rPr>
        <w:t xml:space="preserve">Tabla 28.2</w:t>
      </w:r>
      <w:bookmarkEnd w:id="9111"/>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80" w:name="rot_Figura_28_1"/>
      <w:r>
        <w:rPr>
          <w:b/>
          <w:bCs/>
        </w:rPr>
        <w:t xml:space="preserve">Figura 28.1</w:t>
      </w:r>
      <w:bookmarkEnd w:id="9180"/>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42" name="Picture"/>
            <a:graphic>
              <a:graphicData uri="http://schemas.openxmlformats.org/drawingml/2006/picture">
                <pic:pic>
                  <pic:nvPicPr>
                    <pic:cNvPr descr="/tmp/claude-0/-home-user-docs/8ca5c040-2adb-56b3-8e64-05d4e7e569ed/scratchpad/a2/figs/out/c28_f01.png" id="243" name="Picture"/>
                    <pic:cNvPicPr>
                      <a:picLocks noChangeArrowheads="1" noChangeAspect="1"/>
                    </pic:cNvPicPr>
                  </pic:nvPicPr>
                  <pic:blipFill>
                    <a:blip r:embed="rId241"/>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un análisis de costos y al menos dos cotizaciones, que se cargan al radicar en una carpeta por rubro (MinCiencias, 2026). Su falta no se subsana, y en el ajuste no se aportan cotizaciones nuevas (Secretaría Técnica de la Convocatoria 56, 2026)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12" w:name="rot_Tabla_28_3"/>
      <w:r>
        <w:rPr>
          <w:b/>
          <w:bCs/>
        </w:rPr>
        <w:t xml:space="preserve">Tabla 28.3</w:t>
      </w:r>
      <w:bookmarkEnd w:id="9112"/>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dos viajes internacionales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44"/>
    <w:bookmarkStart w:id="248"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13" w:name="rot_Tabla_28_4"/>
      <w:r>
        <w:rPr>
          <w:b/>
          <w:bCs/>
        </w:rPr>
        <w:t xml:space="preserve">Tabla 28.4</w:t>
      </w:r>
      <w:bookmarkEnd w:id="9113"/>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14" w:name="rot_Tabla_28_5"/>
      <w:r>
        <w:rPr>
          <w:b/>
          <w:bCs/>
        </w:rPr>
        <w:t xml:space="preserve">Tabla 28.5</w:t>
      </w:r>
      <w:bookmarkEnd w:id="9114"/>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15" w:name="rot_Tabla_28_6"/>
      <w:r>
        <w:rPr>
          <w:b/>
          <w:bCs/>
        </w:rPr>
        <w:t xml:space="preserve">Tabla 28.6</w:t>
      </w:r>
      <w:bookmarkEnd w:id="9115"/>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81" w:name="rot_Figura_28_2"/>
      <w:r>
        <w:rPr>
          <w:b/>
          <w:bCs/>
        </w:rPr>
        <w:t xml:space="preserve">Figura 28.2</w:t>
      </w:r>
      <w:bookmarkEnd w:id="9181"/>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46" name="Picture"/>
            <a:graphic>
              <a:graphicData uri="http://schemas.openxmlformats.org/drawingml/2006/picture">
                <pic:pic>
                  <pic:nvPicPr>
                    <pic:cNvPr descr="/tmp/claude-0/-home-user-docs/8ca5c040-2adb-56b3-8e64-05d4e7e569ed/scratchpad/a2/figs/out/c28_f02.png" id="247" name="Picture"/>
                    <pic:cNvPicPr>
                      <a:picLocks noChangeArrowheads="1" noChangeAspect="1"/>
                    </pic:cNvPicPr>
                  </pic:nvPicPr>
                  <pic:blipFill>
                    <a:blip r:embed="rId245"/>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48"/>
    <w:bookmarkStart w:id="249"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integrante aporta una contrapartida cuantificada, en efectivo o en especie. El valor en especie se calcula con un método verificable, como el costo institucional, las tarifas o la nómina certificada (Secretaría Técnica de la Convocatoria 56, 2026). Cada aporte se sustenta con la certificación de su representante legal, que indica el valor, el soporte, la actividad financiada y el momento del aporte.</w:t>
      </w:r>
    </w:p>
    <w:p>
      <w:pPr>
        <w:pStyle w:val="TablaRotulo"/>
      </w:pPr>
      <w:bookmarkStart w:id="9116" w:name="rot_Tabla_28_7"/>
      <w:r>
        <w:rPr>
          <w:b/>
          <w:bCs/>
        </w:rPr>
        <w:t xml:space="preserve">Tabla 28.7</w:t>
      </w:r>
      <w:bookmarkEnd w:id="9116"/>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porcentaje de 1 % es orientador y no habilitante.</w:t>
      </w:r>
    </w:p>
    <w:p>
      <w:pPr>
        <w:pStyle w:val="TablaRotulo"/>
      </w:pPr>
      <w:bookmarkStart w:id="9117" w:name="rot_Tabla_28_8"/>
      <w:r>
        <w:rPr>
          <w:b/>
          <w:bCs/>
        </w:rPr>
        <w:t xml:space="preserve">Tabla 28.8</w:t>
      </w:r>
      <w:bookmarkEnd w:id="9117"/>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87"/>
        <w:gridCol w:w="2820"/>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87" w:type="dxa"/>
            <w:tcBorders>
              <w:bottom w:val="single" w:sz="12" w:space="0" w:color="6699CC"/>
            </w:tcBorders>
            <w:shd w:val="clear" w:color="auto" w:fill="B9D9EB"/>
          </w:tcPr>
          <w:p>
            <w:pPr>
              <w:pStyle w:val="Tabla9"/>
              <w:keepNext/>
              <w:jc w:val="left"/>
            </w:pPr>
            <w:r>
              <w:rPr>
                <w:b/>
              </w:rPr>
              <w:t xml:space="preserve">Exigencia</w:t>
            </w:r>
          </w:p>
        </w:tc>
        <w:tc>
          <w:tcPr>
            <w:tcW w:w="2820"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87" w:type="dxa"/>
          </w:tcPr>
          <w:p>
            <w:pPr>
              <w:pStyle w:val="Tabla9"/>
              <w:jc w:val="left"/>
            </w:pPr>
            <w:r>
              <w:t xml:space="preserve">No superar $ 14.000.000.000 por proyecto</w:t>
            </w:r>
          </w:p>
        </w:tc>
        <w:tc>
          <w:tcPr>
            <w:tcW w:w="2820"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87" w:type="dxa"/>
            <w:shd w:val="clear" w:color="auto" w:fill="F7F7F7"/>
          </w:tcPr>
          <w:p>
            <w:pPr>
              <w:pStyle w:val="Tabla9"/>
              <w:jc w:val="left"/>
            </w:pPr>
            <w:r>
              <w:t xml:space="preserve">Al menos 1 % del valor solicitado al SGR</w:t>
            </w:r>
          </w:p>
        </w:tc>
        <w:tc>
          <w:tcPr>
            <w:tcW w:w="2820"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87" w:type="dxa"/>
          </w:tcPr>
          <w:p>
            <w:pPr>
              <w:pStyle w:val="Tabla9"/>
              <w:jc w:val="left"/>
            </w:pPr>
            <w:r>
              <w:t xml:space="preserve">Porcentaje orientador de 1 % del valor total del proyecto, sin carácter habilitante</w:t>
            </w:r>
          </w:p>
        </w:tc>
        <w:tc>
          <w:tcPr>
            <w:tcW w:w="2820"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87" w:type="dxa"/>
            <w:shd w:val="clear" w:color="auto" w:fill="F7F7F7"/>
          </w:tcPr>
          <w:p>
            <w:pPr>
              <w:pStyle w:val="Tabla9"/>
              <w:jc w:val="left"/>
            </w:pPr>
            <w:r>
              <w:t xml:space="preserve">No más de 2 % del valor solicitado al SGR</w:t>
            </w:r>
          </w:p>
        </w:tc>
        <w:tc>
          <w:tcPr>
            <w:tcW w:w="2820"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87" w:type="dxa"/>
          </w:tcPr>
          <w:p>
            <w:pPr>
              <w:pStyle w:val="Tabla9"/>
              <w:jc w:val="left"/>
            </w:pPr>
            <w:r>
              <w:t xml:space="preserve">Incluido en todo proyecto, sin porcentaje automático</w:t>
            </w:r>
          </w:p>
        </w:tc>
        <w:tc>
          <w:tcPr>
            <w:tcW w:w="2820"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87" w:type="dxa"/>
            <w:shd w:val="clear" w:color="auto" w:fill="F7F7F7"/>
          </w:tcPr>
          <w:p>
            <w:pPr>
              <w:pStyle w:val="Tabla9"/>
              <w:jc w:val="left"/>
            </w:pPr>
            <w:r>
              <w:t xml:space="preserve">Sin seguros, impuestos propios, costos fijos, membresías a sociedades científicas ni suscripciones a revistas</w:t>
            </w:r>
          </w:p>
        </w:tc>
        <w:tc>
          <w:tcPr>
            <w:tcW w:w="2820" w:type="dxa"/>
            <w:shd w:val="clear" w:color="auto" w:fill="F7F7F7"/>
          </w:tcPr>
          <w:p>
            <w:pPr>
              <w:pStyle w:val="Tabla9"/>
              <w:jc w:val="left"/>
            </w:pPr>
            <w:r>
              <w:t xml:space="preserve">Ninguno incluido; la nube y las licencias se usan solo en el proyecto durante su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87" w:type="dxa"/>
          </w:tcPr>
          <w:p>
            <w:pPr>
              <w:pStyle w:val="Tabla9"/>
              <w:keepNext/>
              <w:jc w:val="left"/>
            </w:pPr>
            <w:r>
              <w:t xml:space="preserve">Hasta 24 meses</w:t>
            </w:r>
          </w:p>
        </w:tc>
        <w:tc>
          <w:tcPr>
            <w:tcW w:w="2820"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49"/>
    <w:bookmarkEnd w:id="250"/>
    <w:bookmarkStart w:id="251" w:name="bibliografía"/>
    <w:p>
      <w:pPr>
        <w:pStyle w:val="Heading1"/>
      </w:pPr>
      <w:r>
        <w:t xml:space="preserve">29. BIBLIOGRAFÍA</w:t>
      </w:r>
    </w:p>
    <w:p>
      <w:pPr>
        <w:pStyle w:val="FirstParagraph"/>
      </w:pPr>
      <w:r>
        <w:t xml:space="preserve">La lista reúne las 123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1171 de 2026</w:t>
      </w:r>
      <w:r>
        <w:t xml:space="preserve"> </w:t>
      </w:r>
      <w:r>
        <w:t xml:space="preserve">[declaratoria de la situación de desastre de carácter nacional]. Citado en las respuestas de la Secretaría Técnica a las observaciones a los términos de referencia de la Convocatoria 56.</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Secretaría Técnica de la Convocatoria 56 del SGR. (2026, 23 de octubre).</w:t>
      </w:r>
      <w:r>
        <w:t xml:space="preserve"> </w:t>
      </w:r>
      <w:r>
        <w:rPr>
          <w:i/>
          <w:iCs/>
        </w:rPr>
        <w:t xml:space="preserve">Respuesta a las observaciones a los términos de referencia de la Convocatoria 56</w:t>
      </w:r>
      <w:r>
        <w:t xml:space="preserve"> </w:t>
      </w:r>
      <w:r>
        <w:t xml:space="preserve">[Hoja de cálculo]. Ministerio de Ciencia, Tecnología e Innovación.</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51"/>
    <w:bookmarkStart w:id="255"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52"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18" w:name="rot_Tabla_30_1"/>
      <w:r>
        <w:rPr>
          <w:b/>
          <w:bCs/>
        </w:rPr>
        <w:t xml:space="preserve">Tabla 30.1</w:t>
      </w:r>
      <w:bookmarkEnd w:id="9118"/>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3401"/>
        <w:gridCol w:w="2654"/>
        <w:gridCol w:w="2157"/>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Anexo o requisito</w:t>
            </w:r>
          </w:p>
        </w:tc>
        <w:tc>
          <w:tcPr>
            <w:tcW w:w="3401" w:type="dxa"/>
            <w:tcBorders>
              <w:bottom w:val="single" w:sz="12" w:space="0" w:color="6699CC"/>
            </w:tcBorders>
            <w:shd w:val="clear" w:color="auto" w:fill="B9D9EB"/>
          </w:tcPr>
          <w:p>
            <w:pPr>
              <w:pStyle w:val="Tabla9"/>
              <w:keepNext/>
              <w:jc w:val="left"/>
            </w:pPr>
            <w:r>
              <w:rPr>
                <w:b/>
              </w:rPr>
              <w:t xml:space="preserve">Documento</w:t>
            </w:r>
          </w:p>
        </w:tc>
        <w:tc>
          <w:tcPr>
            <w:tcW w:w="2654" w:type="dxa"/>
            <w:tcBorders>
              <w:bottom w:val="single" w:sz="12" w:space="0" w:color="6699CC"/>
            </w:tcBorders>
            <w:shd w:val="clear" w:color="auto" w:fill="B9D9EB"/>
          </w:tcPr>
          <w:p>
            <w:pPr>
              <w:pStyle w:val="Tabla9"/>
              <w:keepNext/>
              <w:jc w:val="left"/>
            </w:pPr>
            <w:r>
              <w:rPr>
                <w:b/>
              </w:rPr>
              <w:t xml:space="preserve">Responsable</w:t>
            </w:r>
          </w:p>
        </w:tc>
        <w:tc>
          <w:tcPr>
            <w:tcW w:w="2157"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42" w:type="dxa"/>
          </w:tcPr>
          <w:p>
            <w:pPr>
              <w:pStyle w:val="Tabla9"/>
              <w:jc w:val="left"/>
            </w:pPr>
            <w:r>
              <w:t xml:space="preserve">Anexo 1 y numeral 10.4</w:t>
            </w:r>
          </w:p>
        </w:tc>
        <w:tc>
          <w:tcPr>
            <w:tcW w:w="3401" w:type="dxa"/>
          </w:tcPr>
          <w:p>
            <w:pPr>
              <w:pStyle w:val="Tabla9"/>
              <w:jc w:val="left"/>
            </w:pPr>
            <w:r>
              <w:t xml:space="preserve">Carta unificada de aval, compromiso institucional, participación y modelo de gobernanza, con las firmas de los representantes legales en un único archivo PDF</w:t>
            </w:r>
          </w:p>
        </w:tc>
        <w:tc>
          <w:tcPr>
            <w:tcW w:w="2654" w:type="dxa"/>
          </w:tcPr>
          <w:p>
            <w:pPr>
              <w:pStyle w:val="Tabla9"/>
              <w:jc w:val="left"/>
            </w:pPr>
            <w:r>
              <w:t xml:space="preserve">Universidad, con los cuatro integrantes</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2 y numeral 10.5</w:t>
            </w:r>
          </w:p>
        </w:tc>
        <w:tc>
          <w:tcPr>
            <w:tcW w:w="3401" w:type="dxa"/>
            <w:shd w:val="clear" w:color="auto" w:fill="F7F7F7"/>
          </w:tcPr>
          <w:p>
            <w:pPr>
              <w:pStyle w:val="Tabla9"/>
              <w:jc w:val="left"/>
            </w:pPr>
            <w:r>
              <w:t xml:space="preserve">Documento técnico (este documento)</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Este documento</w:t>
            </w:r>
          </w:p>
        </w:tc>
      </w:tr>
      <w:tr>
        <w:trPr>
          <w:cantSplit/>
        </w:trPr>
        <w:tc>
          <w:tcPr>
            <w:tcW w:w="1742" w:type="dxa"/>
          </w:tcPr>
          <w:p>
            <w:pPr>
              <w:pStyle w:val="Tabla9"/>
              <w:jc w:val="left"/>
            </w:pPr>
            <w:r>
              <w:t xml:space="preserve">Anexo A del Anexo 2</w:t>
            </w:r>
          </w:p>
        </w:tc>
        <w:tc>
          <w:tcPr>
            <w:tcW w:w="3401" w:type="dxa"/>
          </w:tcPr>
          <w:p>
            <w:pPr>
              <w:pStyle w:val="Tabla9"/>
              <w:jc w:val="left"/>
            </w:pPr>
            <w:r>
              <w:t xml:space="preserve">Análisis del problema público y de la estructura causal; se carga como otro adjunto del SIGP</w:t>
            </w:r>
          </w:p>
        </w:tc>
        <w:tc>
          <w:tcPr>
            <w:tcW w:w="2654" w:type="dxa"/>
          </w:tcPr>
          <w:p>
            <w:pPr>
              <w:pStyle w:val="Tabla9"/>
              <w:jc w:val="left"/>
            </w:pPr>
            <w:r>
              <w:t xml:space="preserve">Universidad</w:t>
            </w:r>
          </w:p>
        </w:tc>
        <w:tc>
          <w:tcPr>
            <w:tcW w:w="2157" w:type="dxa"/>
          </w:tcPr>
          <w:p>
            <w:pPr>
              <w:pStyle w:val="Tabla9"/>
              <w:jc w:val="left"/>
            </w:pPr>
            <w:r>
              <w:t xml:space="preserve">Adjunto a este documento</w:t>
            </w:r>
          </w:p>
        </w:tc>
      </w:tr>
      <w:tr>
        <w:trPr>
          <w:cantSplit/>
        </w:trPr>
        <w:tc>
          <w:tcPr>
            <w:tcW w:w="1742" w:type="dxa"/>
            <w:shd w:val="clear" w:color="auto" w:fill="F7F7F7"/>
          </w:tcPr>
          <w:p>
            <w:pPr>
              <w:pStyle w:val="Tabla9"/>
              <w:jc w:val="left"/>
            </w:pPr>
            <w:r>
              <w:t xml:space="preserve">Anexo 3 y numeral 10.8</w:t>
            </w:r>
          </w:p>
        </w:tc>
        <w:tc>
          <w:tcPr>
            <w:tcW w:w="3401" w:type="dxa"/>
            <w:shd w:val="clear" w:color="auto" w:fill="F7F7F7"/>
          </w:tcPr>
          <w:p>
            <w:pPr>
              <w:pStyle w:val="Tabla9"/>
              <w:jc w:val="left"/>
            </w:pPr>
            <w:r>
              <w:t xml:space="preserve">Presupuesto en Excel firmado por el representante legal, con análisis de costos y al menos dos cotizaciones vigentes por rubro, en una carpeta por rubro; se cargan al radicar y no se subsanan</w:t>
            </w:r>
          </w:p>
        </w:tc>
        <w:tc>
          <w:tcPr>
            <w:tcW w:w="2654" w:type="dxa"/>
            <w:shd w:val="clear" w:color="auto" w:fill="F7F7F7"/>
          </w:tcPr>
          <w:p>
            <w:pPr>
              <w:pStyle w:val="Tabla9"/>
              <w:jc w:val="left"/>
            </w:pPr>
            <w:r>
              <w:t xml:space="preserve">Universidad, con la empresa y el 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4 y numeral 10.7</w:t>
            </w:r>
          </w:p>
        </w:tc>
        <w:tc>
          <w:tcPr>
            <w:tcW w:w="3401" w:type="dxa"/>
          </w:tcPr>
          <w:p>
            <w:pPr>
              <w:pStyle w:val="Tabla9"/>
              <w:jc w:val="left"/>
            </w:pPr>
            <w:r>
              <w:t xml:space="preserve">Demandas territoriales: código de la demanda atendida, o nueva demanda con reportes oficiales de afectación</w:t>
            </w:r>
          </w:p>
        </w:tc>
        <w:tc>
          <w:tcPr>
            <w:tcW w:w="2654" w:type="dxa"/>
          </w:tcPr>
          <w:p>
            <w:pPr>
              <w:pStyle w:val="Tabla9"/>
              <w:jc w:val="left"/>
            </w:pPr>
            <w:r>
              <w:t xml:space="preserve">Municipio aliado y 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5 y numeral 10.9</w:t>
            </w:r>
          </w:p>
        </w:tc>
        <w:tc>
          <w:tcPr>
            <w:tcW w:w="3401"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654" w:type="dxa"/>
            <w:shd w:val="clear" w:color="auto" w:fill="F7F7F7"/>
          </w:tcPr>
          <w:p>
            <w:pPr>
              <w:pStyle w:val="Tabla9"/>
              <w:jc w:val="left"/>
            </w:pPr>
            <w:r>
              <w:t xml:space="preserve">Universidad y demás integrantes</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10</w:t>
            </w:r>
          </w:p>
        </w:tc>
        <w:tc>
          <w:tcPr>
            <w:tcW w:w="3401" w:type="dxa"/>
          </w:tcPr>
          <w:p>
            <w:pPr>
              <w:pStyle w:val="Tabla9"/>
              <w:jc w:val="left"/>
            </w:pPr>
            <w:r>
              <w:t xml:space="preserve">Lineamientos de apropiación social del conocimiento, atendidos en la sección 19</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11</w:t>
            </w:r>
          </w:p>
        </w:tc>
        <w:tc>
          <w:tcPr>
            <w:tcW w:w="3401" w:type="dxa"/>
            <w:shd w:val="clear" w:color="auto" w:fill="F7F7F7"/>
          </w:tcPr>
          <w:p>
            <w:pPr>
              <w:pStyle w:val="Tabla9"/>
              <w:jc w:val="left"/>
            </w:pPr>
            <w:r>
              <w:t xml:space="preserve">Niveles de madurez tecnológica, atendidos en la sección 13.2</w:t>
            </w:r>
          </w:p>
        </w:tc>
        <w:tc>
          <w:tcPr>
            <w:tcW w:w="2654" w:type="dxa"/>
            <w:shd w:val="clear" w:color="auto" w:fill="F7F7F7"/>
          </w:tcPr>
          <w:p>
            <w:pPr>
              <w:pStyle w:val="Tabla9"/>
              <w:jc w:val="left"/>
            </w:pPr>
            <w:r>
              <w:t xml:space="preserve">Universidad y empresa</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Anexo 12</w:t>
            </w:r>
          </w:p>
        </w:tc>
        <w:tc>
          <w:tcPr>
            <w:tcW w:w="3401" w:type="dxa"/>
          </w:tcPr>
          <w:p>
            <w:pPr>
              <w:pStyle w:val="Tabla9"/>
              <w:jc w:val="left"/>
            </w:pPr>
            <w:r>
              <w:t xml:space="preserve">Vinculación de talento humano de formación, atendida en las secciones 20 y 26</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13</w:t>
            </w:r>
          </w:p>
        </w:tc>
        <w:tc>
          <w:tcPr>
            <w:tcW w:w="3401" w:type="dxa"/>
            <w:shd w:val="clear" w:color="auto" w:fill="F7F7F7"/>
          </w:tcPr>
          <w:p>
            <w:pPr>
              <w:pStyle w:val="Tabla9"/>
              <w:jc w:val="left"/>
            </w:pPr>
            <w:r>
              <w:t xml:space="preserve">Productos de CTeI esperados, atendidos en la sección 20</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Numeral 10.12</w:t>
            </w:r>
          </w:p>
        </w:tc>
        <w:tc>
          <w:tcPr>
            <w:tcW w:w="3401" w:type="dxa"/>
          </w:tcPr>
          <w:p>
            <w:pPr>
              <w:pStyle w:val="Tabla9"/>
              <w:jc w:val="left"/>
            </w:pPr>
            <w:r>
              <w:t xml:space="preserve">Certificado de existencia y representación legal de la empresa, con antigüedad máxima de 90 días antes del cierre, y constitución verificable en el RUES con al menos un año antes de la apertura de la convocatoria (8 de octubre de 2026)</w:t>
            </w:r>
          </w:p>
        </w:tc>
        <w:tc>
          <w:tcPr>
            <w:tcW w:w="2654" w:type="dxa"/>
          </w:tcPr>
          <w:p>
            <w:pPr>
              <w:pStyle w:val="Tabla9"/>
              <w:jc w:val="left"/>
            </w:pPr>
            <w:r>
              <w:t xml:space="preserve">Empresa tecnológica</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10.14</w:t>
            </w:r>
          </w:p>
        </w:tc>
        <w:tc>
          <w:tcPr>
            <w:tcW w:w="3401" w:type="dxa"/>
            <w:shd w:val="clear" w:color="auto" w:fill="F7F7F7"/>
          </w:tcPr>
          <w:p>
            <w:pPr>
              <w:pStyle w:val="Tabla9"/>
              <w:jc w:val="left"/>
            </w:pPr>
            <w:r>
              <w:t xml:space="preserve">Resolución de reconocimiento del actor del SNCTI, expedida por MinCiencias y vigente al cierre</w:t>
            </w:r>
          </w:p>
        </w:tc>
        <w:tc>
          <w:tcPr>
            <w:tcW w:w="2654" w:type="dxa"/>
            <w:shd w:val="clear" w:color="auto" w:fill="F7F7F7"/>
          </w:tcPr>
          <w:p>
            <w:pPr>
              <w:pStyle w:val="Tabla9"/>
              <w:jc w:val="left"/>
            </w:pPr>
            <w:r>
              <w:t xml:space="preserve">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10.15</w:t>
            </w:r>
          </w:p>
        </w:tc>
        <w:tc>
          <w:tcPr>
            <w:tcW w:w="3401" w:type="dxa"/>
          </w:tcPr>
          <w:p>
            <w:pPr>
              <w:pStyle w:val="Tabla9"/>
              <w:jc w:val="left"/>
            </w:pPr>
            <w:r>
              <w:t xml:space="preserve">Proyecto de inversión formulado en MGA-WEB, tipología D, en la plataforma PIIP</w:t>
            </w:r>
          </w:p>
        </w:tc>
        <w:tc>
          <w:tcPr>
            <w:tcW w:w="2654" w:type="dxa"/>
          </w:tcPr>
          <w:p>
            <w:pPr>
              <w:pStyle w:val="Tabla9"/>
              <w:jc w:val="left"/>
            </w:pPr>
            <w:r>
              <w:t xml:space="preserve">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10.16</w:t>
            </w:r>
          </w:p>
        </w:tc>
        <w:tc>
          <w:tcPr>
            <w:tcW w:w="3401" w:type="dxa"/>
            <w:shd w:val="clear" w:color="auto" w:fill="F7F7F7"/>
          </w:tcPr>
          <w:p>
            <w:pPr>
              <w:pStyle w:val="Tabla9"/>
              <w:jc w:val="left"/>
            </w:pPr>
            <w:r>
              <w:t xml:space="preserve">Plan de sostenibilidad en el formato del Anexo 7 del Acuerdo 12 de 2024, atendido en las secciones 16 y 18, suscrito por el representante legal de cada entidad que opera un componente</w:t>
            </w:r>
          </w:p>
        </w:tc>
        <w:tc>
          <w:tcPr>
            <w:tcW w:w="2654" w:type="dxa"/>
            <w:shd w:val="clear" w:color="auto" w:fill="F7F7F7"/>
          </w:tcPr>
          <w:p>
            <w:pPr>
              <w:pStyle w:val="Tabla9"/>
              <w:jc w:val="left"/>
            </w:pPr>
            <w:r>
              <w:t xml:space="preserve">Universidad y cada entidad operadora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10.18</w:t>
            </w:r>
          </w:p>
        </w:tc>
        <w:tc>
          <w:tcPr>
            <w:tcW w:w="3401"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654" w:type="dxa"/>
          </w:tcPr>
          <w:p>
            <w:pPr>
              <w:pStyle w:val="Tabla9"/>
              <w:jc w:val="left"/>
            </w:pPr>
            <w:r>
              <w:t xml:space="preserve">Cada integrante</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10.19</w:t>
            </w:r>
          </w:p>
        </w:tc>
        <w:tc>
          <w:tcPr>
            <w:tcW w:w="3401" w:type="dxa"/>
            <w:shd w:val="clear" w:color="auto" w:fill="F7F7F7"/>
          </w:tcPr>
          <w:p>
            <w:pPr>
              <w:pStyle w:val="Tabla9"/>
              <w:jc w:val="left"/>
            </w:pPr>
            <w:r>
              <w:t xml:space="preserve">Certificado de titularidad, administración, custodia y cuidado de los bienes y resultados del proyecto</w:t>
            </w:r>
          </w:p>
        </w:tc>
        <w:tc>
          <w:tcPr>
            <w:tcW w:w="2654" w:type="dxa"/>
            <w:shd w:val="clear" w:color="auto" w:fill="F7F7F7"/>
          </w:tcPr>
          <w:p>
            <w:pPr>
              <w:pStyle w:val="Tabla9"/>
              <w:jc w:val="left"/>
            </w:pPr>
            <w:r>
              <w:t xml:space="preserve">Universidad, concertado con la alianza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10.20</w:t>
            </w:r>
          </w:p>
        </w:tc>
        <w:tc>
          <w:tcPr>
            <w:tcW w:w="3401" w:type="dxa"/>
          </w:tcPr>
          <w:p>
            <w:pPr>
              <w:pStyle w:val="Tabla9"/>
              <w:jc w:val="left"/>
            </w:pPr>
            <w:r>
              <w:t xml:space="preserve">Copia del acto de declaratoria de desastre o calamidad pública que comprenda cada lugar de ejecución: el Decreto 1171 de 2026 o un acto departamental o municipal</w:t>
            </w:r>
          </w:p>
        </w:tc>
        <w:tc>
          <w:tcPr>
            <w:tcW w:w="2654" w:type="dxa"/>
          </w:tcPr>
          <w:p>
            <w:pPr>
              <w:pStyle w:val="Tabla9"/>
              <w:jc w:val="left"/>
            </w:pPr>
            <w:r>
              <w:t xml:space="preserve">Universidad, con el municipio aliado y las gobernaciones</w:t>
            </w:r>
          </w:p>
        </w:tc>
        <w:tc>
          <w:tcPr>
            <w:tcW w:w="2157" w:type="dxa"/>
          </w:tcPr>
          <w:p>
            <w:pPr>
              <w:pStyle w:val="Tabla9"/>
              <w:jc w:val="left"/>
            </w:pPr>
            <w:r>
              <w:t xml:space="preserve">Por adjuntar; no subsanable</w:t>
            </w:r>
          </w:p>
        </w:tc>
      </w:tr>
      <w:tr>
        <w:trPr>
          <w:cantSplit/>
        </w:trPr>
        <w:tc>
          <w:tcPr>
            <w:tcW w:w="1742" w:type="dxa"/>
            <w:shd w:val="clear" w:color="auto" w:fill="F7F7F7"/>
          </w:tcPr>
          <w:p>
            <w:pPr>
              <w:pStyle w:val="Tabla9"/>
              <w:jc w:val="left"/>
            </w:pPr>
            <w:r>
              <w:t xml:space="preserve">Numeral 10.21</w:t>
            </w:r>
          </w:p>
        </w:tc>
        <w:tc>
          <w:tcPr>
            <w:tcW w:w="3401" w:type="dxa"/>
            <w:shd w:val="clear" w:color="auto" w:fill="F7F7F7"/>
          </w:tcPr>
          <w:p>
            <w:pPr>
              <w:pStyle w:val="Tabla9"/>
              <w:jc w:val="left"/>
            </w:pPr>
            <w:r>
              <w:t xml:space="preserve">Certificado del representante legal de quien suscribió el plan de acción específico, sobre la concordancia del proyecto y las acciones para no reactivar el riesgo preexistente; uno por lugar de ejecución o uno departamental que los incluya</w:t>
            </w:r>
          </w:p>
        </w:tc>
        <w:tc>
          <w:tcPr>
            <w:tcW w:w="2654" w:type="dxa"/>
            <w:shd w:val="clear" w:color="auto" w:fill="F7F7F7"/>
          </w:tcPr>
          <w:p>
            <w:pPr>
              <w:pStyle w:val="Tabla9"/>
              <w:jc w:val="left"/>
            </w:pPr>
            <w:r>
              <w:t xml:space="preserve">Gobernación o alcaldía; la universidad lo gestiona y lo carga</w:t>
            </w:r>
          </w:p>
        </w:tc>
        <w:tc>
          <w:tcPr>
            <w:tcW w:w="2157" w:type="dxa"/>
            <w:shd w:val="clear" w:color="auto" w:fill="F7F7F7"/>
          </w:tcPr>
          <w:p>
            <w:pPr>
              <w:pStyle w:val="Tabla9"/>
              <w:jc w:val="left"/>
            </w:pPr>
            <w:r>
              <w:t xml:space="preserve">Por adjuntar; no subsanable</w:t>
            </w:r>
          </w:p>
        </w:tc>
      </w:tr>
      <w:tr>
        <w:trPr>
          <w:cantSplit/>
        </w:trPr>
        <w:tc>
          <w:tcPr>
            <w:tcW w:w="1742" w:type="dxa"/>
          </w:tcPr>
          <w:p>
            <w:pPr>
              <w:pStyle w:val="Tabla9"/>
              <w:jc w:val="left"/>
            </w:pPr>
            <w:r>
              <w:t xml:space="preserve">Numeral 10.6 y Anexo 14</w:t>
            </w:r>
          </w:p>
        </w:tc>
        <w:tc>
          <w:tcPr>
            <w:tcW w:w="3401" w:type="dxa"/>
          </w:tcPr>
          <w:p>
            <w:pPr>
              <w:pStyle w:val="Tabla9"/>
              <w:jc w:val="left"/>
            </w:pPr>
            <w:r>
              <w:t xml:space="preserve">Compromisos de operación, validación, uso o adopción de los resultados, suscritos por las entidades responsables, sean o no integrantes de la alianza; se cargan con el Anexo 2</w:t>
            </w:r>
          </w:p>
        </w:tc>
        <w:tc>
          <w:tcPr>
            <w:tcW w:w="2654" w:type="dxa"/>
          </w:tcPr>
          <w:p>
            <w:pPr>
              <w:pStyle w:val="Tabla9"/>
              <w:jc w:val="left"/>
            </w:pPr>
            <w:r>
              <w:t xml:space="preserve">Alcaldías, gobernaciones y demás entidades responsables</w:t>
            </w:r>
          </w:p>
        </w:tc>
        <w:tc>
          <w:tcPr>
            <w:tcW w:w="2157" w:type="dxa"/>
          </w:tcPr>
          <w:p>
            <w:pPr>
              <w:pStyle w:val="Tabla9"/>
              <w:jc w:val="left"/>
            </w:pPr>
            <w:r>
              <w:t xml:space="preserve">Por adjuntar; no se incorporan después del cierre</w:t>
            </w:r>
          </w:p>
        </w:tc>
      </w:tr>
      <w:tr>
        <w:trPr>
          <w:cantSplit/>
        </w:trPr>
        <w:tc>
          <w:tcPr>
            <w:tcW w:w="1742" w:type="dxa"/>
            <w:shd w:val="clear" w:color="auto" w:fill="F7F7F7"/>
          </w:tcPr>
          <w:p>
            <w:pPr>
              <w:pStyle w:val="Tabla9"/>
              <w:keepNext/>
              <w:jc w:val="left"/>
            </w:pPr>
            <w:r>
              <w:t xml:space="preserve">Numeral 10.10</w:t>
            </w:r>
          </w:p>
        </w:tc>
        <w:tc>
          <w:tcPr>
            <w:tcW w:w="3401" w:type="dxa"/>
            <w:shd w:val="clear" w:color="auto" w:fill="F7F7F7"/>
          </w:tcPr>
          <w:p>
            <w:pPr>
              <w:pStyle w:val="Tabla9"/>
              <w:keepNext/>
              <w:jc w:val="left"/>
            </w:pPr>
            <w:r>
              <w:t xml:space="preserve">Aval del comité de ética y acto de conformación del comité, o determinación escrita del comité de que el proyecto no requiere aval, según la sección 25</w:t>
            </w:r>
          </w:p>
        </w:tc>
        <w:tc>
          <w:tcPr>
            <w:tcW w:w="2654" w:type="dxa"/>
            <w:shd w:val="clear" w:color="auto" w:fill="F7F7F7"/>
          </w:tcPr>
          <w:p>
            <w:pPr>
              <w:pStyle w:val="Tabla9"/>
              <w:keepNext/>
              <w:jc w:val="left"/>
            </w:pPr>
            <w:r>
              <w:t xml:space="preserve">Universidad</w:t>
            </w:r>
          </w:p>
        </w:tc>
        <w:tc>
          <w:tcPr>
            <w:tcW w:w="2157" w:type="dxa"/>
            <w:shd w:val="clear" w:color="auto" w:fill="F7F7F7"/>
          </w:tcPr>
          <w:p>
            <w:pPr>
              <w:pStyle w:val="Tabla9"/>
              <w:keepNext/>
              <w:jc w:val="left"/>
            </w:pPr>
            <w:r>
              <w:t xml:space="preserve">Por gestionar antes de radicar</w:t>
            </w:r>
          </w:p>
        </w:tc>
      </w:tr>
    </w:tbl>
    <w:p>
      <w:pPr>
        <w:pStyle w:val="TablaNota"/>
      </w:pPr>
      <w:r>
        <w:rPr>
          <w:i/>
          <w:iCs/>
        </w:rPr>
        <w:t xml:space="preserve">Nota.</w:t>
      </w:r>
      <w:r>
        <w:t xml:space="preserve"> </w:t>
      </w:r>
      <w:r>
        <w:t xml:space="preserve">Elaboración propia con el numeral 10 y el numeral 27 de los términos de referencia y con las respuestas de la Secretaría Técnica de la Convocatoria 56 (2026). Los anexos 6 a 9, 14 y 15 son instrumentos de consulta y de trámite que no requieren contenido propio del proyecto.</w:t>
      </w:r>
    </w:p>
    <w:p>
      <w:pPr>
        <w:pStyle w:val="BodyText"/>
      </w:pPr>
      <w:r>
        <w:t xml:space="preserve">Los numerales 10.20 y 10.21 se verifican contra todos los lugares de ejecución que se registren en el SIGP. Si falta el soporte de uno, el requisito no se cumple y el proyecto no continúa (numerales 11.1 y 11.11 de los TdR). La subsección 4.1.5 fija la regla de registro.</w:t>
      </w:r>
    </w:p>
    <w:bookmarkEnd w:id="252"/>
    <w:bookmarkStart w:id="253"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19" w:name="rot_Tabla_30_2"/>
      <w:r>
        <w:rPr>
          <w:b/>
          <w:bCs/>
        </w:rPr>
        <w:t xml:space="preserve">Tabla 30.2</w:t>
      </w:r>
      <w:bookmarkEnd w:id="9119"/>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53"/>
    <w:bookmarkStart w:id="254"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20" w:name="rot_Tabla_30_3"/>
      <w:r>
        <w:rPr>
          <w:b/>
          <w:bCs/>
        </w:rPr>
        <w:t xml:space="preserve">Tabla 30.3</w:t>
      </w:r>
      <w:bookmarkEnd w:id="9120"/>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54"/>
    <w:bookmarkEnd w:id="255"/>
    <w:bookmarkStart w:id="311"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56"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w:t>
      </w:r>
    </w:p>
    <w:p>
      <w:pPr>
        <w:pStyle w:val="BodyText"/>
      </w:pPr>
      <w:r>
        <w:t xml:space="preserve">El análisis estructural cubre el problema de medición, con quince variables. El laboratorio de modelación atiende una brecha complementaria de predicción, que la sección 5.2.2 del Anexo 2 describe y que no integra la matriz. La subsección A.10.3 trata su teoría del cambio y sus supuestos críticos. No se le asignan fichas ni valores de influencia.</w:t>
      </w:r>
    </w:p>
    <w:p>
      <w:pPr>
        <w:pStyle w:val="BodyText"/>
      </w:pPr>
      <w:r>
        <w:t xml:space="preserve">La Tabla A.1 relaciona cada apartado con la sección del Anexo 2 que lo usa.</w:t>
      </w:r>
    </w:p>
    <w:p>
      <w:pPr>
        <w:pStyle w:val="TablaRotulo"/>
      </w:pPr>
      <w:bookmarkStart w:id="9121" w:name="rot_Tabla_A_1"/>
      <w:r>
        <w:rPr>
          <w:b/>
          <w:bCs/>
        </w:rPr>
        <w:t xml:space="preserve">Tabla A.1</w:t>
      </w:r>
      <w:bookmarkEnd w:id="9121"/>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56"/>
    <w:bookmarkStart w:id="261"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57"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122" w:name="rot_Tabla_A_2"/>
      <w:r>
        <w:rPr>
          <w:b/>
          <w:bCs/>
        </w:rPr>
        <w:t xml:space="preserve">Tabla A.2</w:t>
      </w:r>
      <w:bookmarkEnd w:id="9122"/>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57"/>
    <w:bookmarkStart w:id="258"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 La emisión en la fuente deja de estar del todo sin problematizar, porque el gemelo predictivo la estima antes de una demolición. El proyecto no la controla.</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123" w:name="rot_Tabla_A_3"/>
      <w:r>
        <w:rPr>
          <w:b/>
          <w:bCs/>
        </w:rPr>
        <w:t xml:space="preserve">Tabla A.3</w:t>
      </w:r>
      <w:bookmarkEnd w:id="9123"/>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en cuanto a ejecutar el control. El gemelo predictivo incorpora la estimación previa de la exposición en demoliciones (A.10.3).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58"/>
    <w:bookmarkStart w:id="259"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124" w:name="rot_Tabla_A_4"/>
      <w:r>
        <w:rPr>
          <w:b/>
          <w:bCs/>
        </w:rPr>
        <w:t xml:space="preserve">Tabla A.4</w:t>
      </w:r>
      <w:bookmarkEnd w:id="9124"/>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59"/>
    <w:bookmarkStart w:id="260"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125" w:name="rot_Tabla_A_5"/>
      <w:r>
        <w:rPr>
          <w:b/>
          <w:bCs/>
        </w:rPr>
        <w:t xml:space="preserve">Tabla A.5</w:t>
      </w:r>
      <w:bookmarkEnd w:id="9125"/>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126" w:name="rot_Tabla_A_6"/>
      <w:r>
        <w:rPr>
          <w:b/>
          <w:bCs/>
        </w:rPr>
        <w:t xml:space="preserve">Tabla A.6</w:t>
      </w:r>
      <w:bookmarkEnd w:id="9126"/>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60"/>
    <w:bookmarkEnd w:id="261"/>
    <w:bookmarkStart w:id="262"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127" w:name="rot_Tabla_A_7"/>
      <w:r>
        <w:rPr>
          <w:b/>
          <w:bCs/>
        </w:rPr>
        <w:t xml:space="preserve">Tabla A.7</w:t>
      </w:r>
      <w:bookmarkEnd w:id="9127"/>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128" w:name="rot_Tabla_A_8"/>
      <w:r>
        <w:rPr>
          <w:b/>
          <w:bCs/>
        </w:rPr>
        <w:t xml:space="preserve">Tabla A.8</w:t>
      </w:r>
      <w:bookmarkEnd w:id="9128"/>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62"/>
    <w:bookmarkStart w:id="277"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63"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129" w:name="rot_Tabla_A_9"/>
      <w:r>
        <w:rPr>
          <w:b/>
          <w:bCs/>
        </w:rPr>
        <w:t xml:space="preserve">Tabla A.9</w:t>
      </w:r>
      <w:bookmarkEnd w:id="9129"/>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63"/>
    <w:bookmarkStart w:id="267"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182" w:name="rot_Figura_A_1"/>
      <w:r>
        <w:rPr>
          <w:b/>
          <w:bCs/>
        </w:rPr>
        <w:t xml:space="preserve">Figura A.1</w:t>
      </w:r>
      <w:bookmarkEnd w:id="9182"/>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65" name="Picture"/>
            <a:graphic>
              <a:graphicData uri="http://schemas.openxmlformats.org/drawingml/2006/picture">
                <pic:pic>
                  <pic:nvPicPr>
                    <pic:cNvPr descr="/tmp/claude-0/-home-user-docs/8ca5c040-2adb-56b3-8e64-05d4e7e569ed/scratchpad/a2/figs/out/cA_f01.png" id="266" name="Picture"/>
                    <pic:cNvPicPr>
                      <a:picLocks noChangeArrowheads="1" noChangeAspect="1"/>
                    </pic:cNvPicPr>
                  </pic:nvPicPr>
                  <pic:blipFill>
                    <a:blip r:embed="rId264"/>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130" w:name="rot_Tabla_A_10"/>
      <w:r>
        <w:rPr>
          <w:b/>
          <w:bCs/>
        </w:rPr>
        <w:t xml:space="preserve">Tabla A.10</w:t>
      </w:r>
      <w:bookmarkEnd w:id="9130"/>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267"/>
    <w:bookmarkStart w:id="271"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183" w:name="rot_Figura_A_2"/>
      <w:r>
        <w:rPr>
          <w:b/>
          <w:bCs/>
        </w:rPr>
        <w:t xml:space="preserve">Figura A.2</w:t>
      </w:r>
      <w:bookmarkEnd w:id="9183"/>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269" name="Picture"/>
            <a:graphic>
              <a:graphicData uri="http://schemas.openxmlformats.org/drawingml/2006/picture">
                <pic:pic>
                  <pic:nvPicPr>
                    <pic:cNvPr descr="/tmp/claude-0/-home-user-docs/8ca5c040-2adb-56b3-8e64-05d4e7e569ed/scratchpad/a2/figs/out/cA_f02.png" id="270" name="Picture"/>
                    <pic:cNvPicPr>
                      <a:picLocks noChangeArrowheads="1" noChangeAspect="1"/>
                    </pic:cNvPicPr>
                  </pic:nvPicPr>
                  <pic:blipFill>
                    <a:blip r:embed="rId268"/>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131" w:name="rot_Tabla_A_11"/>
      <w:r>
        <w:rPr>
          <w:b/>
          <w:bCs/>
        </w:rPr>
        <w:t xml:space="preserve">Tabla A.11</w:t>
      </w:r>
      <w:bookmarkEnd w:id="9131"/>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271"/>
    <w:bookmarkStart w:id="275"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184" w:name="rot_Figura_A_3"/>
      <w:r>
        <w:rPr>
          <w:b/>
          <w:bCs/>
        </w:rPr>
        <w:t xml:space="preserve">Figura A.3</w:t>
      </w:r>
      <w:bookmarkEnd w:id="9184"/>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273" name="Picture"/>
            <a:graphic>
              <a:graphicData uri="http://schemas.openxmlformats.org/drawingml/2006/picture">
                <pic:pic>
                  <pic:nvPicPr>
                    <pic:cNvPr descr="/tmp/claude-0/-home-user-docs/8ca5c040-2adb-56b3-8e64-05d4e7e569ed/scratchpad/a2/figs/out/cA_f04.png" id="274" name="Picture"/>
                    <pic:cNvPicPr>
                      <a:picLocks noChangeArrowheads="1" noChangeAspect="1"/>
                    </pic:cNvPicPr>
                  </pic:nvPicPr>
                  <pic:blipFill>
                    <a:blip r:embed="rId272"/>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132" w:name="rot_Tabla_A_12"/>
      <w:r>
        <w:rPr>
          <w:b/>
          <w:bCs/>
        </w:rPr>
        <w:t xml:space="preserve">Tabla A.12</w:t>
      </w:r>
      <w:bookmarkEnd w:id="9132"/>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275"/>
    <w:bookmarkStart w:id="276"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133" w:name="rot_Tabla_A_13"/>
      <w:r>
        <w:rPr>
          <w:b/>
          <w:bCs/>
        </w:rPr>
        <w:t xml:space="preserve">Tabla A.13</w:t>
      </w:r>
      <w:bookmarkEnd w:id="9133"/>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276"/>
    <w:bookmarkEnd w:id="277"/>
    <w:bookmarkStart w:id="285"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281"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185" w:name="rot_Figura_A_4"/>
      <w:r>
        <w:rPr>
          <w:b/>
          <w:bCs/>
        </w:rPr>
        <w:t xml:space="preserve">Figura A.4</w:t>
      </w:r>
      <w:bookmarkEnd w:id="9185"/>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279" name="Picture"/>
            <a:graphic>
              <a:graphicData uri="http://schemas.openxmlformats.org/drawingml/2006/picture">
                <pic:pic>
                  <pic:nvPicPr>
                    <pic:cNvPr descr="/tmp/claude-0/-home-user-docs/8ca5c040-2adb-56b3-8e64-05d4e7e569ed/scratchpad/a2/figs/out/cA_f03.png" id="280" name="Picture"/>
                    <pic:cNvPicPr>
                      <a:picLocks noChangeArrowheads="1" noChangeAspect="1"/>
                    </pic:cNvPicPr>
                  </pic:nvPicPr>
                  <pic:blipFill>
                    <a:blip r:embed="rId278"/>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134" w:name="rot_Tabla_A_14"/>
      <w:r>
        <w:rPr>
          <w:b/>
          <w:bCs/>
        </w:rPr>
        <w:t xml:space="preserve">Tabla A.14</w:t>
      </w:r>
      <w:bookmarkEnd w:id="9134"/>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281"/>
    <w:bookmarkStart w:id="282"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135" w:name="rot_Tabla_A_15"/>
      <w:r>
        <w:rPr>
          <w:b/>
          <w:bCs/>
        </w:rPr>
        <w:t xml:space="preserve">Tabla A.15</w:t>
      </w:r>
      <w:bookmarkEnd w:id="9135"/>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282"/>
    <w:bookmarkStart w:id="283"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136" w:name="rot_Tabla_A_16"/>
      <w:r>
        <w:rPr>
          <w:b/>
          <w:bCs/>
        </w:rPr>
        <w:t xml:space="preserve">Tabla A.16</w:t>
      </w:r>
      <w:bookmarkEnd w:id="9136"/>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283"/>
    <w:bookmarkStart w:id="284"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137" w:name="rot_Tabla_A_17"/>
      <w:r>
        <w:rPr>
          <w:b/>
          <w:bCs/>
        </w:rPr>
        <w:t xml:space="preserve">Tabla A.17</w:t>
      </w:r>
      <w:bookmarkEnd w:id="9137"/>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284"/>
    <w:bookmarkEnd w:id="285"/>
    <w:bookmarkStart w:id="288" w:name="Xf96941892620a3453aafe9cc869a0289d7149c8"/>
    <w:p>
      <w:pPr>
        <w:pStyle w:val="Heading2"/>
      </w:pPr>
      <w:r>
        <w:t xml:space="preserve">A.6. Sensibilidad del análisis estructural</w:t>
      </w:r>
    </w:p>
    <w:bookmarkStart w:id="286"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138" w:name="rot_Tabla_A_18"/>
      <w:r>
        <w:rPr>
          <w:b/>
          <w:bCs/>
        </w:rPr>
        <w:t xml:space="preserve">Tabla A.18</w:t>
      </w:r>
      <w:bookmarkEnd w:id="9138"/>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286"/>
    <w:bookmarkStart w:id="287"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139" w:name="rot_Tabla_A_19"/>
      <w:r>
        <w:rPr>
          <w:b/>
          <w:bCs/>
        </w:rPr>
        <w:t xml:space="preserve">Tabla A.19</w:t>
      </w:r>
      <w:bookmarkEnd w:id="9139"/>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287"/>
    <w:bookmarkEnd w:id="288"/>
    <w:bookmarkStart w:id="289"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140" w:name="rot_Tabla_A_20"/>
      <w:r>
        <w:rPr>
          <w:b/>
          <w:bCs/>
        </w:rPr>
        <w:t xml:space="preserve">Tabla A.20</w:t>
      </w:r>
      <w:bookmarkEnd w:id="9140"/>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289"/>
    <w:bookmarkStart w:id="298"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290"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141" w:name="rot_Tabla_A_21"/>
      <w:r>
        <w:rPr>
          <w:b/>
          <w:bCs/>
        </w:rPr>
        <w:t xml:space="preserve">Tabla A.21</w:t>
      </w:r>
      <w:bookmarkEnd w:id="9141"/>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290"/>
    <w:bookmarkStart w:id="294"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142" w:name="rot_Tabla_A_22"/>
      <w:r>
        <w:rPr>
          <w:b/>
          <w:bCs/>
        </w:rPr>
        <w:t xml:space="preserve">Tabla A.22</w:t>
      </w:r>
      <w:bookmarkEnd w:id="9142"/>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186" w:name="rot_Figura_A_5"/>
      <w:r>
        <w:rPr>
          <w:b/>
          <w:bCs/>
        </w:rPr>
        <w:t xml:space="preserve">Figura A.5</w:t>
      </w:r>
      <w:bookmarkEnd w:id="9186"/>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292" name="Picture"/>
            <a:graphic>
              <a:graphicData uri="http://schemas.openxmlformats.org/drawingml/2006/picture">
                <pic:pic>
                  <pic:nvPicPr>
                    <pic:cNvPr descr="/tmp/claude-0/-home-user-docs/8ca5c040-2adb-56b3-8e64-05d4e7e569ed/scratchpad/a2/figs/out/cA_f05.png" id="293" name="Picture"/>
                    <pic:cNvPicPr>
                      <a:picLocks noChangeArrowheads="1" noChangeAspect="1"/>
                    </pic:cNvPicPr>
                  </pic:nvPicPr>
                  <pic:blipFill>
                    <a:blip r:embed="rId291"/>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294"/>
    <w:bookmarkStart w:id="295"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143" w:name="rot_Tabla_A_23"/>
      <w:r>
        <w:rPr>
          <w:b/>
          <w:bCs/>
        </w:rPr>
        <w:t xml:space="preserve">Tabla A.23</w:t>
      </w:r>
      <w:bookmarkEnd w:id="9143"/>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295"/>
    <w:bookmarkStart w:id="296"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144" w:name="rot_Tabla_A_24"/>
      <w:r>
        <w:rPr>
          <w:b/>
          <w:bCs/>
        </w:rPr>
        <w:t xml:space="preserve">Tabla A.24</w:t>
      </w:r>
      <w:bookmarkEnd w:id="9144"/>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296"/>
    <w:bookmarkStart w:id="297"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145" w:name="rot_Tabla_A_25"/>
      <w:r>
        <w:rPr>
          <w:b/>
          <w:bCs/>
        </w:rPr>
        <w:t xml:space="preserve">Tabla A.25</w:t>
      </w:r>
      <w:bookmarkEnd w:id="9145"/>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297"/>
    <w:bookmarkEnd w:id="298"/>
    <w:bookmarkStart w:id="302"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32"/>
        </w:numPr>
      </w:pPr>
      <w:r>
        <w:t xml:space="preserve">Cada nodo es una variable del modelo, formulada como estado problemático y rotulada con su identificador.</w:t>
      </w:r>
    </w:p>
    <w:p>
      <w:pPr>
        <w:pStyle w:val="Compact"/>
        <w:numPr>
          <w:ilvl w:val="0"/>
          <w:numId w:val="1032"/>
        </w:numPr>
      </w:pPr>
      <w:r>
        <w:t xml:space="preserve">Las causas se ubican debajo del problema central y los efectos encima.</w:t>
      </w:r>
    </w:p>
    <w:p>
      <w:pPr>
        <w:pStyle w:val="Compact"/>
        <w:numPr>
          <w:ilvl w:val="0"/>
          <w:numId w:val="1032"/>
        </w:numPr>
      </w:pPr>
      <w:r>
        <w:t xml:space="preserve">Se dibujan las relaciones de peso 2 o 3 que unen niveles contiguos sin compartir trazos ambiguos.</w:t>
      </w:r>
    </w:p>
    <w:p>
      <w:pPr>
        <w:pStyle w:val="Compact"/>
        <w:numPr>
          <w:ilvl w:val="0"/>
          <w:numId w:val="1032"/>
        </w:numPr>
      </w:pPr>
      <w:r>
        <w:t xml:space="preserve">No se dibujan bucles, que se registran aparte.</w:t>
      </w:r>
    </w:p>
    <w:p>
      <w:pPr>
        <w:pStyle w:val="Compact"/>
        <w:numPr>
          <w:ilvl w:val="0"/>
          <w:numId w:val="1032"/>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146" w:name="rot_Tabla_A_26"/>
      <w:r>
        <w:rPr>
          <w:b/>
          <w:bCs/>
        </w:rPr>
        <w:t xml:space="preserve">Tabla A.26</w:t>
      </w:r>
      <w:bookmarkEnd w:id="9146"/>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187" w:name="rot_Figura_A_6"/>
      <w:r>
        <w:rPr>
          <w:b/>
          <w:bCs/>
        </w:rPr>
        <w:t xml:space="preserve">Figura A.6</w:t>
      </w:r>
      <w:bookmarkEnd w:id="9187"/>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300" name="Picture"/>
            <a:graphic>
              <a:graphicData uri="http://schemas.openxmlformats.org/drawingml/2006/picture">
                <pic:pic>
                  <pic:nvPicPr>
                    <pic:cNvPr descr="/tmp/claude-0/-home-user-docs/8ca5c040-2adb-56b3-8e64-05d4e7e569ed/scratchpad/a2/figs/out/cA_f06.png" id="301" name="Picture"/>
                    <pic:cNvPicPr>
                      <a:picLocks noChangeArrowheads="1" noChangeAspect="1"/>
                    </pic:cNvPicPr>
                  </pic:nvPicPr>
                  <pic:blipFill>
                    <a:blip r:embed="rId299"/>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147" w:name="rot_Tabla_A_27"/>
      <w:r>
        <w:rPr>
          <w:b/>
          <w:bCs/>
        </w:rPr>
        <w:t xml:space="preserve">Tabla A.27</w:t>
      </w:r>
      <w:bookmarkEnd w:id="9147"/>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33"/>
        </w:numPr>
      </w:pPr>
      <w:r>
        <w:rPr>
          <w:b/>
          <w:bCs/>
        </w:rPr>
        <w:t xml:space="preserve">Bucles.</w:t>
      </w:r>
      <w:r>
        <w:t xml:space="preserve"> </w:t>
      </w:r>
      <w:r>
        <w:t xml:space="preserve">S2 contiene cuatro ciclos de dos vínculos. V15 retroalimenta a V05, V07, V09, V10 y V14.</w:t>
      </w:r>
    </w:p>
    <w:p>
      <w:pPr>
        <w:pStyle w:val="Compact"/>
        <w:numPr>
          <w:ilvl w:val="0"/>
          <w:numId w:val="1033"/>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33"/>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33"/>
        </w:numPr>
      </w:pPr>
      <w:r>
        <w:rPr>
          <w:b/>
          <w:bCs/>
        </w:rPr>
        <w:t xml:space="preserve">Marco rival de control en la fuente.</w:t>
      </w:r>
      <w:r>
        <w:t xml:space="preserve"> </w:t>
      </w:r>
      <w:r>
        <w:t xml:space="preserve">Su construcción exigiría otro problema central, la exposición, y ese árbol no se construyó. El gemelo predictivo incorpora la estimación previa de ese marco sin cambiar el árbol (A.10.3).</w:t>
      </w:r>
    </w:p>
    <w:p>
      <w:pPr>
        <w:pStyle w:val="Compact"/>
        <w:numPr>
          <w:ilvl w:val="0"/>
          <w:numId w:val="1033"/>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33"/>
        </w:numPr>
      </w:pPr>
      <w:r>
        <w:rPr>
          <w:b/>
          <w:bCs/>
        </w:rPr>
        <w:t xml:space="preserve">Morbilidad.</w:t>
      </w:r>
      <w:r>
        <w:t xml:space="preserve"> </w:t>
      </w:r>
      <w:r>
        <w:t xml:space="preserve">No existe variable de resultado en salud. Se declara como hipótesis y no como compromiso.</w:t>
      </w:r>
    </w:p>
    <w:bookmarkEnd w:id="302"/>
    <w:bookmarkStart w:id="309" w:name="X8c0e5999b4f082f0f81a7e3a244c2d7f84dead7"/>
    <w:p>
      <w:pPr>
        <w:pStyle w:val="Heading2"/>
      </w:pPr>
      <w:r>
        <w:t xml:space="preserve">A.10. Teoría del cambio, alternativas y condiciones de decisión</w:t>
      </w:r>
    </w:p>
    <w:bookmarkStart w:id="303"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148" w:name="rot_Tabla_A_28"/>
      <w:r>
        <w:rPr>
          <w:b/>
          <w:bCs/>
        </w:rPr>
        <w:t xml:space="preserve">Tabla A.28</w:t>
      </w:r>
      <w:bookmarkEnd w:id="9148"/>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397"/>
        <w:gridCol w:w="4313"/>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397" w:type="dxa"/>
            <w:tcBorders>
              <w:bottom w:val="single" w:sz="12" w:space="0" w:color="6699CC"/>
            </w:tcBorders>
            <w:shd w:val="clear" w:color="auto" w:fill="B9D9EB"/>
          </w:tcPr>
          <w:p>
            <w:pPr>
              <w:pStyle w:val="Tabla9"/>
              <w:keepNext/>
              <w:jc w:val="left"/>
            </w:pPr>
            <w:r>
              <w:rPr>
                <w:b/>
              </w:rPr>
              <w:t xml:space="preserve">Alternativa</w:t>
            </w:r>
          </w:p>
        </w:tc>
        <w:tc>
          <w:tcPr>
            <w:tcW w:w="4313"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397" w:type="dxa"/>
          </w:tcPr>
          <w:p>
            <w:pPr>
              <w:pStyle w:val="Tabla9"/>
              <w:jc w:val="left"/>
            </w:pPr>
            <w:r>
              <w:t xml:space="preserve">Sin intervención: sensores aislados que transmiten hasta agotar batería o crédito</w:t>
            </w:r>
          </w:p>
        </w:tc>
        <w:tc>
          <w:tcPr>
            <w:tcW w:w="4313"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397" w:type="dxa"/>
            <w:shd w:val="clear" w:color="auto" w:fill="F7F7F7"/>
          </w:tcPr>
          <w:p>
            <w:pPr>
              <w:pStyle w:val="Tabla9"/>
              <w:jc w:val="left"/>
            </w:pPr>
            <w:r>
              <w:t xml:space="preserve">Estaciones fijas robustas con paneles solares y calibración manual trimestral</w:t>
            </w:r>
          </w:p>
        </w:tc>
        <w:tc>
          <w:tcPr>
            <w:tcW w:w="4313"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397" w:type="dxa"/>
          </w:tcPr>
          <w:p>
            <w:pPr>
              <w:pStyle w:val="Tabla9"/>
              <w:jc w:val="left"/>
            </w:pPr>
            <w:r>
              <w:t xml:space="preserve">Malla de sensores con corrección centralizada en la nube</w:t>
            </w:r>
          </w:p>
        </w:tc>
        <w:tc>
          <w:tcPr>
            <w:tcW w:w="4313"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397" w:type="dxa"/>
            <w:shd w:val="clear" w:color="auto" w:fill="F7F7F7"/>
          </w:tcPr>
          <w:p>
            <w:pPr>
              <w:pStyle w:val="Tabla9"/>
              <w:jc w:val="left"/>
            </w:pPr>
            <w:r>
              <w:t xml:space="preserve">Red híbrida con corrección local y transferencia a las alcaldías en el mes 25</w:t>
            </w:r>
          </w:p>
        </w:tc>
        <w:tc>
          <w:tcPr>
            <w:tcW w:w="4313"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397" w:type="dxa"/>
          </w:tcPr>
          <w:p>
            <w:pPr>
              <w:pStyle w:val="Tabla9"/>
              <w:jc w:val="left"/>
            </w:pPr>
            <w:r>
              <w:t xml:space="preserve">La misma tecnología que R3, por tramos, con piloto de contraste y custodia distribuida</w:t>
            </w:r>
          </w:p>
        </w:tc>
        <w:tc>
          <w:tcPr>
            <w:tcW w:w="4313"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397" w:type="dxa"/>
            <w:shd w:val="clear" w:color="auto" w:fill="F7F7F7"/>
          </w:tcPr>
          <w:p>
            <w:pPr>
              <w:pStyle w:val="Tabla9"/>
              <w:keepNext/>
              <w:jc w:val="left"/>
            </w:pPr>
            <w:r>
              <w:t xml:space="preserve">Control del polvo en la fuente con medición de referencia mínima</w:t>
            </w:r>
          </w:p>
        </w:tc>
        <w:tc>
          <w:tcPr>
            <w:tcW w:w="4313" w:type="dxa"/>
            <w:shd w:val="clear" w:color="auto" w:fill="F7F7F7"/>
          </w:tcPr>
          <w:p>
            <w:pPr>
              <w:pStyle w:val="Tabla9"/>
              <w:keepNext/>
              <w:jc w:val="left"/>
            </w:pPr>
            <w:r>
              <w:t xml:space="preserve">Marco rival (A.2); no se evalúa con datos. La estimación previa se incorpora como módulo (A.10.3)</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149" w:name="rot_Tabla_A_29"/>
      <w:r>
        <w:rPr>
          <w:b/>
          <w:bCs/>
        </w:rPr>
        <w:t xml:space="preserve">Tabla A.29</w:t>
      </w:r>
      <w:bookmarkEnd w:id="9149"/>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34"/>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34"/>
        </w:numPr>
      </w:pPr>
      <w:r>
        <w:t xml:space="preserve">R3 se prefiere a R4 si, antes de la firma, cada componente cuenta con una entidad territorial con compromiso presupuestal vinculante y competencia jurídica documentada.</w:t>
      </w:r>
    </w:p>
    <w:p>
      <w:pPr>
        <w:pStyle w:val="Compact"/>
        <w:numPr>
          <w:ilvl w:val="0"/>
          <w:numId w:val="1034"/>
        </w:numPr>
      </w:pPr>
      <w:r>
        <w:t xml:space="preserve">R5 se combina con R4 si la evidencia de emisión en la fuente muestra que la mayor parte de la exposición es controlable. Esa evidencia no existe todavía. Las campañas del laboratorio la producirán para los eventos medidos.</w:t>
      </w:r>
    </w:p>
    <w:p>
      <w:pPr>
        <w:pStyle w:val="Compact"/>
        <w:numPr>
          <w:ilvl w:val="0"/>
          <w:numId w:val="1034"/>
        </w:numPr>
      </w:pPr>
      <w:r>
        <w:t xml:space="preserve">R0 solo se admite si el financiador no acepta R3 ni R4.</w:t>
      </w:r>
    </w:p>
    <w:bookmarkEnd w:id="303"/>
    <w:bookmarkStart w:id="307"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cuatro cadenas: medición, alertas y adopción, custodia y predicción. Los rombos son los seis supuestos críticos.</w:t>
      </w:r>
    </w:p>
    <w:p>
      <w:pPr>
        <w:pStyle w:val="FiguraRotulo"/>
      </w:pPr>
      <w:bookmarkStart w:id="9188" w:name="rot_Figura_A_7"/>
      <w:r>
        <w:rPr>
          <w:b/>
          <w:bCs/>
        </w:rPr>
        <w:t xml:space="preserve">Figura A.7</w:t>
      </w:r>
      <w:bookmarkEnd w:id="9188"/>
    </w:p>
    <w:p>
      <w:pPr>
        <w:pStyle w:val="FiguraTitulo"/>
      </w:pPr>
      <w:r>
        <w:rPr>
          <w:i/>
          <w:iCs/>
        </w:rPr>
        <w:t xml:space="preserve">Cuatro cadenas llevan de los productos al uso y a la continuidad, y el proyecto se compromete hasta los resultados</w:t>
      </w:r>
    </w:p>
    <w:p>
      <w:pPr>
        <w:pStyle w:val="BodyText"/>
      </w:pPr>
      <w:r>
        <w:drawing>
          <wp:inline>
            <wp:extent cx="5579999" cy="5245199"/>
            <wp:effectExtent b="0" l="0" r="0" t="0"/>
            <wp:docPr descr="" title="" id="305" name="Picture"/>
            <a:graphic>
              <a:graphicData uri="http://schemas.openxmlformats.org/drawingml/2006/picture">
                <pic:pic>
                  <pic:nvPicPr>
                    <pic:cNvPr descr="/tmp/claude-0/-home-user-docs/8ca5c040-2adb-56b3-8e64-05d4e7e569ed/scratchpad/a2/figs/out/cA_f07.png" id="306" name="Picture"/>
                    <pic:cNvPicPr>
                      <a:picLocks noChangeArrowheads="1" noChangeAspect="1"/>
                    </pic:cNvPicPr>
                  </pic:nvPicPr>
                  <pic:blipFill>
                    <a:blip r:embed="rId304"/>
                    <a:stretch>
                      <a:fillRect/>
                    </a:stretch>
                  </pic:blipFill>
                  <pic:spPr bwMode="auto">
                    <a:xfrm>
                      <a:off x="0" y="0"/>
                      <a:ext cx="5579999" cy="5245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R7 son los resultados al mes 24 e I1 e I2 los impactos a 12 meses del cierre. SC-1 a SC-6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R7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primeros se verifican con criterios que las compuertas C1 y C2 ya aplican antes de liberar cada compra. Los dos últimos se verifican con los hitos H10 y H11, que no liberan compras.</w:t>
      </w:r>
    </w:p>
    <w:p>
      <w:pPr>
        <w:pStyle w:val="TablaRotulo"/>
      </w:pPr>
      <w:bookmarkStart w:id="9150" w:name="rot_Tabla_A_30"/>
      <w:r>
        <w:rPr>
          <w:b/>
          <w:bCs/>
        </w:rPr>
        <w:t xml:space="preserve">Tabla A.30</w:t>
      </w:r>
      <w:bookmarkEnd w:id="9150"/>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jc w:val="left"/>
            </w:pPr>
            <w:r>
              <w:t xml:space="preserve">SC-4. Custodia</w:t>
            </w:r>
          </w:p>
        </w:tc>
        <w:tc>
          <w:tcPr>
            <w:tcW w:w="2008" w:type="dxa"/>
            <w:shd w:val="clear" w:color="auto" w:fill="F7F7F7"/>
          </w:tcPr>
          <w:p>
            <w:pPr>
              <w:pStyle w:val="Tabla9"/>
              <w:jc w:val="left"/>
            </w:pPr>
            <w:r>
              <w:t xml:space="preserve">Al menos un custodio por componente demuestra capacidad de absorción antes de cada tramo</w:t>
            </w:r>
          </w:p>
        </w:tc>
        <w:tc>
          <w:tcPr>
            <w:tcW w:w="2175" w:type="dxa"/>
            <w:shd w:val="clear" w:color="auto" w:fill="F7F7F7"/>
          </w:tcPr>
          <w:p>
            <w:pPr>
              <w:pStyle w:val="Tabla9"/>
              <w:jc w:val="left"/>
            </w:pPr>
            <w:r>
              <w:t xml:space="preserve">El servicio continúa después del mes 24 sin un receptor público único</w:t>
            </w:r>
          </w:p>
        </w:tc>
        <w:tc>
          <w:tcPr>
            <w:tcW w:w="2008" w:type="dxa"/>
            <w:shd w:val="clear" w:color="auto" w:fill="F7F7F7"/>
          </w:tcPr>
          <w:p>
            <w:pPr>
              <w:pStyle w:val="Tabla9"/>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jc w:val="left"/>
            </w:pPr>
            <w:r>
              <w:t xml:space="preserve">Compuerta C2 (convenios con partida); indicadores R5 e I2</w:t>
            </w:r>
          </w:p>
        </w:tc>
      </w:tr>
      <w:tr>
        <w:trPr>
          <w:cantSplit/>
        </w:trPr>
        <w:tc>
          <w:tcPr>
            <w:tcW w:w="1840" w:type="dxa"/>
          </w:tcPr>
          <w:p>
            <w:pPr>
              <w:pStyle w:val="Tabla9"/>
              <w:jc w:val="left"/>
            </w:pPr>
            <w:r>
              <w:t xml:space="preserve">SC-5. Acceso y desempeño del modelo</w:t>
            </w:r>
          </w:p>
        </w:tc>
        <w:tc>
          <w:tcPr>
            <w:tcW w:w="2008" w:type="dxa"/>
          </w:tcPr>
          <w:p>
            <w:pPr>
              <w:pStyle w:val="Tabla9"/>
              <w:jc w:val="left"/>
            </w:pPr>
            <w:r>
              <w:t xml:space="preserve">Se miden al menos seis eventos válidos con acceso acordado y el modelo se calibra con polvo del territorio</w:t>
            </w:r>
          </w:p>
        </w:tc>
        <w:tc>
          <w:tcPr>
            <w:tcW w:w="2175" w:type="dxa"/>
          </w:tcPr>
          <w:p>
            <w:pPr>
              <w:pStyle w:val="Tabla9"/>
              <w:jc w:val="left"/>
            </w:pPr>
            <w:r>
              <w:t xml:space="preserve">El gemelo alcanza FAC2 ≥ 0,5 y sesgo fraccional absoluto ≤ 0,3 fuera de muestra</w:t>
            </w:r>
          </w:p>
        </w:tc>
        <w:tc>
          <w:tcPr>
            <w:tcW w:w="2008" w:type="dxa"/>
          </w:tcPr>
          <w:p>
            <w:pPr>
              <w:pStyle w:val="Tabla9"/>
              <w:jc w:val="left"/>
            </w:pPr>
            <w:r>
              <w:t xml:space="preserve">La emisión depende de la distancia y del viento y se contrasta con mediciones (Dorevitch et al., 2006). El modelo se evalúa con métricas estándar (Chang y Hanna, 2004)</w:t>
            </w:r>
          </w:p>
        </w:tc>
        <w:tc>
          <w:tcPr>
            <w:tcW w:w="1923" w:type="dxa"/>
          </w:tcPr>
          <w:p>
            <w:pPr>
              <w:pStyle w:val="Tabla9"/>
              <w:jc w:val="left"/>
            </w:pPr>
            <w:r>
              <w:t xml:space="preserve">Hitos H10 y H11; indicador R6</w:t>
            </w:r>
          </w:p>
        </w:tc>
      </w:tr>
      <w:tr>
        <w:trPr>
          <w:cantSplit/>
        </w:trPr>
        <w:tc>
          <w:tcPr>
            <w:tcW w:w="1840" w:type="dxa"/>
            <w:shd w:val="clear" w:color="auto" w:fill="F7F7F7"/>
          </w:tcPr>
          <w:p>
            <w:pPr>
              <w:pStyle w:val="Tabla9"/>
              <w:keepNext/>
              <w:jc w:val="left"/>
            </w:pPr>
            <w:r>
              <w:t xml:space="preserve">SC-6. Uso de la evaluación previa</w:t>
            </w:r>
          </w:p>
        </w:tc>
        <w:tc>
          <w:tcPr>
            <w:tcW w:w="2008" w:type="dxa"/>
            <w:shd w:val="clear" w:color="auto" w:fill="F7F7F7"/>
          </w:tcPr>
          <w:p>
            <w:pPr>
              <w:pStyle w:val="Tabla9"/>
              <w:keepNext/>
              <w:jc w:val="left"/>
            </w:pPr>
            <w:r>
              <w:t xml:space="preserve">La entidad territorial o el propietario solicitan la evaluación antes de demoler y la leen como insumo</w:t>
            </w:r>
          </w:p>
        </w:tc>
        <w:tc>
          <w:tcPr>
            <w:tcW w:w="2175" w:type="dxa"/>
            <w:shd w:val="clear" w:color="auto" w:fill="F7F7F7"/>
          </w:tcPr>
          <w:p>
            <w:pPr>
              <w:pStyle w:val="Tabla9"/>
              <w:keepNext/>
              <w:jc w:val="left"/>
            </w:pPr>
            <w:r>
              <w:t xml:space="preserve">Se entregan al menos 12 evaluaciones y las medidas sugeridas entran en la decisión</w:t>
            </w:r>
          </w:p>
        </w:tc>
        <w:tc>
          <w:tcPr>
            <w:tcW w:w="2008" w:type="dxa"/>
            <w:shd w:val="clear" w:color="auto" w:fill="F7F7F7"/>
          </w:tcPr>
          <w:p>
            <w:pPr>
              <w:pStyle w:val="Tabla9"/>
              <w:keepNext/>
              <w:jc w:val="left"/>
            </w:pPr>
            <w:r>
              <w:t xml:space="preserve">Una estimación sin solicitante no modifica la decisión. El protocolo define quién solicita y cómo se usa</w:t>
            </w:r>
          </w:p>
        </w:tc>
        <w:tc>
          <w:tcPr>
            <w:tcW w:w="1923" w:type="dxa"/>
            <w:shd w:val="clear" w:color="auto" w:fill="F7F7F7"/>
          </w:tcPr>
          <w:p>
            <w:pPr>
              <w:pStyle w:val="Tabla9"/>
              <w:keepNext/>
              <w:jc w:val="left"/>
            </w:pPr>
            <w:r>
              <w:t xml:space="preserve">Hito H11, acta de adopción del protocolo e indicador R7</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307"/>
    <w:bookmarkStart w:id="308" w:name="Xe6e2c87d2b010229c528c7d87c680260593d606"/>
    <w:p>
      <w:pPr>
        <w:pStyle w:val="Heading3"/>
      </w:pPr>
      <w:r>
        <w:t xml:space="preserve">A.10.3 Teoría del cambio del módulo predictivo</w:t>
      </w:r>
    </w:p>
    <w:p>
      <w:pPr>
        <w:pStyle w:val="FirstParagraph"/>
      </w:pPr>
      <w:r>
        <w:t xml:space="preserve">El módulo predictivo no integra el modelo estructural de quince variables, porque no actúa sobre el error de medición. Su cadena tiene cinco eslabones. Los datos de entrada son la geometría, el material, el método y la meteorología. Los modelos de emisión y de dispersión producen una estimación con su incertidumbre. La evaluación previa la compara con los valores guía y con escenarios de control. La entidad territorial decide el método y las medidas. La exposición real depende de lo que ejecute la obra.</w:t>
      </w:r>
    </w:p>
    <w:p>
      <w:pPr>
        <w:pStyle w:val="BodyText"/>
      </w:pPr>
      <w:r>
        <w:t xml:space="preserve">La rendición de cuentas llega hasta los resultados R6 y R7. El desempeño del modelo y la entrega de las evaluaciones dependen del proyecto. La decisión de la entidad y la reducción real de la exposición quedan sobre el techo, porque dependen de terceros. El proyecto no estima efectos en la salud. El efecto esperado de una medida de control es un supuesto mientras una campaña no lo verifique. Los supuestos SC-5 y SC-6 de la Tabla A.30 fijan las condiciones de la cadena y los hitos H10 y H11 las verifican.</w:t>
      </w:r>
    </w:p>
    <w:bookmarkEnd w:id="308"/>
    <w:bookmarkEnd w:id="309"/>
    <w:bookmarkStart w:id="310" w:name="X533320311b97172f41bdada450a24b1a68fdf3e"/>
    <w:p>
      <w:pPr>
        <w:pStyle w:val="Heading2"/>
      </w:pPr>
      <w:r>
        <w:t xml:space="preserve">A.11. Límites, brechas y ruta de resolución</w:t>
      </w:r>
    </w:p>
    <w:p>
      <w:pPr>
        <w:pStyle w:val="FirstParagraph"/>
      </w:pPr>
      <w:r>
        <w:t xml:space="preserve">El análisis tiene siete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Las posiciones dependen de la definición de las variables y de tres ambigüedades del diccionario. Y el módulo predictivo se trata con una teoría del cambio y no con una matriz.</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151" w:name="rot_Tabla_A_31"/>
      <w:r>
        <w:rPr>
          <w:b/>
          <w:bCs/>
        </w:rPr>
        <w:t xml:space="preserve">Tabla A.31</w:t>
      </w:r>
      <w:bookmarkEnd w:id="9151"/>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820"/>
        <w:gridCol w:w="2074"/>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06" w:type="dxa"/>
            <w:tcBorders>
              <w:bottom w:val="single" w:sz="12" w:space="0" w:color="6699CC"/>
            </w:tcBorders>
            <w:shd w:val="clear" w:color="auto" w:fill="B9D9EB"/>
          </w:tcPr>
          <w:p>
            <w:pPr>
              <w:pStyle w:val="Tabla9"/>
              <w:keepNext/>
              <w:jc w:val="left"/>
            </w:pPr>
            <w:r>
              <w:rPr>
                <w:b/>
              </w:rPr>
              <w:t xml:space="preserve">Efecto sobre las conclusiones</w:t>
            </w:r>
          </w:p>
        </w:tc>
        <w:tc>
          <w:tcPr>
            <w:tcW w:w="2820" w:type="dxa"/>
            <w:tcBorders>
              <w:bottom w:val="single" w:sz="12" w:space="0" w:color="6699CC"/>
            </w:tcBorders>
            <w:shd w:val="clear" w:color="auto" w:fill="B9D9EB"/>
          </w:tcPr>
          <w:p>
            <w:pPr>
              <w:pStyle w:val="Tabla9"/>
              <w:keepNext/>
              <w:jc w:val="left"/>
            </w:pPr>
            <w:r>
              <w:rPr>
                <w:b/>
              </w:rPr>
              <w:t xml:space="preserve">Ruta de resolución</w:t>
            </w:r>
          </w:p>
        </w:tc>
        <w:tc>
          <w:tcPr>
            <w:tcW w:w="2074"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06" w:type="dxa"/>
          </w:tcPr>
          <w:p>
            <w:pPr>
              <w:pStyle w:val="Tabla9"/>
              <w:jc w:val="left"/>
            </w:pPr>
            <w:r>
              <w:t xml:space="preserve">Impide certificar la matriz y toda decisión que dependa de ella</w:t>
            </w:r>
          </w:p>
        </w:tc>
        <w:tc>
          <w:tcPr>
            <w:tcW w:w="2820" w:type="dxa"/>
          </w:tcPr>
          <w:p>
            <w:pPr>
              <w:pStyle w:val="Tabla9"/>
              <w:jc w:val="left"/>
            </w:pPr>
            <w:r>
              <w:t xml:space="preserve">Sesión de adjudicación con acta, que comience por los vínculos de la Tabla A.18</w:t>
            </w:r>
          </w:p>
        </w:tc>
        <w:tc>
          <w:tcPr>
            <w:tcW w:w="2074"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06" w:type="dxa"/>
            <w:shd w:val="clear" w:color="auto" w:fill="F7F7F7"/>
          </w:tcPr>
          <w:p>
            <w:pPr>
              <w:pStyle w:val="Tabla9"/>
              <w:jc w:val="left"/>
            </w:pPr>
            <w:r>
              <w:t xml:space="preserve">El respaldo de 41 vínculos es secundario o interno</w:t>
            </w:r>
          </w:p>
        </w:tc>
        <w:tc>
          <w:tcPr>
            <w:tcW w:w="2820" w:type="dxa"/>
            <w:shd w:val="clear" w:color="auto" w:fill="F7F7F7"/>
          </w:tcPr>
          <w:p>
            <w:pPr>
              <w:pStyle w:val="Tabla9"/>
              <w:jc w:val="left"/>
            </w:pPr>
            <w:r>
              <w:t xml:space="preserve">Leer Suresh et al. (2025), Bang et al. (2026), Ayala-Parra et al. (2026) y Tavella et al. (2026) con localizador de página</w:t>
            </w:r>
          </w:p>
        </w:tc>
        <w:tc>
          <w:tcPr>
            <w:tcW w:w="2074"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06" w:type="dxa"/>
          </w:tcPr>
          <w:p>
            <w:pPr>
              <w:pStyle w:val="Tabla9"/>
              <w:jc w:val="left"/>
            </w:pPr>
            <w:r>
              <w:t xml:space="preserve">Pueden inflar la influencia de V03 y V07</w:t>
            </w:r>
          </w:p>
        </w:tc>
        <w:tc>
          <w:tcPr>
            <w:tcW w:w="2820" w:type="dxa"/>
          </w:tcPr>
          <w:p>
            <w:pPr>
              <w:pStyle w:val="Tabla9"/>
              <w:jc w:val="left"/>
            </w:pPr>
            <w:r>
              <w:t xml:space="preserve">Evaluar la ampliación del modelo a 19 variables y rehacer A.4 y A.5</w:t>
            </w:r>
          </w:p>
        </w:tc>
        <w:tc>
          <w:tcPr>
            <w:tcW w:w="2074"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06" w:type="dxa"/>
            <w:shd w:val="clear" w:color="auto" w:fill="F7F7F7"/>
          </w:tcPr>
          <w:p>
            <w:pPr>
              <w:pStyle w:val="Tabla9"/>
              <w:jc w:val="left"/>
            </w:pPr>
            <w:r>
              <w:t xml:space="preserve">Cambian los vínculos V06→V01, V09→V10 y V10→V06</w:t>
            </w:r>
          </w:p>
        </w:tc>
        <w:tc>
          <w:tcPr>
            <w:tcW w:w="2820" w:type="dxa"/>
            <w:shd w:val="clear" w:color="auto" w:fill="F7F7F7"/>
          </w:tcPr>
          <w:p>
            <w:pPr>
              <w:pStyle w:val="Tabla9"/>
              <w:jc w:val="left"/>
            </w:pPr>
            <w:r>
              <w:t xml:space="preserve">Aclarar el diccionario antes de ratificar las fichas</w:t>
            </w:r>
          </w:p>
        </w:tc>
        <w:tc>
          <w:tcPr>
            <w:tcW w:w="2074"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06" w:type="dxa"/>
          </w:tcPr>
          <w:p>
            <w:pPr>
              <w:pStyle w:val="Tabla9"/>
              <w:jc w:val="left"/>
            </w:pPr>
            <w:r>
              <w:t xml:space="preserve">Los vínculos V01→V11 y V02→V11 dependen de ella</w:t>
            </w:r>
          </w:p>
        </w:tc>
        <w:tc>
          <w:tcPr>
            <w:tcW w:w="2820" w:type="dxa"/>
          </w:tcPr>
          <w:p>
            <w:pPr>
              <w:pStyle w:val="Tabla9"/>
              <w:jc w:val="left"/>
            </w:pPr>
            <w:r>
              <w:t xml:space="preserve">Definir la fórmula y validarla con la autoridad de salud</w:t>
            </w:r>
          </w:p>
        </w:tc>
        <w:tc>
          <w:tcPr>
            <w:tcW w:w="2074"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06" w:type="dxa"/>
            <w:shd w:val="clear" w:color="auto" w:fill="F7F7F7"/>
          </w:tcPr>
          <w:p>
            <w:pPr>
              <w:pStyle w:val="Tabla9"/>
              <w:jc w:val="left"/>
            </w:pPr>
            <w:r>
              <w:t xml:space="preserve">El efecto de la calibración sobre el error queda como HIE</w:t>
            </w:r>
          </w:p>
        </w:tc>
        <w:tc>
          <w:tcPr>
            <w:tcW w:w="2820"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2074"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Gemelo predictivo sin evaluación con eventos reales al formular el proyecto</w:t>
            </w:r>
          </w:p>
        </w:tc>
        <w:tc>
          <w:tcPr>
            <w:tcW w:w="2406" w:type="dxa"/>
          </w:tcPr>
          <w:p>
            <w:pPr>
              <w:pStyle w:val="Tabla9"/>
              <w:jc w:val="left"/>
            </w:pPr>
            <w:r>
              <w:t xml:space="preserve">El desempeño del modelo y su dominio de validez no se conocen</w:t>
            </w:r>
          </w:p>
        </w:tc>
        <w:tc>
          <w:tcPr>
            <w:tcW w:w="2820" w:type="dxa"/>
          </w:tcPr>
          <w:p>
            <w:pPr>
              <w:pStyle w:val="Tabla9"/>
              <w:jc w:val="left"/>
            </w:pPr>
            <w:r>
              <w:t xml:space="preserve">Validar con al menos seis eventos y declarar el dominio (actividad 1.7)</w:t>
            </w:r>
          </w:p>
        </w:tc>
        <w:tc>
          <w:tcPr>
            <w:tcW w:w="2074" w:type="dxa"/>
          </w:tcPr>
          <w:p>
            <w:pPr>
              <w:pStyle w:val="Tabla9"/>
              <w:jc w:val="left"/>
            </w:pPr>
            <w:r>
              <w:t xml:space="preserve">Universidad</w:t>
            </w:r>
          </w:p>
        </w:tc>
      </w:tr>
      <w:tr>
        <w:trPr>
          <w:cantSplit/>
        </w:trPr>
        <w:tc>
          <w:tcPr>
            <w:tcW w:w="2654" w:type="dxa"/>
            <w:shd w:val="clear" w:color="auto" w:fill="F7F7F7"/>
          </w:tcPr>
          <w:p>
            <w:pPr>
              <w:pStyle w:val="Tabla9"/>
              <w:jc w:val="left"/>
            </w:pPr>
            <w:r>
              <w:t xml:space="preserve">Efecto de las medidas de control sin evidencia local</w:t>
            </w:r>
          </w:p>
        </w:tc>
        <w:tc>
          <w:tcPr>
            <w:tcW w:w="2406" w:type="dxa"/>
            <w:shd w:val="clear" w:color="auto" w:fill="F7F7F7"/>
          </w:tcPr>
          <w:p>
            <w:pPr>
              <w:pStyle w:val="Tabla9"/>
              <w:jc w:val="left"/>
            </w:pPr>
            <w:r>
              <w:t xml:space="preserve">Las reducciones de emisión son supuestos</w:t>
            </w:r>
          </w:p>
        </w:tc>
        <w:tc>
          <w:tcPr>
            <w:tcW w:w="2820" w:type="dxa"/>
            <w:shd w:val="clear" w:color="auto" w:fill="F7F7F7"/>
          </w:tcPr>
          <w:p>
            <w:pPr>
              <w:pStyle w:val="Tabla9"/>
              <w:jc w:val="left"/>
            </w:pPr>
            <w:r>
              <w:t xml:space="preserve">Medir el efecto cuando el contratista aplique la medida durante una campaña</w:t>
            </w:r>
          </w:p>
        </w:tc>
        <w:tc>
          <w:tcPr>
            <w:tcW w:w="2074" w:type="dxa"/>
            <w:shd w:val="clear" w:color="auto" w:fill="F7F7F7"/>
          </w:tcPr>
          <w:p>
            <w:pPr>
              <w:pStyle w:val="Tabla9"/>
              <w:jc w:val="left"/>
            </w:pPr>
            <w:r>
              <w:t xml:space="preserve">Universidad y contratistas</w:t>
            </w:r>
          </w:p>
        </w:tc>
      </w:tr>
      <w:tr>
        <w:trPr>
          <w:cantSplit/>
        </w:trPr>
        <w:tc>
          <w:tcPr>
            <w:tcW w:w="2654" w:type="dxa"/>
          </w:tcPr>
          <w:p>
            <w:pPr>
              <w:pStyle w:val="Tabla9"/>
              <w:jc w:val="left"/>
            </w:pPr>
            <w:r>
              <w:t xml:space="preserve">Población expuesta y carga de morbilidad sin variable de resultado</w:t>
            </w:r>
          </w:p>
        </w:tc>
        <w:tc>
          <w:tcPr>
            <w:tcW w:w="2406" w:type="dxa"/>
          </w:tcPr>
          <w:p>
            <w:pPr>
              <w:pStyle w:val="Tabla9"/>
              <w:jc w:val="left"/>
            </w:pPr>
            <w:r>
              <w:t xml:space="preserve">El modelo no alcanza la protección de las personas</w:t>
            </w:r>
          </w:p>
        </w:tc>
        <w:tc>
          <w:tcPr>
            <w:tcW w:w="2820" w:type="dxa"/>
          </w:tcPr>
          <w:p>
            <w:pPr>
              <w:pStyle w:val="Tabla9"/>
              <w:jc w:val="left"/>
            </w:pPr>
            <w:r>
              <w:t xml:space="preserve">Documentar la población en la sección 11 y mantener la morbilidad como hipótesis</w:t>
            </w:r>
          </w:p>
        </w:tc>
        <w:tc>
          <w:tcPr>
            <w:tcW w:w="2074"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06" w:type="dxa"/>
            <w:shd w:val="clear" w:color="auto" w:fill="F7F7F7"/>
          </w:tcPr>
          <w:p>
            <w:pPr>
              <w:pStyle w:val="Tabla9"/>
              <w:keepNext/>
              <w:jc w:val="left"/>
            </w:pPr>
            <w:r>
              <w:t xml:space="preserve">Las clases pueden cambiar al ratificar las fichas</w:t>
            </w:r>
          </w:p>
        </w:tc>
        <w:tc>
          <w:tcPr>
            <w:tcW w:w="2820" w:type="dxa"/>
            <w:shd w:val="clear" w:color="auto" w:fill="F7F7F7"/>
          </w:tcPr>
          <w:p>
            <w:pPr>
              <w:pStyle w:val="Tabla9"/>
              <w:keepNext/>
              <w:jc w:val="left"/>
            </w:pPr>
            <w:r>
              <w:t xml:space="preserve">Recalcular cada trimestre las clases directa e indirecta con las fichas vigentes y registrar las variables que cambian</w:t>
            </w:r>
          </w:p>
        </w:tc>
        <w:tc>
          <w:tcPr>
            <w:tcW w:w="2074"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310"/>
    <w:bookmarkEnd w:id="311"/>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111" Type="http://schemas.openxmlformats.org/officeDocument/2006/relationships/image" Target="media/rId111.png"/><Relationship Id="rId123" Type="http://schemas.openxmlformats.org/officeDocument/2006/relationships/image" Target="media/rId123.png"/><Relationship Id="rId126" Type="http://schemas.openxmlformats.org/officeDocument/2006/relationships/image" Target="media/rId126.png"/><Relationship Id="rId131" Type="http://schemas.openxmlformats.org/officeDocument/2006/relationships/image" Target="media/rId131.png"/><Relationship Id="rId138" Type="http://schemas.openxmlformats.org/officeDocument/2006/relationships/image" Target="media/rId138.png"/><Relationship Id="rId134" Type="http://schemas.openxmlformats.org/officeDocument/2006/relationships/image" Target="media/rId134.png"/><Relationship Id="rId144" Type="http://schemas.openxmlformats.org/officeDocument/2006/relationships/image" Target="media/rId144.png"/><Relationship Id="rId147" Type="http://schemas.openxmlformats.org/officeDocument/2006/relationships/image" Target="media/rId147.png"/><Relationship Id="rId155" Type="http://schemas.openxmlformats.org/officeDocument/2006/relationships/image" Target="media/rId155.png"/><Relationship Id="rId160" Type="http://schemas.openxmlformats.org/officeDocument/2006/relationships/image" Target="media/rId160.png"/><Relationship Id="rId166" Type="http://schemas.openxmlformats.org/officeDocument/2006/relationships/image" Target="media/rId166.png"/><Relationship Id="rId175" Type="http://schemas.openxmlformats.org/officeDocument/2006/relationships/image" Target="media/rId175.png"/><Relationship Id="rId184" Type="http://schemas.openxmlformats.org/officeDocument/2006/relationships/image" Target="media/rId184.png"/><Relationship Id="rId191" Type="http://schemas.openxmlformats.org/officeDocument/2006/relationships/image" Target="media/rId191.png"/><Relationship Id="rId199" Type="http://schemas.openxmlformats.org/officeDocument/2006/relationships/image" Target="media/rId199.png"/><Relationship Id="rId35" Type="http://schemas.openxmlformats.org/officeDocument/2006/relationships/image" Target="media/rId35.png"/><Relationship Id="rId210" Type="http://schemas.openxmlformats.org/officeDocument/2006/relationships/image" Target="media/rId210.png"/><Relationship Id="rId214" Type="http://schemas.openxmlformats.org/officeDocument/2006/relationships/image" Target="media/rId214.png"/><Relationship Id="rId230" Type="http://schemas.openxmlformats.org/officeDocument/2006/relationships/image" Target="media/rId230.png"/><Relationship Id="rId241" Type="http://schemas.openxmlformats.org/officeDocument/2006/relationships/image" Target="media/rId241.png"/><Relationship Id="rId245" Type="http://schemas.openxmlformats.org/officeDocument/2006/relationships/image" Target="media/rId245.png"/><Relationship Id="rId43" Type="http://schemas.openxmlformats.org/officeDocument/2006/relationships/image" Target="media/rId43.png"/><Relationship Id="rId58" Type="http://schemas.openxmlformats.org/officeDocument/2006/relationships/image" Target="media/rId58.png"/><Relationship Id="rId62" Type="http://schemas.openxmlformats.org/officeDocument/2006/relationships/image" Target="media/rId62.png"/><Relationship Id="rId70" Type="http://schemas.openxmlformats.org/officeDocument/2006/relationships/image" Target="media/rId70.png"/><Relationship Id="rId73" Type="http://schemas.openxmlformats.org/officeDocument/2006/relationships/image" Target="media/rId73.png"/><Relationship Id="rId86" Type="http://schemas.openxmlformats.org/officeDocument/2006/relationships/image" Target="media/rId86.png"/><Relationship Id="rId99" Type="http://schemas.openxmlformats.org/officeDocument/2006/relationships/image" Target="media/rId99.png"/><Relationship Id="rId264" Type="http://schemas.openxmlformats.org/officeDocument/2006/relationships/image" Target="media/rId264.png"/><Relationship Id="rId268" Type="http://schemas.openxmlformats.org/officeDocument/2006/relationships/image" Target="media/rId268.png"/><Relationship Id="rId278" Type="http://schemas.openxmlformats.org/officeDocument/2006/relationships/image" Target="media/rId278.png"/><Relationship Id="rId272" Type="http://schemas.openxmlformats.org/officeDocument/2006/relationships/image" Target="media/rId272.png"/><Relationship Id="rId291" Type="http://schemas.openxmlformats.org/officeDocument/2006/relationships/image" Target="media/rId291.png"/><Relationship Id="rId299" Type="http://schemas.openxmlformats.org/officeDocument/2006/relationships/image" Target="media/rId299.png"/><Relationship Id="rId304" Type="http://schemas.openxmlformats.org/officeDocument/2006/relationships/image" Target="media/rId304.png"/><Relationship Id="rId24" Type="http://schemas.openxmlformats.org/officeDocument/2006/relationships/image" Target="media/rId24.png"/><Relationship Id="rId20" Type="http://schemas.openxmlformats.org/officeDocument/2006/relationships/image" Target="media/rId20.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2026-10-24T01:46:42Z</dcterms:created>
  <dcterms:modified xsi:type="dcterms:W3CDTF">2026-10-24T01:46:42Z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