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7a9b07381fc392cc6f4afaf3d34198b86334a1b"/>
    <w:p>
      <w:pPr>
        <w:pStyle w:val="Heading1"/>
      </w:pPr>
      <w:r>
        <w:t xml:space="preserve">Relación de cambios relevantes y vacíos — Anexo 2 y Anexo A, versión 6</w:t>
      </w:r>
    </w:p>
    <w:p>
      <w:pPr>
        <w:pStyle w:val="FirstParagraph"/>
      </w:pPr>
      <w:r>
        <w:rPr>
          <w:bCs/>
          <w:b/>
        </w:rPr>
        <w:t xml:space="preserve">Proyecto:</w:t>
      </w:r>
      <w:r>
        <w:t xml:space="preserve"> </w:t>
      </w:r>
      <w:r>
        <w:t xml:space="preserve">SIGP 143329, red IoT híbrida Edge-Cloud y gemelo digital para material particulado posterremoto (Manizales y Calarcá).</w:t>
      </w:r>
      <w:r>
        <w:t xml:space="preserve"> </w:t>
      </w:r>
      <w:r>
        <w:rPr>
          <w:bCs/>
          <w:b/>
        </w:rPr>
        <w:t xml:space="preserve">Base:</w:t>
      </w:r>
      <w:r>
        <w:t xml:space="preserve"> </w:t>
      </w:r>
      <w:r>
        <w:t xml:space="preserve">Anexo 3 v6 (97 partidas; SGR 13.999.405.215 COP; contrapartida 1.774.000.000 COP, de ella 150.000.000 COP en efectivo; total 15.773.405.215 COP).</w:t>
      </w:r>
      <w:r>
        <w:t xml:space="preserve"> </w:t>
      </w:r>
      <w:r>
        <w:rPr>
          <w:bCs/>
          <w:b/>
        </w:rPr>
        <w:t xml:space="preserve">Alcance de la revisión:</w:t>
      </w:r>
      <w:r>
        <w:t xml:space="preserve"> </w:t>
      </w:r>
      <w:r>
        <w:t xml:space="preserve">cohesión de párrafos (oraciones fragmentadas, relaciones explícitas, transiciones), sin cambiar cifras, fuentes, responsables, compromisos ni grado de certeza; actualización de contenido al Anexo 3 v6. La estructura y los títulos del formato se conservan.</w:t>
      </w:r>
    </w:p>
    <w:bookmarkStart w:id="20" w:name="cambios-de-contenido-anexo-3-v6"/>
    <w:p>
      <w:pPr>
        <w:pStyle w:val="Heading2"/>
      </w:pPr>
      <w:r>
        <w:t xml:space="preserve">1. Cambios de contenido (Anexo 3 v6)</w:t>
      </w:r>
    </w:p>
    <w:p>
      <w:pPr>
        <w:numPr>
          <w:ilvl w:val="0"/>
          <w:numId w:val="1001"/>
        </w:numPr>
        <w:pStyle w:val="Compact"/>
      </w:pPr>
      <w:r>
        <w:t xml:space="preserve">La alianza pasa de cuatro a cinco integrantes: Gestión y Medio Ambiente es la entidad aliada No. 4, del sector productivo, con 260.000.000 COP (110.000.000 en especie y 150.000.000 en efectivo). Se eliminaron todas las frases que decían que «no integra la alianza».</w:t>
      </w:r>
    </w:p>
    <w:p>
      <w:pPr>
        <w:numPr>
          <w:ilvl w:val="0"/>
          <w:numId w:val="1001"/>
        </w:numPr>
        <w:pStyle w:val="Compact"/>
      </w:pPr>
      <w:r>
        <w:t xml:space="preserve">Avanciencia ejecuta, por contrato con la universidad, la apropiación social del conocimiento (892.587.696 COP del SGR) y la transferencia. Las tablas 10.1 y 14.2, la estrategia ASC (sección 19), los productos 8 y 9, el resultado R5 y las responsabilidades de las actividades 3.1 a 3.5 se ajustaron en ese sentido.</w:t>
      </w:r>
    </w:p>
    <w:p>
      <w:pPr>
        <w:numPr>
          <w:ilvl w:val="0"/>
          <w:numId w:val="1001"/>
        </w:numPr>
        <w:pStyle w:val="Compact"/>
      </w:pPr>
      <w:r>
        <w:t xml:space="preserve">Criterio 7: el efectivo de 150.000.000 COP (1,07 % del valor solicitado) supera el 1 %; se registra como «cumple, sujeto a certificación».</w:t>
      </w:r>
    </w:p>
    <w:p>
      <w:pPr>
        <w:numPr>
          <w:ilvl w:val="0"/>
          <w:numId w:val="1001"/>
        </w:numPr>
        <w:pStyle w:val="Compact"/>
      </w:pPr>
      <w:r>
        <w:t xml:space="preserve">Valores por actividad: 1.1 = 1.293.994.984 COP SGR y 810.000.000 COP de contrapartida; 3.1 = 1.150.690.872 COP (incluye CA-05); 3.4 = 39.000.000 COP; 3.1 a 3.4 = 1.514.190.872 COP; 3.3 + 3.4 = 189.000.000 COP.</w:t>
      </w:r>
    </w:p>
    <w:p>
      <w:pPr>
        <w:numPr>
          <w:ilvl w:val="0"/>
          <w:numId w:val="1001"/>
        </w:numPr>
        <w:pStyle w:val="Compact"/>
      </w:pPr>
      <w:r>
        <w:t xml:space="preserve">PD-02 (asesoría jurídica, 107.100.000 COP) pasa a la actividad 1.1, meses 2 a 4.</w:t>
      </w:r>
    </w:p>
    <w:p>
      <w:pPr>
        <w:numPr>
          <w:ilvl w:val="0"/>
          <w:numId w:val="1001"/>
        </w:numPr>
        <w:pStyle w:val="Compact"/>
      </w:pPr>
      <w:r>
        <w:t xml:space="preserve">Viajes: VI-01 = 60 trayectos, VI-02 = 465 días-persona y VI-03 = 195 días; CA-05 = 15 misiones. Los certificados de precios de Manizales y de Calarcá recogen estas cantidades.</w:t>
      </w:r>
    </w:p>
    <w:p>
      <w:pPr>
        <w:numPr>
          <w:ilvl w:val="0"/>
          <w:numId w:val="1001"/>
        </w:numPr>
        <w:pStyle w:val="Compact"/>
      </w:pPr>
      <w:r>
        <w:t xml:space="preserve">Ética: el proyecto requiere aval del comité de ética, porque trata datos personales de participantes en talleres, jornadas y encuestas (secciones 25, 27 y 30).</w:t>
      </w:r>
    </w:p>
    <w:p>
      <w:pPr>
        <w:numPr>
          <w:ilvl w:val="0"/>
          <w:numId w:val="1001"/>
        </w:numPr>
        <w:pStyle w:val="Compact"/>
      </w:pPr>
      <w:r>
        <w:t xml:space="preserve">Coherencia interna: la sección 13 decía «cada departamento cuenta con un monitor gravimétrico»; se corrigió al conjunto de referencia rotativo vigente.</w:t>
      </w:r>
    </w:p>
    <w:bookmarkEnd w:id="20"/>
    <w:bookmarkStart w:id="21" w:name="vacíos-y-cómo-quedaron-cerrados"/>
    <w:p>
      <w:pPr>
        <w:pStyle w:val="Heading2"/>
      </w:pPr>
      <w:r>
        <w:t xml:space="preserve">2. Vacíos y cómo quedaron cerrados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 tomada y dónde quedó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PD-02 se paga en los meses 2 a 4, pero el Plan de transferencia programaba asesoría hasta el mes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150 horas se ejecutan en los meses 2 a 4 (actividad 1.1) y producen el informe de libertad de operación (60 h), el borrador del acuerdo marco (40 h), las minutas tipo de convenio y licencia (30 h) y la matriz de vencimientos (20 h). La firma del acuerdo, la negociación de convenios y las actualizaciones de los meses 12, 17 y 23 las ejecutan el profesional de convenios (TH-16) y el equipo de transferencia de Avanciencia en especie (TH-22), sin costo adicional. Tabla 18.5 y nota; matriz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Cerrado; no requiere ajustar el Anexo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VI-05 figura en 2.3 y cubre los tramos 2 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aplica la regla del cronograma financiero: cada partida completa en su actividad principal; el texto lo explica con este caso. Sección 15; matriz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TH-16 no está en los 892.587.696 COP de ASC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Avanciencia ejecuta 1.347.060.791 COP del SGR = 892.587.696 de ASC + 454.473.095 de transferencia (TH-16, CA-01, PD-02, PD-04 y PD-06); la suma cuadra con el Anexo 3 v6. Secciones 18 y 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Conteo de vinculaciones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Recalculado con las cantidades de persona-mes: 32 personas (23 profesionales y técnicos, 9 en formación); 28 las vincula la universidad y 4 Avanciencia. Sección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Cerrado; el total no cambia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e interés de Gestión y Medio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Justificados en la nota de la tabla 10.4 (poder 4: su efectivo condiciona dos puntos, pero no decide compuertas ni custodia; interés 7: recibe el desempeño de sus equipos) y validación en el primer taller de la actividad 3.1, como los demás valores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del plan de sostenibilidad por Gestión y Medio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firman la universidad y los dos municipios, que operan componentes; Avanciencia y Gestión y Medio Ambiente no operan componentes después del cierre y no lo suscriben. Sección 16.3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Ventana de compra del laboratorio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Confirmada con el cronograma: los equipos se compran en los meses 7 a 11 (actividad 2.6) para dejar la cadena montada y probada antes de las campañas del mes 14, cuyos tres primeros eventos hacen la primera calibración (actividades 2.7 y 1.7). Sección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Certificados de existencia, NIT, aspa y año de constitución de Avanciencia y de Gestión y Medio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documento que solo cada entidad expide. Queda como acción con responsable y fecha límite (domingo 1 de noviembre, 6:00 p. m.) en la tabla de decisiones del soporte inicial y en el correo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externa con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Certificación del efectivo de Gestión y Medio Ambiente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entregan dos modelos de certificación de contrapartida listos para firmar (Gestión y Medio Ambiente: 110.000.000 en especie y 150.000.000 en efectivo; Avanciencia: 150.000.000 en especie), con código, actividad y momento del aporte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listo; falta la 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Bucle confianza → uso → recursos sin 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tramo quedó respaldado: confianza en la utilidad → uso (Venkatesh et al., 2003); efectividad percibida y compromiso de los usuarios → financiación continuada (Shediac-Rizkallah y Bone, 1998). Su ocurrencia local sigue siendo inferencia, que la compuerta C1 contrasta. Sección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Cerrado</w:t>
            </w:r>
          </w:p>
        </w:tc>
      </w:tr>
    </w:tbl>
    <w:bookmarkEnd w:id="21"/>
    <w:bookmarkStart w:id="22" w:name="registro-por-sección"/>
    <w:p>
      <w:pPr>
        <w:pStyle w:val="Heading2"/>
      </w:pPr>
      <w:r>
        <w:t xml:space="preserve">3. Registro por sección</w:t>
      </w:r>
    </w:p>
    <w:bookmarkEnd w:id="22"/>
    <w:bookmarkStart w:id="23" w:name="sección-1"/>
    <w:p>
      <w:pPr>
        <w:pStyle w:val="Heading2"/>
      </w:pPr>
      <w:r>
        <w:t xml:space="preserve">Sección 1</w:t>
      </w:r>
    </w:p>
    <w:p>
      <w:pPr>
        <w:numPr>
          <w:ilvl w:val="0"/>
          <w:numId w:val="1002"/>
        </w:numPr>
        <w:pStyle w:val="Compact"/>
      </w:pPr>
      <w:r>
        <w:t xml:space="preserve">Cohesión: se integraron en una oración la definición del nombre (proceso, objeto y localización); las funciones de cada municipio; el vínculo entre la brecha y la demanda; y las contribuciones del grupo por línea de trabajo.</w:t>
      </w:r>
    </w:p>
    <w:p>
      <w:pPr>
        <w:numPr>
          <w:ilvl w:val="0"/>
          <w:numId w:val="1002"/>
        </w:numPr>
        <w:pStyle w:val="Compact"/>
      </w:pPr>
      <w:r>
        <w:t xml:space="preserve">Contenido v6: la alianza pasa a cinco integrantes; Gestión y Medio Ambiente se registra como entidad aliada No. 4 (sector productivo) y Avanciencia como ejecutora de la apropiación social y de la transferencia, contratada por la universidad.</w:t>
      </w:r>
    </w:p>
    <w:p>
      <w:pPr>
        <w:numPr>
          <w:ilvl w:val="0"/>
          <w:numId w:val="1002"/>
        </w:numPr>
        <w:pStyle w:val="Compact"/>
      </w:pPr>
      <w:r>
        <w:t xml:space="preserve">Vacío: la categoría («aspa») de Avanciencia y de Gestión y Medio Ambiente depende de su certificado de existencia.</w:t>
      </w:r>
    </w:p>
    <w:bookmarkEnd w:id="23"/>
    <w:bookmarkStart w:id="24" w:name="sección-2"/>
    <w:p>
      <w:pPr>
        <w:pStyle w:val="Heading2"/>
      </w:pPr>
      <w:r>
        <w:t xml:space="preserve">Sección 2</w:t>
      </w:r>
    </w:p>
    <w:p>
      <w:pPr>
        <w:numPr>
          <w:ilvl w:val="0"/>
          <w:numId w:val="1003"/>
        </w:numPr>
        <w:pStyle w:val="Compact"/>
      </w:pPr>
      <w:r>
        <w:t xml:space="preserve">Cohesión: el resumen integra en oraciones completas la cadena problema → brecha (antes en siete oraciones aisladas), el funcionamiento nodo-gateway-corrección y la verificación de cada compuerta.</w:t>
      </w:r>
    </w:p>
    <w:p>
      <w:pPr>
        <w:numPr>
          <w:ilvl w:val="0"/>
          <w:numId w:val="1003"/>
        </w:numPr>
        <w:pStyle w:val="Compact"/>
      </w:pPr>
      <w:r>
        <w:t xml:space="preserve">Contenido v6: cinco integrantes; contrapartida con 150.000.000 COP en efectivo.</w:t>
      </w:r>
    </w:p>
    <w:bookmarkEnd w:id="24"/>
    <w:bookmarkStart w:id="25" w:name="sección-4"/>
    <w:p>
      <w:pPr>
        <w:pStyle w:val="Heading2"/>
      </w:pPr>
      <w:r>
        <w:t xml:space="preserve">Sección 4</w:t>
      </w:r>
    </w:p>
    <w:p>
      <w:pPr>
        <w:numPr>
          <w:ilvl w:val="0"/>
          <w:numId w:val="1004"/>
        </w:numPr>
        <w:pStyle w:val="Compact"/>
      </w:pPr>
      <w:r>
        <w:t xml:space="preserve">Cohesión: se unieron la declaratoria y su modificación; la cadena remoción → resuspensión → exposición; la brecha con su causa (ausencia de referencia) y sus agravantes; las cuatro capacidades de la demanda; las reglas de lugares de ejecución con su consecuencia.</w:t>
      </w:r>
    </w:p>
    <w:p>
      <w:pPr>
        <w:numPr>
          <w:ilvl w:val="0"/>
          <w:numId w:val="1004"/>
        </w:numPr>
        <w:pStyle w:val="Compact"/>
      </w:pPr>
      <w:r>
        <w:t xml:space="preserve">Corrección: el párrafo inicial de 4.1 anunciaba «cuatro pasos» y enumeraba tres; ahora enumera los cuatro (afectación, brecha, relación y evidencias).</w:t>
      </w:r>
    </w:p>
    <w:p>
      <w:pPr>
        <w:numPr>
          <w:ilvl w:val="0"/>
          <w:numId w:val="1004"/>
        </w:numPr>
        <w:pStyle w:val="Compact"/>
      </w:pPr>
      <w:r>
        <w:t xml:space="preserve">Grado de certeza: «causalidad temporal» se precisó como «secuencia temporal», porque el texto describe un orden de ocurrencia y no prueba una causalidad.</w:t>
      </w:r>
    </w:p>
    <w:bookmarkEnd w:id="25"/>
    <w:bookmarkStart w:id="26" w:name="sección-5"/>
    <w:p>
      <w:pPr>
        <w:pStyle w:val="Heading2"/>
      </w:pPr>
      <w:r>
        <w:t xml:space="preserve">Sección 5</w:t>
      </w:r>
    </w:p>
    <w:p>
      <w:pPr>
        <w:numPr>
          <w:ilvl w:val="0"/>
          <w:numId w:val="1005"/>
        </w:numPr>
        <w:pStyle w:val="Compact"/>
      </w:pPr>
      <w:r>
        <w:t xml:space="preserve">Cohesión: se agruparon las definiciones (PM2,5, PM10, consejo, error conocido); cada causa del árbol se presenta con su evidencia, su límite y la explicación rival en una secuencia continua; la evolución de la situación se ordena por planos y años; los resultados verificables se enumeran en una sola oración paralela.</w:t>
      </w:r>
    </w:p>
    <w:p>
      <w:pPr>
        <w:numPr>
          <w:ilvl w:val="0"/>
          <w:numId w:val="1005"/>
        </w:numPr>
        <w:pStyle w:val="Compact"/>
      </w:pPr>
      <w:r>
        <w:t xml:space="preserve">Relación explicitada: «el volumen aumenta y la verificación no crece al mismo ritmo» se presenta como conclusión del TRL medio sin tendencia (antes estaba como oración suelta).</w:t>
      </w:r>
    </w:p>
    <w:p>
      <w:pPr>
        <w:numPr>
          <w:ilvl w:val="0"/>
          <w:numId w:val="1005"/>
        </w:numPr>
        <w:pStyle w:val="Compact"/>
      </w:pPr>
      <w:r>
        <w:t xml:space="preserve">Grado de certeza conservado: inferido, supuesto y documentado se mantienen en cada afirmación; no se agregaron causas.</w:t>
      </w:r>
    </w:p>
    <w:p>
      <w:pPr>
        <w:numPr>
          <w:ilvl w:val="0"/>
          <w:numId w:val="1005"/>
        </w:numPr>
        <w:pStyle w:val="Compact"/>
      </w:pPr>
      <w:r>
        <w:t xml:space="preserve">Vacío para revisión: el bucle confianza → uso → recursos es una inferencia sin fuente; se conserva marcado como inferido.</w:t>
      </w:r>
    </w:p>
    <w:bookmarkEnd w:id="26"/>
    <w:bookmarkStart w:id="27" w:name="sección-6"/>
    <w:p>
      <w:pPr>
        <w:pStyle w:val="Heading2"/>
      </w:pPr>
      <w:r>
        <w:t xml:space="preserve">Sección 6</w:t>
      </w:r>
    </w:p>
    <w:p>
      <w:pPr>
        <w:numPr>
          <w:ilvl w:val="0"/>
          <w:numId w:val="1006"/>
        </w:numPr>
        <w:pStyle w:val="Compact"/>
      </w:pPr>
      <w:r>
        <w:t xml:space="preserve">Cohesión: las enumeraciones partidas con «Son…/Son también…» se integran en una sola enumeración; las cifras de cada antecedente (Brasil, mina, SIATA, red nacional) se agrupan con su fuente; las conclusiones («por eso», «de modo que») se ligan a la evidencia que las sostiene.</w:t>
      </w:r>
    </w:p>
    <w:p>
      <w:pPr>
        <w:numPr>
          <w:ilvl w:val="0"/>
          <w:numId w:val="1006"/>
        </w:numPr>
        <w:pStyle w:val="Compact"/>
      </w:pPr>
      <w:r>
        <w:t xml:space="preserve">Cambio de contenido (Anexo 3 v6): Gestión y Medio Ambiente pasa de «actor técnico» a aliado del sector productivo de la alianza.</w:t>
      </w:r>
    </w:p>
    <w:p>
      <w:pPr>
        <w:numPr>
          <w:ilvl w:val="0"/>
          <w:numId w:val="1006"/>
        </w:numPr>
        <w:pStyle w:val="Compact"/>
      </w:pPr>
      <w:r>
        <w:t xml:space="preserve">Grado de certeza conservado: «según una inferencia del proyecto», «lectura del corpus», «no se contrastaron con la fuente primaria».</w:t>
      </w:r>
    </w:p>
    <w:bookmarkEnd w:id="27"/>
    <w:bookmarkStart w:id="28" w:name="sección-7"/>
    <w:p>
      <w:pPr>
        <w:pStyle w:val="Heading2"/>
      </w:pPr>
      <w:r>
        <w:t xml:space="preserve">Sección 7</w:t>
      </w:r>
    </w:p>
    <w:p>
      <w:pPr>
        <w:numPr>
          <w:ilvl w:val="0"/>
          <w:numId w:val="1007"/>
        </w:numPr>
        <w:pStyle w:val="Compact"/>
      </w:pPr>
      <w:r>
        <w:t xml:space="preserve">Cohesión: la necesidad (decisiones → mediciones sin error conocido) se presenta como una cadena; las funciones del conjunto de referencia se asignan a cada equipo en una sola enumeración; la secuencia de compra se liga a su condición (compuerta) y a su finalidad (calibrar el gemelo antes de las campañas).</w:t>
      </w:r>
    </w:p>
    <w:p>
      <w:pPr>
        <w:numPr>
          <w:ilvl w:val="0"/>
          <w:numId w:val="1007"/>
        </w:numPr>
        <w:pStyle w:val="Compact"/>
      </w:pPr>
      <w:r>
        <w:t xml:space="preserve">Cambio de contenido (v6): «Cuatro entidades» → «Cinco entidades», con la contrapartida en efectivo.</w:t>
      </w:r>
    </w:p>
    <w:p>
      <w:pPr>
        <w:numPr>
          <w:ilvl w:val="0"/>
          <w:numId w:val="1007"/>
        </w:numPr>
        <w:pStyle w:val="Compact"/>
      </w:pPr>
      <w:r>
        <w:t xml:space="preserve">Vacío para revisión: «el gemelo debe calibrarse antes de las campañas» se presentaba como oración aislada; se interpretó como la razón de la ventana de compra (meses 7 a 11). Confirmar que esa es la relación pretendida.</w:t>
      </w:r>
    </w:p>
    <w:bookmarkEnd w:id="28"/>
    <w:bookmarkStart w:id="29" w:name="secciones-8-y-9"/>
    <w:p>
      <w:pPr>
        <w:pStyle w:val="Heading2"/>
      </w:pPr>
      <w:r>
        <w:t xml:space="preserve">Secciones 8 y 9</w:t>
      </w:r>
    </w:p>
    <w:p>
      <w:pPr>
        <w:numPr>
          <w:ilvl w:val="0"/>
          <w:numId w:val="1008"/>
        </w:numPr>
        <w:pStyle w:val="Compact"/>
      </w:pPr>
      <w:r>
        <w:t xml:space="preserve">Cohesión: las listas de preguntas de diseño, de acepciones del gemelo digital y de alternativas se presentan como enumeraciones paralelas en lugar de oraciones sueltas; cada posición teórica se contrasta con la siguiente con conectores de contraste; las decisiones del proyecto se ligan a su razón («por esas dos razones», «como el proyecto no dispone de series…»).</w:t>
      </w:r>
    </w:p>
    <w:p>
      <w:pPr>
        <w:numPr>
          <w:ilvl w:val="0"/>
          <w:numId w:val="1008"/>
        </w:numPr>
        <w:pStyle w:val="Compact"/>
      </w:pPr>
      <w:r>
        <w:t xml:space="preserve">Sección 9: la frase «Con la posición estricta, el proyecto no cumpliría el acoplamiento bidireccional. Con la amplia, sí lo cumpliría» se condensó en «cumple la posición amplia y no el acoplamiento bidireccional de la estricta», sin cambiar la afirmación.</w:t>
      </w:r>
    </w:p>
    <w:p>
      <w:pPr>
        <w:numPr>
          <w:ilvl w:val="0"/>
          <w:numId w:val="1008"/>
        </w:numPr>
        <w:pStyle w:val="Compact"/>
      </w:pPr>
      <w:r>
        <w:t xml:space="preserve">Sin cambios de contenido por la v6.</w:t>
      </w:r>
    </w:p>
    <w:bookmarkEnd w:id="29"/>
    <w:bookmarkStart w:id="30" w:name="sección-10"/>
    <w:p>
      <w:pPr>
        <w:pStyle w:val="Heading2"/>
      </w:pPr>
      <w:r>
        <w:t xml:space="preserve">Sección 10</w:t>
      </w:r>
    </w:p>
    <w:p>
      <w:pPr>
        <w:numPr>
          <w:ilvl w:val="0"/>
          <w:numId w:val="1009"/>
        </w:numPr>
        <w:pStyle w:val="Compact"/>
      </w:pPr>
      <w:r>
        <w:t xml:space="preserve">Cambio de contenido (Anexo 3 v6): la alianza pasa a cinco integrantes; Gestión y Medio Ambiente se incorpora como aliado del sector productivo (260.000.000 COP: 110.000.000 en especie y 150.000.000 en efectivo) con fila propia en la tabla 10.2; Avanciencia ejecuta, por contrato con la universidad, la apropiación social y la transferencia (actividades 1.1 y 3.1 a 3.5); la contrapartida deja de ser «toda en especie»; el equipo de apropiación y convenios se vincula a Avanciencia; en la matriz de poder e interés, Gestión y Medio Ambiente pasa a externo primario (4; 7), sin cambio de cuadrante.</w:t>
      </w:r>
    </w:p>
    <w:p>
      <w:pPr>
        <w:numPr>
          <w:ilvl w:val="0"/>
          <w:numId w:val="1009"/>
        </w:numPr>
        <w:pStyle w:val="Compact"/>
      </w:pPr>
      <w:r>
        <w:t xml:space="preserve">Cohesión: definiciones de poder, legitimidad y urgencia en una sola enumeración; cuadrantes enumerados con su criterio; perjudicados presentados como «primer grupo / segundo grupo» con su mecanismo de mitigación.</w:t>
      </w:r>
    </w:p>
    <w:p>
      <w:pPr>
        <w:numPr>
          <w:ilvl w:val="0"/>
          <w:numId w:val="1009"/>
        </w:numPr>
        <w:pStyle w:val="Compact"/>
      </w:pPr>
      <w:r>
        <w:t xml:space="preserve">Vacío para revisión: el valor de poder (4) e interés (7) de Gestión y Medio Ambiente es una inferencia nueva del equipo formulador; validar con la alianza.</w:t>
      </w:r>
    </w:p>
    <w:bookmarkEnd w:id="30"/>
    <w:bookmarkStart w:id="31" w:name="sección-11"/>
    <w:p>
      <w:pPr>
        <w:pStyle w:val="Heading2"/>
      </w:pPr>
      <w:r>
        <w:t xml:space="preserve">Sección 11</w:t>
      </w:r>
    </w:p>
    <w:p>
      <w:pPr>
        <w:numPr>
          <w:ilvl w:val="0"/>
          <w:numId w:val="1010"/>
        </w:numPr>
        <w:pStyle w:val="Compact"/>
      </w:pPr>
      <w:r>
        <w:t xml:space="preserve">Cambio de contenido (Anexo 3 v6): valores de las actividades 1.1 (SGR 1.293.994.984; contrapartida 810.000.000), 3.1 (1.150.690.872) y 3.4 (39.000.000); suma de 3.1 a 3.4: 1.514.190.872 COP. Responsables de las medidas diferenciales de apropiación: equipo de Avanciencia.</w:t>
      </w:r>
    </w:p>
    <w:p>
      <w:pPr>
        <w:numPr>
          <w:ilvl w:val="0"/>
          <w:numId w:val="1010"/>
        </w:numPr>
        <w:pStyle w:val="Compact"/>
      </w:pPr>
      <w:r>
        <w:t xml:space="preserve">Cohesión: los cinco criterios territoriales y las tres reglas de selección de personas se presentan como enumeraciones paralelas con su justificación; la relación entre población, concentración y carga de enfermedad se encadena como argumento.</w:t>
      </w:r>
    </w:p>
    <w:p>
      <w:pPr>
        <w:numPr>
          <w:ilvl w:val="0"/>
          <w:numId w:val="1010"/>
        </w:numPr>
        <w:pStyle w:val="Compact"/>
      </w:pPr>
      <w:r>
        <w:t xml:space="preserve">Vacío para revisión: el número de vinculaciones con recursos del SGR (32) no se recalculó con la v6; Avanciencia ejecuta tres perfiles (TH-07, TH-13 y TH-16) y conviene confirmar si sus personas cuentan dentro de las 32.</w:t>
      </w:r>
    </w:p>
    <w:bookmarkEnd w:id="31"/>
    <w:bookmarkStart w:id="32" w:name="secciones-12-y-13"/>
    <w:p>
      <w:pPr>
        <w:pStyle w:val="Heading2"/>
      </w:pPr>
      <w:r>
        <w:t xml:space="preserve">Secciones 12 y 13</w:t>
      </w:r>
    </w:p>
    <w:p>
      <w:pPr>
        <w:numPr>
          <w:ilvl w:val="0"/>
          <w:numId w:val="1011"/>
        </w:numPr>
        <w:pStyle w:val="Compact"/>
      </w:pPr>
      <w:r>
        <w:t xml:space="preserve">Cohesión: las seis partes del enunciado del objetivo general, los cuatro niveles de la ruta TRL y las decisiones técnicas se presentan como enumeraciones paralelas; cada objetivo específico liga la evidencia citada con la decisión que de ella se deriva.</w:t>
      </w:r>
    </w:p>
    <w:p>
      <w:pPr>
        <w:numPr>
          <w:ilvl w:val="0"/>
          <w:numId w:val="1011"/>
        </w:numPr>
        <w:pStyle w:val="Compact"/>
      </w:pPr>
      <w:r>
        <w:t xml:space="preserve">Corrección de coherencia (sección 13): «Cada departamento cuenta con un monitor gravimétrico de referencia» contradecía el diseño vigente; se sustituyó por el conjunto de referencia gravimétrico, beta y óptico que rota entre los dos municipios (secciones 1, 5 y 7).</w:t>
      </w:r>
    </w:p>
    <w:bookmarkEnd w:id="32"/>
    <w:bookmarkStart w:id="33" w:name="sección-14"/>
    <w:p>
      <w:pPr>
        <w:pStyle w:val="Heading2"/>
      </w:pPr>
      <w:r>
        <w:t xml:space="preserve">Sección 14</w:t>
      </w:r>
    </w:p>
    <w:p>
      <w:pPr>
        <w:numPr>
          <w:ilvl w:val="0"/>
          <w:numId w:val="1012"/>
        </w:numPr>
        <w:pStyle w:val="Compact"/>
      </w:pPr>
      <w:r>
        <w:t xml:space="preserve">Cambio de contenido (Anexo 3 v6): cinco integrantes; Avanciencia ejecuta la apropiación social y la transferencia (responsable de 3.1 y 3.3; organiza jornadas, cartillas y publicaciones en 3.2; lidera valoración y propiedad intelectual en 3.4; registra software y datos del modelo en 3.5; asesoría de libertad de operación en 1.1, adonde pasa la partida PD-02); Gestión y Medio Ambiente participa en 1.1, 1.3 y 1.6 (equipos y apoyo técnico en Manizales) y financia en efectivo la logística de 2.3 y 2.4.</w:t>
      </w:r>
    </w:p>
    <w:p>
      <w:pPr>
        <w:numPr>
          <w:ilvl w:val="0"/>
          <w:numId w:val="1012"/>
        </w:numPr>
        <w:pStyle w:val="Compact"/>
      </w:pPr>
      <w:r>
        <w:t xml:space="preserve">Cohesión: en cada actividad se integran duración, holgura, condición de inicio (compuerta) y producto en una secuencia continua; las enumeraciones de fases, técnicas, condiciones y módulos se presentan con paralelismo; las justificaciones metodológicas se ligan a la decisión que sustentan.</w:t>
      </w:r>
    </w:p>
    <w:p>
      <w:pPr>
        <w:numPr>
          <w:ilvl w:val="0"/>
          <w:numId w:val="1012"/>
        </w:numPr>
        <w:pStyle w:val="Compact"/>
      </w:pPr>
      <w:r>
        <w:t xml:space="preserve">Vacío para revisión: el Anexo 3 v6 asigna VI-05 (efectivo de Gestión y Medio Ambiente) a la actividad 2.3, mientras que su descripción cubre «tramos 2 y 3»; el texto conserva la participación en 2.4. Confirmar si la contrapartida debe distribuirse entre 2.3 y 2.4 en el cronograma financiero.</w:t>
      </w:r>
    </w:p>
    <w:bookmarkEnd w:id="33"/>
    <w:bookmarkStart w:id="34" w:name="secciones-15-y-16"/>
    <w:p>
      <w:pPr>
        <w:pStyle w:val="Heading2"/>
      </w:pPr>
      <w:r>
        <w:t xml:space="preserve">Secciones 15 y 16</w:t>
      </w:r>
    </w:p>
    <w:p>
      <w:pPr>
        <w:numPr>
          <w:ilvl w:val="0"/>
          <w:numId w:val="1013"/>
        </w:numPr>
        <w:pStyle w:val="Compact"/>
      </w:pPr>
      <w:r>
        <w:t xml:space="preserve">Cambio de contenido (Anexo 3 v6): contrapartida de Gestión y Medio Ambiente registrada en 1.1 (especie) y 2.3 (efectivo); actividades 3.3 y 3.4 suman 189.000.000 COP del SGR (antes 296.100.000); actividad 3.4 = 39.000.000 COP en la tabla de custodia; comité directivo de cinco integrantes; fila de Gestión y Medio Ambiente como aliado con compromiso verificable (contrapartida certificada); Avanciencia ejecuta la apropiación y la formación de custodios (actividades 3.1 a 3.5).</w:t>
      </w:r>
    </w:p>
    <w:p>
      <w:pPr>
        <w:numPr>
          <w:ilvl w:val="0"/>
          <w:numId w:val="1013"/>
        </w:numPr>
        <w:pStyle w:val="Compact"/>
      </w:pPr>
      <w:r>
        <w:t xml:space="preserve">Cohesión: las capacidades, los componentes y las decisiones de diseño se presentan como enumeraciones; las conclusiones sobre lo no calculable se ligan a la causa (datos no declarados).</w:t>
      </w:r>
    </w:p>
    <w:p>
      <w:pPr>
        <w:numPr>
          <w:ilvl w:val="0"/>
          <w:numId w:val="1013"/>
        </w:numPr>
        <w:pStyle w:val="Compact"/>
      </w:pPr>
      <w:r>
        <w:t xml:space="preserve">Precisión: «El proyecto no los compromete como objetivo» (ODS 3 y 13) tenía un referente ambiguo; se explicitó «estas dos contribuciones indirectas».</w:t>
      </w:r>
    </w:p>
    <w:p>
      <w:pPr>
        <w:numPr>
          <w:ilvl w:val="0"/>
          <w:numId w:val="1013"/>
        </w:numPr>
        <w:pStyle w:val="Compact"/>
      </w:pPr>
      <w:r>
        <w:t xml:space="preserve">Vacío para revisión: el plan de sostenibilidad firmado puede requerir la firma de Gestión y Medio Ambiente solo si opera un componente; la formulación no le asigna custodia.</w:t>
      </w:r>
    </w:p>
    <w:bookmarkEnd w:id="34"/>
    <w:bookmarkStart w:id="35" w:name="sección-17"/>
    <w:p>
      <w:pPr>
        <w:pStyle w:val="Heading2"/>
      </w:pPr>
      <w:r>
        <w:t xml:space="preserve">Sección 17</w:t>
      </w:r>
    </w:p>
    <w:p>
      <w:pPr>
        <w:numPr>
          <w:ilvl w:val="0"/>
          <w:numId w:val="1014"/>
        </w:numPr>
        <w:pStyle w:val="Compact"/>
      </w:pPr>
      <w:r>
        <w:t xml:space="preserve">Cambio de contenido (Anexo 3 v6): R5 lo lidera Avanciencia (formación de custodios y convenios); R1 incorpora a Gestión y Medio Ambiente en la colocalización y la verificación en Manizales; el párrafo de beneficios por integrante incluye a Gestión y Medio Ambiente y la experiencia de Avanciencia en apropiación.</w:t>
      </w:r>
    </w:p>
    <w:p>
      <w:pPr>
        <w:numPr>
          <w:ilvl w:val="0"/>
          <w:numId w:val="1014"/>
        </w:numPr>
        <w:pStyle w:val="Compact"/>
      </w:pPr>
      <w:r>
        <w:t xml:space="preserve">Cohesión: la cadena emergencia → brecha → productos → resultados → impactos se presenta como secuencia; las decisiones de medición y los plazos se enumeran con su razón.</w:t>
      </w:r>
    </w:p>
    <w:p>
      <w:pPr>
        <w:numPr>
          <w:ilvl w:val="0"/>
          <w:numId w:val="1014"/>
        </w:numPr>
        <w:pStyle w:val="Compact"/>
      </w:pPr>
      <w:r>
        <w:t xml:space="preserve">Precisión: «R6 y R7 parten de cero por la misma razón» (la red no existe) se ajustó a «porque la red y el laboratorio no existen», ya que R6 y R7 dependen del laboratorio.</w:t>
      </w:r>
    </w:p>
    <w:bookmarkEnd w:id="35"/>
    <w:bookmarkStart w:id="36" w:name="sección-18"/>
    <w:p>
      <w:pPr>
        <w:pStyle w:val="Heading2"/>
      </w:pPr>
      <w:r>
        <w:t xml:space="preserve">Sección 18</w:t>
      </w:r>
    </w:p>
    <w:p>
      <w:pPr>
        <w:numPr>
          <w:ilvl w:val="0"/>
          <w:numId w:val="1015"/>
        </w:numPr>
        <w:pStyle w:val="Compact"/>
      </w:pPr>
      <w:r>
        <w:t xml:space="preserve">Cambio de contenido (Anexo 3 v6): comité directivo y acuerdo marco de cinco integrantes; Avanciencia ejecuta por contrato con la universidad la asesoría jurídica, los convenios, los registros ante la DNDA y la formación de custodios (responsable en la tabla 18.5); la consulta de libertad de operación se ubica en la actividad 1.1, meses 2 a 4; Gestión y Medio Ambiente aparece en la gobernanza sin funciones de transferencia.</w:t>
      </w:r>
    </w:p>
    <w:p>
      <w:pPr>
        <w:numPr>
          <w:ilvl w:val="0"/>
          <w:numId w:val="1015"/>
        </w:numPr>
        <w:pStyle w:val="Compact"/>
      </w:pPr>
      <w:r>
        <w:t xml:space="preserve">Cohesión: la lista de siete contenidos del Plan y la de actividades presupuestadas se integran como enumeraciones; las barreras, las condiciones de entrega y la cláusula de apertura se encadenan con su consecuencia.</w:t>
      </w:r>
    </w:p>
    <w:p>
      <w:pPr>
        <w:numPr>
          <w:ilvl w:val="0"/>
          <w:numId w:val="1015"/>
        </w:numPr>
        <w:pStyle w:val="Compact"/>
      </w:pPr>
      <w:r>
        <w:t xml:space="preserve">Vacío para revisión: el Anexo 3 v6 programa toda la partida PD-02 (107.100.000 COP) en la actividad 1.1 con pagos en los meses 2 a 4, pero la tabla 18.5 conserva servicios de asesoría posteriores (acuerdo marco, meses 3 a 6; convenios, meses 10 a 20; actualizaciones, meses 12 a 23). Debe decidirse si el contrato se paga por anticipado con entregas posteriores o si el perfil de pagos del Anexo 3 debe extenderse.</w:t>
      </w:r>
    </w:p>
    <w:bookmarkEnd w:id="36"/>
    <w:bookmarkStart w:id="37" w:name="sección-19"/>
    <w:p>
      <w:pPr>
        <w:pStyle w:val="Heading2"/>
      </w:pPr>
      <w:r>
        <w:t xml:space="preserve">Sección 19</w:t>
      </w:r>
    </w:p>
    <w:p>
      <w:pPr>
        <w:numPr>
          <w:ilvl w:val="0"/>
          <w:numId w:val="1016"/>
        </w:numPr>
        <w:pStyle w:val="Compact"/>
      </w:pPr>
      <w:r>
        <w:t xml:space="preserve">Cambio de contenido (Anexo 3 v6): Avanciencia ejecuta la ASC por contrato con la universidad (892.587.696 COP del SGR: TH-07, TH-13, MA-04, CA-02, CA-03, CA-05, PD-01, PD-05 y VI-04) y coordina la estrategia; la universidad aporta los coinvestigadores, valida el sentido técnico y custodia el repositorio de forma permanente; Gestión y Medio Ambiente figura como aliado. Valores: actividad 3.1 = 1.150.690.872 COP (incluye CA-05, desplazamientos del equipo de Avanciencia, 116.968.410 COP); 3.4 = 39.000.000 COP; total 3.1 a 3.4 = 1.514.190.872 COP; líneas del Plan de transferencia en 3.3 y 3.4 = 165.000.000 COP; líneas directas de apropiación = 375.468.410 COP.</w:t>
      </w:r>
    </w:p>
    <w:p>
      <w:pPr>
        <w:numPr>
          <w:ilvl w:val="0"/>
          <w:numId w:val="1016"/>
        </w:numPr>
        <w:pStyle w:val="Compact"/>
      </w:pPr>
      <w:r>
        <w:t xml:space="preserve">Cohesión: rasgos del contexto, mecanismos, productos co-creados, evidencias y tramos se presentan como enumeraciones con su consecuencia de diseño.</w:t>
      </w:r>
    </w:p>
    <w:p>
      <w:pPr>
        <w:numPr>
          <w:ilvl w:val="0"/>
          <w:numId w:val="1016"/>
        </w:numPr>
        <w:pStyle w:val="Compact"/>
      </w:pPr>
      <w:r>
        <w:t xml:space="preserve">Vacío para revisión: el equipo de apropiación de 517.119.286 COP se atribuye a Avanciencia; el «profesional de convenios» (TH-16, 172.373.095 COP) también es de Avanciencia según el Anexo 3 v6, pero no integra los 892.587.696 COP de ASC del texto recibido (se trata como transferencia). Confirmar la clasificación.</w:t>
      </w:r>
    </w:p>
    <w:bookmarkEnd w:id="37"/>
    <w:bookmarkStart w:id="38" w:name="secciones-20-a-24"/>
    <w:p>
      <w:pPr>
        <w:pStyle w:val="Heading2"/>
      </w:pPr>
      <w:r>
        <w:t xml:space="preserve">Secciones 20 a 24</w:t>
      </w:r>
    </w:p>
    <w:p>
      <w:pPr>
        <w:numPr>
          <w:ilvl w:val="0"/>
          <w:numId w:val="1017"/>
        </w:numPr>
        <w:pStyle w:val="Compact"/>
      </w:pPr>
      <w:r>
        <w:t xml:space="preserve">Cambio de contenido (Anexo 3 v6): responsables de los productos 8 (apropiación social) y 9 (asistencia técnica): Avanciencia, por contrato con la universidad; producto 7 incorpora a Avanciencia en los convenios de custodia. Responsable del riesgo de no adopción: coordinación de apropiación social de Avanciencia.</w:t>
      </w:r>
    </w:p>
    <w:p>
      <w:pPr>
        <w:numPr>
          <w:ilvl w:val="0"/>
          <w:numId w:val="1017"/>
        </w:numPr>
        <w:pStyle w:val="Compact"/>
      </w:pPr>
      <w:r>
        <w:t xml:space="preserve">Cohesión: holguras de la ruta crítica, niveles de probabilidad e impacto, medios de atención del riesgo y criterios de los indicadores se presentan como enumeraciones paralelas; los seis riesgos críticos se enuncian en una sola serie.</w:t>
      </w:r>
    </w:p>
    <w:bookmarkEnd w:id="38"/>
    <w:bookmarkStart w:id="39" w:name="secciones-25-y-27"/>
    <w:p>
      <w:pPr>
        <w:pStyle w:val="Heading2"/>
      </w:pPr>
      <w:r>
        <w:t xml:space="preserve">Secciones 25 y 27</w:t>
      </w:r>
    </w:p>
    <w:p>
      <w:pPr>
        <w:numPr>
          <w:ilvl w:val="0"/>
          <w:numId w:val="1018"/>
        </w:numPr>
        <w:pStyle w:val="Compact"/>
      </w:pPr>
      <w:r>
        <w:t xml:space="preserve">Cambio de contenido: el proyecto requiere aval del comité de ética, porque trata datos personales de participantes en talleres, jornadas y encuestas, y el formato del Anexo 1 reserva la declaración de no requerir aval a proyectos sin ese tratamiento. Se ajustaron la sección 25.7, la fila del aval en la tabla 27.1, el párrafo de la familia de datos y ética y la fila del numeral 10.10 en la sección 30.</w:t>
      </w:r>
    </w:p>
    <w:p>
      <w:pPr>
        <w:numPr>
          <w:ilvl w:val="0"/>
          <w:numId w:val="1018"/>
        </w:numPr>
        <w:pStyle w:val="Compact"/>
      </w:pPr>
      <w:r>
        <w:t xml:space="preserve">Cambio de contenido (Anexo 3 v6): la consulta de libertad de operación la ejecuta Avanciencia en la actividad 1.1; el profesional de convenios pertenece a Avanciencia.</w:t>
      </w:r>
    </w:p>
    <w:p>
      <w:pPr>
        <w:numPr>
          <w:ilvl w:val="0"/>
          <w:numId w:val="1018"/>
        </w:numPr>
        <w:pStyle w:val="Compact"/>
      </w:pPr>
      <w:r>
        <w:t xml:space="preserve">Cohesión: las fuentes de asuntos éticos, las familias de requisitos y las decisiones técnicas se presentan como enumeraciones con su justificación.</w:t>
      </w:r>
    </w:p>
    <w:bookmarkEnd w:id="39"/>
    <w:bookmarkStart w:id="40" w:name="sección-26"/>
    <w:p>
      <w:pPr>
        <w:pStyle w:val="Heading2"/>
      </w:pPr>
      <w:r>
        <w:t xml:space="preserve">Sección 26</w:t>
      </w:r>
    </w:p>
    <w:p>
      <w:pPr>
        <w:numPr>
          <w:ilvl w:val="0"/>
          <w:numId w:val="1019"/>
        </w:numPr>
        <w:pStyle w:val="Compact"/>
      </w:pPr>
      <w:r>
        <w:t xml:space="preserve">Cambio de contenido (Anexo 3 v6): cinco integrantes; Gestión y Medio Ambiente como entidad aliada 4 (sector productivo) con fila de aportes, requisito del numeral 10.12, responsable institucional y delegado en el comité directivo; contrapartida de 1.774.000.000 COP con 150.000.000 COP en efectivo, que supera el umbral de 1 % (139.994.053 COP) del criterio 7, condicionado a su certificación; Avanciencia aporta la capacidad de apropiación social y transferencia por contrato con la universidad; el convenio de la alianza da origen a ese contrato. La tabla de contrapartida generada incorpora a Gestión y Medio Ambiente como aportante.</w:t>
      </w:r>
    </w:p>
    <w:p>
      <w:pPr>
        <w:numPr>
          <w:ilvl w:val="0"/>
          <w:numId w:val="1019"/>
        </w:numPr>
        <w:pStyle w:val="Compact"/>
      </w:pPr>
      <w:r>
        <w:t xml:space="preserve">Cohesión: los requisitos, aportes, capacidades y beneficios se presentan por integrante en secuencias paralelas; las referencias teóricas sobre gobernanza se integran con la decisión que sustentan.</w:t>
      </w:r>
    </w:p>
    <w:bookmarkEnd w:id="40"/>
    <w:bookmarkStart w:id="41" w:name="secciones-28-30-y-soporte-inicial-s"/>
    <w:p>
      <w:pPr>
        <w:pStyle w:val="Heading2"/>
      </w:pPr>
      <w:r>
        <w:t xml:space="preserve">Secciones 28, 30 y soporte inicial (S)</w:t>
      </w:r>
    </w:p>
    <w:p>
      <w:pPr>
        <w:numPr>
          <w:ilvl w:val="0"/>
          <w:numId w:val="1020"/>
        </w:numPr>
        <w:pStyle w:val="Compact"/>
      </w:pPr>
      <w:r>
        <w:t xml:space="preserve">Cambio de contenido (Anexo 3 v6): contrapartida de 1.774.000.000 COP con 150.000.000 COP en efectivo (1,07 % del valor solicitado); el criterio 7 pasa de «no cumple» a «cumple, sujeto a la certificación de Gestión y Medio Ambiente»; cinco integrantes y cinco firmas; la tabla de decisiones reemplaza la decisión de aporte en efectivo por su certificación y registra los ajustes del Anexo 3 que quedan por confirmar (PD-02 y VI-05); aval de ética obligatorio.</w:t>
      </w:r>
    </w:p>
    <w:p>
      <w:pPr>
        <w:numPr>
          <w:ilvl w:val="0"/>
          <w:numId w:val="1020"/>
        </w:numPr>
        <w:pStyle w:val="Compact"/>
      </w:pPr>
      <w:r>
        <w:t xml:space="preserve">Cohesión: las fuentes de financiación y las lecturas de las tablas se presentan con su consecuencia; se explicitó la consecuencia de que el efectivo no se certifique (pérdida de dos puntos, sin cambio en el valor solicitado).</w:t>
      </w:r>
    </w:p>
    <w:bookmarkEnd w:id="41"/>
    <w:bookmarkStart w:id="42" w:name="anexo-a"/>
    <w:p>
      <w:pPr>
        <w:pStyle w:val="Heading2"/>
      </w:pPr>
      <w:r>
        <w:t xml:space="preserve">Anexo A</w:t>
      </w:r>
    </w:p>
    <w:p>
      <w:pPr>
        <w:numPr>
          <w:ilvl w:val="0"/>
          <w:numId w:val="1021"/>
        </w:numPr>
        <w:pStyle w:val="Compact"/>
      </w:pPr>
      <w:r>
        <w:t xml:space="preserve">Cohesión: los componentes del anexo, los escenarios, las clases de Vester, los roles causales, los eslabones del módulo predictivo y los límites del análisis se presentan como enumeraciones paralelas; los hallazgos numéricos se ligan a su consecuencia interpretativa («por eso la estabilidad observada no demuestra convergencia dinámica»).</w:t>
      </w:r>
    </w:p>
    <w:p>
      <w:pPr>
        <w:numPr>
          <w:ilvl w:val="0"/>
          <w:numId w:val="1021"/>
        </w:numPr>
        <w:pStyle w:val="Compact"/>
      </w:pPr>
      <w:r>
        <w:t xml:space="preserve">Se añadió una oración temática («Las variables se clasifican por su papel causal») antes de las definiciones de confusor, mediador y colisionador, que comenzaban sin introducción. No agrega contenido.</w:t>
      </w:r>
    </w:p>
    <w:p>
      <w:pPr>
        <w:numPr>
          <w:ilvl w:val="0"/>
          <w:numId w:val="1021"/>
        </w:numPr>
        <w:pStyle w:val="Compact"/>
      </w:pPr>
      <w:r>
        <w:t xml:space="preserve">Grado de certeza conservado: todas las relaciones siguen declaradas como HIE; «sería identificable por diseño» conserva el condicional del original («es identificable por diseño si…»).</w:t>
      </w:r>
    </w:p>
    <w:p>
      <w:pPr>
        <w:numPr>
          <w:ilvl w:val="0"/>
          <w:numId w:val="1021"/>
        </w:numPr>
        <w:pStyle w:val="Compact"/>
      </w:pPr>
      <w:r>
        <w:t xml:space="preserve">Sin cambios de contenido por la v6 (el Anexo A no describe la alianza).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2026-10-30T18:29:58Z</dcterms:created>
  <dcterms:modified xsi:type="dcterms:W3CDTF">2026-10-30T18:29:58Z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