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t8n201f45bp" w:id="0"/>
      <w:bookmarkEnd w:id="0"/>
      <w:r w:rsidDel="00000000" w:rsidR="00000000" w:rsidRPr="00000000">
        <w:rPr/>
        <w:drawing>
          <wp:inline distB="114300" distT="114300" distL="114300" distR="114300">
            <wp:extent cx="6610350" cy="9696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248" l="-1006" r="-2498" t="-449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969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8k3l6hrdc178" w:id="1"/>
      <w:bookmarkEnd w:id="1"/>
      <w:r w:rsidDel="00000000" w:rsidR="00000000" w:rsidRPr="00000000">
        <w:rPr>
          <w:rtl w:val="0"/>
        </w:rPr>
        <w:t xml:space="preserve">Problemas encontrados: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Cuando realice la clase casillero al principio en lugar de codificar bien en el entorno y dibujarlo en la ventana gráfica,  escribí en el método tick el comando sistema.out.println con los colores y demas, entonces me imprimía en consola las características de los casilleros en lugar de dibujarlos, ejemplo; me salía impreso el color las cantidad de veces de filas y columnas.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