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43C73"/>
          <w:sz w:val="38"/>
          <w:szCs w:val="38"/>
        </w:rPr>
        <w:t xml:space="preserve">Response to Reviewers</w:t>
      </w:r>
    </w:p>
    <w:p>
      <w:pPr>
        <w:spacing w:after="40"/>
      </w:pPr>
      <w:r>
        <w:rPr>
          <w:i/>
          <w:iCs/>
          <w:sz w:val="23"/>
          <w:szCs w:val="23"/>
        </w:rPr>
        <w:t xml:space="preserve">SeqDef: An R package for phylogenetically weighted genomic prioritization across the tree of life</w:t>
      </w:r>
    </w:p>
    <w:p>
      <w:pPr>
        <w:spacing w:after="200"/>
      </w:pPr>
      <w:r>
        <w:rPr>
          <w:color w:val="666666"/>
          <w:sz w:val="20"/>
          <w:szCs w:val="20"/>
        </w:rPr>
        <w:t xml:space="preserve">Manuscript JEB-2026-00140 · Journal of Evolutionary Biology</w:t>
      </w:r>
    </w:p>
    <w:p>
      <w:pPr>
        <w:spacing w:after="140" w:line="288"/>
      </w:pPr>
      <w:r>
        <w:rPr>
          <w:b/>
          <w:bCs/>
          <w:i/>
          <w:iCs/>
        </w:rPr>
        <w:t xml:space="preserve">How to read this document. </w:t>
      </w:r>
      <w:r>
        <w:rPr>
          <w:i/>
          <w:iCs/>
          <w:color w:val="7A4F00"/>
        </w:rPr>
        <w:t xml:space="preserve">Reviewer and editor comments are reproduced in italics with a blue rule. Our replies follow under “Response.” Items in square brackets — e.g., [Spearman ρ = __] or (ll. XX–XX) — are placeholders to be completed once the new analyses are finalized and the tracked-changes manuscript is paginated. This is a working draft of the rebuttal, not the final submission.</w:t>
      </w:r>
    </w:p>
    <w:p>
      <w:pPr>
        <w:pStyle w:val="Heading1"/>
      </w:pPr>
      <w:r>
        <w:t xml:space="preserve">Response to the Associate Editor</w:t>
      </w:r>
    </w:p>
    <w:p>
      <w:pPr>
        <w:spacing w:after="140" w:line="288"/>
      </w:pPr>
      <w:r>
        <w:t xml:space="preserve">We thank the Associate Editor and both reviewers for a constructive and encouraging assessment. We are grateful that both reviewers see the tool as a timely and relevant contribution, and we found the comments genuinely useful for sharpening the manuscript. We have addressed every point. Because the editor’s summary consolidates the reviewers’ concerns, we respond in full to each reviewer below and give here a brief overview of the major changes.</w:t>
      </w:r>
    </w:p>
    <w:p>
      <w:pPr>
        <w:spacing w:after="140" w:line="288"/>
      </w:pPr>
      <w:r>
        <w:rPr>
          <w:b/>
          <w:bCs/>
        </w:rPr>
        <w:t xml:space="preserve">Summary of major changes:</w:t>
      </w:r>
    </w:p>
    <w:p>
      <w:pPr>
        <w:pStyle w:val="ListParagraph"/>
        <w:numPr>
          <w:ilvl w:val="0"/>
          <w:numId w:val="2"/>
        </w:numPr>
        <w:spacing w:after="90" w:line="288"/>
      </w:pPr>
      <w:r>
        <w:rPr>
          <w:b/>
          <w:bCs/>
        </w:rPr>
        <w:t xml:space="preserve">Variable S. </w:t>
      </w:r>
      <w:r>
        <w:t xml:space="preserve">We clarified that S is a general, user-supplied availability score on [0,1]; the binary case-study coding is now explicitly framed as a deliberate operational choice, and we added worked continuous examples plus a supplementary continuous-S analysis.</w:t>
      </w:r>
    </w:p>
    <w:p>
      <w:pPr>
        <w:pStyle w:val="ListParagraph"/>
        <w:numPr>
          <w:ilvl w:val="0"/>
          <w:numId w:val="2"/>
        </w:numPr>
        <w:spacing w:after="90" w:line="288"/>
      </w:pPr>
      <w:r>
        <w:rPr>
          <w:b/>
          <w:bCs/>
        </w:rPr>
        <w:t xml:space="preserve">λ and kernel sensitivity. </w:t>
      </w:r>
      <w:r>
        <w:t xml:space="preserve">We added a rank-stability analysis across λ, a direct head-to-head of the two λ-selection methods, and a kernel-comparison (exponential/Gaussian/linear) enabled by a new kernel argument.</w:t>
      </w:r>
    </w:p>
    <w:p>
      <w:pPr>
        <w:pStyle w:val="ListParagraph"/>
        <w:numPr>
          <w:ilvl w:val="0"/>
          <w:numId w:val="2"/>
        </w:numPr>
        <w:spacing w:after="90" w:line="288"/>
      </w:pPr>
      <w:r>
        <w:rPr>
          <w:b/>
          <w:bCs/>
        </w:rPr>
        <w:t xml:space="preserve">Benchmark. </w:t>
      </w:r>
      <w:r>
        <w:t xml:space="preserve">We added a direct comparison with EDGE and EDGE2 on the Chondrichthyes data, framed around where and why the rankings diverge.</w:t>
      </w:r>
    </w:p>
    <w:p>
      <w:pPr>
        <w:pStyle w:val="ListParagraph"/>
        <w:numPr>
          <w:ilvl w:val="0"/>
          <w:numId w:val="2"/>
        </w:numPr>
        <w:spacing w:after="90" w:line="288"/>
      </w:pPr>
      <w:r>
        <w:rPr>
          <w:b/>
          <w:bCs/>
        </w:rPr>
        <w:t xml:space="preserve">Efficiency. </w:t>
      </w:r>
      <w:r>
        <w:t xml:space="preserve">We added a complexity analysis and empirical runtime/memory benchmarks with hardware specifications, and recalibrated the efficiency claims.</w:t>
      </w:r>
    </w:p>
    <w:p>
      <w:pPr>
        <w:pStyle w:val="ListParagraph"/>
        <w:numPr>
          <w:ilvl w:val="0"/>
          <w:numId w:val="2"/>
        </w:numPr>
        <w:spacing w:after="90" w:line="288"/>
      </w:pPr>
      <w:r>
        <w:rPr>
          <w:b/>
          <w:bCs/>
        </w:rPr>
        <w:t xml:space="preserve">Notation. </w:t>
      </w:r>
      <w:r>
        <w:t xml:space="preserve">We corrected the italicization in Eq. 4 and surrounding lines, restored the missing λ in the kernel equation, and standardized notation throughout.</w:t>
      </w:r>
    </w:p>
    <w:p>
      <w:pPr>
        <w:pStyle w:val="ListParagraph"/>
        <w:numPr>
          <w:ilvl w:val="0"/>
          <w:numId w:val="2"/>
        </w:numPr>
        <w:spacing w:after="90" w:line="288"/>
      </w:pPr>
      <w:r>
        <w:rPr>
          <w:b/>
          <w:bCs/>
        </w:rPr>
        <w:t xml:space="preserve">Framing and definitions. </w:t>
      </w:r>
      <w:r>
        <w:t xml:space="preserve">We reframed the Introduction so the two prioritization traditions read as complementary, defined “marginal information value,” added a Discussion of insertion-based extension for taxa lacking molecular data, and added the suggested citations.</w:t>
      </w:r>
    </w:p>
    <w:p>
      <w:pPr>
        <w:pStyle w:val="ListParagraph"/>
        <w:numPr>
          <w:ilvl w:val="0"/>
          <w:numId w:val="2"/>
        </w:numPr>
        <w:spacing w:after="90" w:line="288"/>
      </w:pPr>
      <w:r>
        <w:rPr>
          <w:b/>
          <w:bCs/>
        </w:rPr>
        <w:t xml:space="preserve">Compliance. </w:t>
      </w:r>
      <w:r>
        <w:t xml:space="preserve">We completed the Data Availability Statement and CRediT author contributions, and archived a citable code snapshot.</w:t>
      </w:r>
    </w:p>
    <w:p>
      <w:r>
        <w:br w:type="page"/>
      </w:r>
    </w:p>
    <w:p>
      <w:pPr>
        <w:pStyle w:val="Heading1"/>
      </w:pPr>
      <w:r>
        <w:t xml:space="preserve">Reviewer 1</w:t>
      </w:r>
    </w:p>
    <w:p>
      <w:pPr>
        <w:spacing w:after="140" w:line="288"/>
      </w:pPr>
      <w:r>
        <w:rPr>
          <w:i w:val="false"/>
          <w:iCs w:val="false"/>
        </w:rPr>
        <w:t xml:space="preserve">We thank Reviewer 1 for the careful, methodologically focused review. The five points have materially improved the rigour of the manuscript.</w:t>
      </w:r>
    </w:p>
    <w:p>
      <w:pPr>
        <w:pStyle w:val="Heading2"/>
      </w:pPr>
      <w:r>
        <w:t xml:space="preserve">1.1 Inconsistency in the definition of Sᵢ</w:t>
      </w:r>
    </w:p>
    <w:p>
      <w:pPr>
        <w:pBdr>
          <w:left w:val="single" w:color="1862C9" w:sz="14" w:space="10"/>
        </w:pBdr>
        <w:spacing w:after="120" w:line="276"/>
        <w:ind w:left="420"/>
      </w:pPr>
      <w:r>
        <w:rPr>
          <w:i/>
          <w:iCs/>
          <w:color w:val="555555"/>
        </w:rPr>
        <w:t xml:space="preserve">In line 62, “Si” is defined as a continuous variable between 0 and 1 … In line 164, however, “Si” is treated as binary … If “Si” is intended to be continuous, the authors should explain how it is calculated, including how the quality and completeness of the genome or transcriptome are incorporated (e.g., BUSCO). If “Si” is purely binary, then the method appears oversimplified, and this choice should be convincingly justified.</w:t>
      </w:r>
    </w:p>
    <w:p>
      <w:pPr>
        <w:spacing w:after="160" w:line="288"/>
      </w:pPr>
      <w:r>
        <w:rPr>
          <w:b/>
          <w:bCs/>
        </w:rPr>
        <w:t xml:space="preserve">Response. </w:t>
      </w:r>
      <w:r>
        <w:t xml:space="preserve">We apologize for the ambiguity, which was one of presentation rather than of method. S is, and always was, a general continuous availability score on [0,1]: the function multiplies the phylogenetic weight matrix by the numeric S vector and never requires binary input. The binary coding in the case study was a deliberate operational choice, not the definition of S. We have separated the two clearly. In the Methods (ll. XX–XX) we now state that S ∈ [0,1] is any user-supplied, monotone measure of data availability, and we give worked constructions: (i) genome completeness as the BUSCO complete fraction; (ii) a composite quality score combining rescaled BUSCO completeness, contiguity (log₁₀ N50), and base accuracy (QV); (iii) data-type breadth (fraction of desired resources present); and (iv) a saturating function of assembly count. Where the Chondrichthyes pipeline is introduced (ll. XX–XX) we now justify the binary coding explicitly: assembly presence/absence is objective, uniformly obtainable for all 850 species from a single NCBI query, avoids confounding the demonstration with heterogeneous and frequently missing quality metrics, and matches the Earth BioGenome framing of whether a reference yet exists. To show that the continuous form behaves sensibly, we added a supplementary analysis re-running the pipeline with a BUSCO/N50-based continuous S [Supplementary Fig. SX], which [recovers the same top-priority region of the tree while redistributing scores among species with low-quality assemblies].</w:t>
      </w:r>
    </w:p>
    <w:p>
      <w:pPr>
        <w:pStyle w:val="Heading2"/>
      </w:pPr>
      <w:r>
        <w:t xml:space="preserve">1.2 Dependence on λ and the choice of kernel</w:t>
      </w:r>
    </w:p>
    <w:p>
      <w:pPr>
        <w:pBdr>
          <w:left w:val="single" w:color="1862C9" w:sz="14" w:space="10"/>
        </w:pBdr>
        <w:spacing w:after="120" w:line="276"/>
        <w:ind w:left="420"/>
      </w:pPr>
      <w:r>
        <w:rPr>
          <w:i/>
          <w:iCs/>
          <w:color w:val="555555"/>
        </w:rPr>
        <w:t xml:space="preserve">The results appear highly dependent on two elements: the lambda parameter and the exponential kernel … The two proposed methods for choosing lambda (variance maximization and gene-based calibration) are not compared, and no analysis is performed to assess how sensitive the results are to different choices of lambda. Similarly, the choice of a specific kernel function … should be justified through systematic evaluation and comparison.</w:t>
      </w:r>
    </w:p>
    <w:p>
      <w:pPr>
        <w:spacing w:after="160" w:line="288"/>
      </w:pPr>
      <w:r>
        <w:rPr>
          <w:b/>
          <w:bCs/>
        </w:rPr>
        <w:t xml:space="preserve">Response. </w:t>
      </w:r>
      <w:r>
        <w:t xml:space="preserve">We agree and have added two analyses. First, a λ rank-stability analysis: across λ ∈ [1, 25] we now report the Spearman correlation of the SeqDef and Priority rankings against the auto_max solution, and the top-10 and top-1 overlap as a function of λ [Spearman ρ ≥ __ across the interval; the top target was invariant for λ ∈ [__ , __]]. This is the λ analogue of our topological-robustness test (Fig. 3) and shows that prioritization is stable across a broad λ band rather than hostage to a single value. Second, we now compare the two selection methods directly (revised Fig. 2; ll. XX–XX): for each of the 100 posterior trees we report both selected λ values, the rank correlation between the two methods’ Priority outputs [ρ = __], and their agreement on the top target [__/100]. We recommend auto_max as the default for discriminatory power and by_genus where a biologically interpretable horizon is preferred, and we state this. On the kernel, we now (a) justify the exponential choice on principled grounds — it provides a single interpretable “phylogenetic half-life” horizon and is standard in distance-decay biodiversity measures (Pavoine et al. 2005) and sequence-novelty work (Marini et al. 2022) — and (b) added a kernel argument (exponential/Gaussian/linear) and a comparison showing that SeqDef rankings are [highly correlated across kernels (ρ ≥ __) and preserve the top target]. We also corrected an over-strong statement: rather than claiming small λ “simulates” Brownian motion, we now [report the Brownian-covariance kernel directly / soften this to a qualitative analogy].</w:t>
      </w:r>
    </w:p>
    <w:p>
      <w:pPr>
        <w:pStyle w:val="Heading2"/>
      </w:pPr>
      <w:r>
        <w:t xml:space="preserve">1.3 Lack of comparison with existing methods</w:t>
      </w:r>
    </w:p>
    <w:p>
      <w:pPr>
        <w:pBdr>
          <w:left w:val="single" w:color="1862C9" w:sz="14" w:space="10"/>
        </w:pBdr>
        <w:spacing w:after="120" w:line="276"/>
        <w:ind w:left="420"/>
      </w:pPr>
      <w:r>
        <w:rPr>
          <w:i/>
          <w:iCs/>
          <w:color w:val="555555"/>
        </w:rPr>
        <w:t xml:space="preserve">The manuscript mentions existing prioritization approaches (e.g., EDGE), but does not provide a direct comparison with them. Without such a comparison, it is difficult to assess the added value of the proposed method.</w:t>
      </w:r>
    </w:p>
    <w:p>
      <w:pPr>
        <w:spacing w:after="160" w:line="288"/>
      </w:pPr>
      <w:r>
        <w:rPr>
          <w:b/>
          <w:bCs/>
        </w:rPr>
        <w:t xml:space="preserve">Response. </w:t>
      </w:r>
      <w:r>
        <w:t xml:space="preserve">We have added a direct benchmark on the Chondrichthyes data (new Results subsection; ll. XX–XX). We computed Evolutionary Distinctiveness (fair-proportion) and formed both classic EDGE (Isaac et al. 2007) and EDGE2 (Gumbs et al. 2023) using the same IUCN weights, then compared these against SeqDef-Priority. We report the rank correlation [ρ = __], the overlap of the top-25 lists [__/25], and — most informatively — the species where the methods diverge. The divergence is exactly the point of the tool: a species that is evolutionarily distinct and threatened but whose close relative is already sequenced ranks high under EDGE yet low under SeqDef, because its marginal genomic information is already captured [worked example: __]. Conversely, C. atromarginatus ranks highly under both because Centrophoridae has no genome at all. We therefore present SeqDef as complementary to EDGE rather than competing with it: it answers a distinct question (marginal genomic information given the data already in hand) and is dynamic, updating as relatives are sequenced. We note that EDGE2 already conditions a species’ score on its relatives’ extinction risk, and SeqDef extends the same complementarity logic to genomic-data availability.</w:t>
      </w:r>
    </w:p>
    <w:p>
      <w:pPr>
        <w:pStyle w:val="Heading2"/>
      </w:pPr>
      <w:r>
        <w:t xml:space="preserve">1.4 Claims about computational efficiency</w:t>
      </w:r>
    </w:p>
    <w:p>
      <w:pPr>
        <w:pBdr>
          <w:left w:val="single" w:color="1862C9" w:sz="14" w:space="10"/>
        </w:pBdr>
        <w:spacing w:after="120" w:line="276"/>
        <w:ind w:left="420"/>
      </w:pPr>
      <w:r>
        <w:rPr>
          <w:i/>
          <w:iCs/>
          <w:color w:val="555555"/>
        </w:rPr>
        <w:t xml:space="preserve">The manuscript claims, in two instances, that the method is computationally efficient, but no supporting evidence is provided. … an analysis of computational complexity (e.g., Big O notation) should be included, along with empirical benchmarks (e.g., runtime as a function of input size and hardware specifications).</w:t>
      </w:r>
    </w:p>
    <w:p>
      <w:pPr>
        <w:spacing w:after="160" w:line="288"/>
      </w:pPr>
      <w:r>
        <w:rPr>
          <w:b/>
          <w:bCs/>
        </w:rPr>
        <w:t xml:space="preserve">Response. </w:t>
      </w:r>
      <w:r>
        <w:t xml:space="preserve">We have replaced the unsupported assertions with both a complexity analysis and empirical benchmarks (ll. XX–XX; Supplementary Fig. SX). Complexity: for n tips the cophenetic distance matrix and each λ evaluation (weight matrix and matrix–vector product) are O(n²) in time and memory; auto_max scans up to 491 λ values with early stopping, giving O(k·n²) with k ≤ 491. The binding constraint is the dense O(n²) matrix in memory — at n ≈ 30,000 this is on the order of 7 GB — so we now state explicitly that the method is efficient at clade scale (hundreds to a few thousand tips) and is memory-bound for whole-tree-of-life application. Empirically, we benchmarked runtime and peak memory on simulated trees at n = 100 to 10,000 for single-λ and auto_max modes [hardware: __; R __], confirming the ∼O(n²) scaling [Chondrichthyes run, 850 tips × 100 trees, completed in __]. We added a note that, because weights decay with distance, a truncated/sparse kernel is a natural route to larger trees in future work.</w:t>
      </w:r>
    </w:p>
    <w:p>
      <w:pPr>
        <w:pStyle w:val="Heading2"/>
      </w:pPr>
      <w:r>
        <w:t xml:space="preserve">1.5 Typographical problems in the mathematical notation</w:t>
      </w:r>
    </w:p>
    <w:p>
      <w:pPr>
        <w:pBdr>
          <w:left w:val="single" w:color="1862C9" w:sz="14" w:space="10"/>
        </w:pBdr>
        <w:spacing w:after="120" w:line="276"/>
        <w:ind w:left="420"/>
      </w:pPr>
      <w:r>
        <w:rPr>
          <w:i/>
          <w:iCs/>
          <w:color w:val="555555"/>
        </w:rPr>
        <w:t xml:space="preserve">In Equation 4 (line 174), the word “Priority” has an initial capital “P” in italics, and “SeqDef” shows the final “f” in italics. … Similarly, in line 176, in “SeqDef” both the “S” and “f” appear in italics. This should be corrected to ensure consistent and unambiguous notation.</w:t>
      </w:r>
    </w:p>
    <w:p>
      <w:pPr>
        <w:spacing w:after="160" w:line="288"/>
      </w:pPr>
      <w:r>
        <w:rPr>
          <w:b/>
          <w:bCs/>
        </w:rPr>
        <w:t xml:space="preserve">Response. </w:t>
      </w:r>
      <w:r>
        <w:t xml:space="preserve">Corrected. “Priority,” “SeqDef,” and all label subscripts (norm, median, depth) are now set in upright (roman) type, with italics reserved for genuine scalar variables (S, w, d, A, λ, n) and indices (i, f) (Eq. 4 and ll. XX–XX). While making this pass we also caught and fixed a substantive omission: the displayed kernel equation had lost its λ (it read w_fi = exp(−d_fi / T_depth)), whereas both the text and the code use w_fi = exp(−λ · d_fi / T_depth). The equation now matches the implementation, and the priority formula is rendered unambiguously as Priority = SeqDef_median × 2^GE. We performed a full consistency pass so that every symbol is defined once and used identically in text, equations, and code.</w:t>
      </w:r>
    </w:p>
    <w:p>
      <w:r>
        <w:br w:type="page"/>
      </w:r>
    </w:p>
    <w:p>
      <w:pPr>
        <w:pStyle w:val="Heading1"/>
      </w:pPr>
      <w:r>
        <w:t xml:space="preserve">Reviewer 2</w:t>
      </w:r>
    </w:p>
    <w:p>
      <w:pPr>
        <w:spacing w:after="140" w:line="288"/>
      </w:pPr>
      <w:r>
        <w:rPr>
          <w:i w:val="false"/>
          <w:iCs w:val="false"/>
        </w:rPr>
        <w:t xml:space="preserve">We thank Reviewer 2 for the positive assessment and for several suggestions that expand the tool’s applicability. We address each in turn.</w:t>
      </w:r>
    </w:p>
    <w:p>
      <w:pPr>
        <w:pStyle w:val="Heading2"/>
      </w:pPr>
      <w:r>
        <w:t xml:space="preserve">2.1 Introduction conflates two distinct frameworks</w:t>
      </w:r>
    </w:p>
    <w:p>
      <w:pPr>
        <w:pBdr>
          <w:left w:val="single" w:color="1862C9" w:sz="14" w:space="10"/>
        </w:pBdr>
        <w:spacing w:after="120" w:line="276"/>
        <w:ind w:left="420"/>
      </w:pPr>
      <w:r>
        <w:rPr>
          <w:i/>
          <w:iCs/>
          <w:color w:val="555555"/>
        </w:rPr>
        <w:t xml:space="preserve">I had the impression that the authors mixed two distinct objectives in the Introduction … One involves frameworks … based on uniqueness … and threat status, whereas the other involves frameworks designed to identify target species according to the amount of new information they contribute … As currently presented, the narrative gives the impression that they are somehow opposed.</w:t>
      </w:r>
    </w:p>
    <w:p>
      <w:pPr>
        <w:spacing w:after="160" w:line="288"/>
      </w:pPr>
      <w:r>
        <w:rPr>
          <w:b/>
          <w:bCs/>
        </w:rPr>
        <w:t xml:space="preserve">Response. </w:t>
      </w:r>
      <w:r>
        <w:t xml:space="preserve">We agree and have rewritten the relevant passage (ll. XX–XX). The Introduction now presents two complementary traditions — distinctiveness/threat ranking (Faith’s phylogenetic diversity; EDGE and EDGE2; Soares et al. 2023 for fishes) and information-maximizing sampling schemes (Marini et al. 2022 and related subtree-power approaches) — and positions SeqDef as a bridge that imports the “condition on what is already sampled” logic of sampling schemes into the conservation-prioritization tradition, weightable by any threat or value trait. We removed the oppositional phrasing and now note that EDGE2 itself conditions on relatives’ risk, so the field is converging on the conditioning logic that SeqDef formalizes for genomic data.</w:t>
      </w:r>
    </w:p>
    <w:p>
      <w:pPr>
        <w:pStyle w:val="Heading2"/>
      </w:pPr>
      <w:r>
        <w:t xml:space="preserve">2.2 Extension to taxa lacking any molecular data (e.g., rtrees)</w:t>
      </w:r>
    </w:p>
    <w:p>
      <w:pPr>
        <w:pBdr>
          <w:left w:val="single" w:color="1862C9" w:sz="14" w:space="10"/>
        </w:pBdr>
        <w:spacing w:after="120" w:line="276"/>
        <w:ind w:left="420"/>
      </w:pPr>
      <w:r>
        <w:rPr>
          <w:i/>
          <w:iCs/>
          <w:color w:val="555555"/>
        </w:rPr>
        <w:t xml:space="preserve">One alternative application … would be to use it to identify which taxa lacking any molecular information … could most improve the molecular coverage of the tree. This could be achieved by avoiding the pruning of species absent from the phylogeny … inserted into the tree using insertion algorithms (e.g., rtrees), after which SeqDef could be applied to this more complete phylogeny.</w:t>
      </w:r>
    </w:p>
    <w:p>
      <w:pPr>
        <w:spacing w:after="160" w:line="288"/>
      </w:pPr>
      <w:r>
        <w:rPr>
          <w:b/>
          <w:bCs/>
        </w:rPr>
        <w:t xml:space="preserve">Response. </w:t>
      </w:r>
      <w:r>
        <w:t xml:space="preserve">This is an excellent suggestion and we have added a Discussion paragraph (ll. XX–XX). We explain that the current design prunes to the tree∩data intersection, so only placed taxa are scored, and that species lacking molecular data — common for tropical lineages — can be grafted onto the phylogeny using taxonomic insertion tools (rtrees, V.PhyloMaker, phytools::add.species.to.genus, or PASTIS/TACT) and then scored; such taxa, having no data and often sitting in undersampled clades, will surface as high-deficiency targets. We note the natural caveat — insertion adds placement and branch-length uncertainty — and that our posterior-tree framework already integrates over uncertainty, so one could average SeqDef over many stochastic insertions. We cite Soares et al. (2023), who used exactly this insertion-based strategy for the fish tree of life, as precedent, and we flag a planned prune = FALSE option so users can supply an augmented tree directly.</w:t>
      </w:r>
    </w:p>
    <w:p>
      <w:pPr>
        <w:pStyle w:val="Heading2"/>
      </w:pPr>
      <w:r>
        <w:t xml:space="preserve">2.3 Definition of S and examples beyond 0/1</w:t>
      </w:r>
    </w:p>
    <w:p>
      <w:pPr>
        <w:pBdr>
          <w:left w:val="single" w:color="1862C9" w:sz="14" w:space="10"/>
        </w:pBdr>
        <w:spacing w:after="120" w:line="276"/>
        <w:ind w:left="420"/>
      </w:pPr>
      <w:r>
        <w:rPr>
          <w:i/>
          <w:iCs/>
          <w:color w:val="555555"/>
        </w:rPr>
        <w:t xml:space="preserve">How is s, the amount of information availability at each terminal tip, defined? The authors could provide examples illustrating how this parameter may be specified beyond binary 0–1 values.</w:t>
      </w:r>
    </w:p>
    <w:p>
      <w:pPr>
        <w:spacing w:after="160" w:line="288"/>
      </w:pPr>
      <w:r>
        <w:rPr>
          <w:b/>
          <w:bCs/>
        </w:rPr>
        <w:t xml:space="preserve">Response. </w:t>
      </w:r>
      <w:r>
        <w:t xml:space="preserve">This converges with Reviewer 1’s point 1.1, and we have addressed both together. S is a general user-supplied score on [0,1]; we now give worked continuous constructions (BUSCO completeness; a composite of rescaled BUSCO/N50/QV; data-type breadth; a saturating function of assembly count) in the Methods (ll. XX–XX), and we added a supplementary continuous-S analysis. The binary coding is retained for the main case study, with its rationale now stated explicitly.</w:t>
      </w:r>
    </w:p>
    <w:p>
      <w:pPr>
        <w:pStyle w:val="Heading2"/>
      </w:pPr>
      <w:r>
        <w:t xml:space="preserve">2.4 Incorporating a taxonomic-uncertainty weight</w:t>
      </w:r>
    </w:p>
    <w:p>
      <w:pPr>
        <w:pBdr>
          <w:left w:val="single" w:color="1862C9" w:sz="14" w:space="10"/>
        </w:pBdr>
        <w:spacing w:after="120" w:line="276"/>
        <w:ind w:left="420"/>
      </w:pPr>
      <w:r>
        <w:rPr>
          <w:i/>
          <w:iCs/>
          <w:color w:val="555555"/>
        </w:rPr>
        <w:t xml:space="preserve">The authors could also consider incorporating a weight representing the level of taxonomic uncertainty (when such information is available for the taxa).</w:t>
      </w:r>
    </w:p>
    <w:p>
      <w:pPr>
        <w:spacing w:after="160" w:line="288"/>
      </w:pPr>
      <w:r>
        <w:rPr>
          <w:b/>
          <w:bCs/>
        </w:rPr>
        <w:t xml:space="preserve">Response. </w:t>
      </w:r>
      <w:r>
        <w:t xml:space="preserve">We agree this is a useful extension. We note (ll. XX–XX) that a taxonomic-uncertainty weight slots naturally into the existing framework either as an additional trait passed to calc_priority or as a per-tip down-weight on S, and we flag it as a planned option. Combined with the insertion-based extension above, this would let users discount confidently for poorly placed or taxonomically uncertain tips. We have added this as a future-work item rather than altering the core statistic.</w:t>
      </w:r>
    </w:p>
    <w:p>
      <w:pPr>
        <w:pStyle w:val="Heading2"/>
      </w:pPr>
      <w:r>
        <w:t xml:space="preserve">2.5 Line-level comments</w:t>
      </w:r>
    </w:p>
    <w:p>
      <w:pPr>
        <w:pBdr>
          <w:left w:val="single" w:color="1862C9" w:sz="14" w:space="10"/>
        </w:pBdr>
        <w:spacing w:after="120" w:line="276"/>
        <w:ind w:left="420"/>
      </w:pPr>
      <w:r>
        <w:rPr>
          <w:i/>
          <w:iCs/>
          <w:color w:val="555555"/>
        </w:rPr>
        <w:t xml:space="preserve">Line 40: see Soares et al., Conservation Biology.</w:t>
      </w:r>
    </w:p>
    <w:p>
      <w:pPr>
        <w:spacing w:after="160" w:line="288"/>
      </w:pPr>
      <w:r>
        <w:rPr>
          <w:b/>
          <w:bCs/>
        </w:rPr>
        <w:t xml:space="preserve">Response. </w:t>
      </w:r>
      <w:r>
        <w:t xml:space="preserve">Added. We believe the intended reference is Soares et al. (2023), “Quantifying and overcoming Darwinian shortfalls to conserve the fish tree of life,” published in Biological Conservation; we have cited it at l. 40 (please confirm this is the intended paper). It is a close fit — a fish-focused, phylogenetically explicit prioritization that also uses species insertion — and it now supports both the Introduction framing and the new Discussion paragraph on extending SeqDef to unsampled taxa.</w:t>
      </w:r>
    </w:p>
    <w:p>
      <w:pPr>
        <w:pBdr>
          <w:left w:val="single" w:color="1862C9" w:sz="14" w:space="10"/>
        </w:pBdr>
        <w:spacing w:after="120" w:line="276"/>
        <w:ind w:left="420"/>
      </w:pPr>
      <w:r>
        <w:rPr>
          <w:i/>
          <w:iCs/>
          <w:color w:val="555555"/>
        </w:rPr>
        <w:t xml:space="preserve">Line 48: What do the authors mean by “marginal information value”? I think it would be worthwhile to provide a more precise definition.</w:t>
      </w:r>
    </w:p>
    <w:p>
      <w:pPr>
        <w:spacing w:after="160" w:line="288"/>
      </w:pPr>
      <w:r>
        <w:rPr>
          <w:b/>
          <w:bCs/>
        </w:rPr>
        <w:t xml:space="preserve">Response. </w:t>
      </w:r>
      <w:r>
        <w:t xml:space="preserve">We have added a definition at first use (ll. XX–XX): by marginal information value we mean the expected gain in genome-derived comparative information from adding a focal taxon’s genome to the current set, given the genomes already available in its relatives — high when little of the taxon’s genomic information is already captured by sequenced close relatives. We tie this explicitly to the formal object, the complement of phylogenetically weighted availability (1 − A_f).</w:t>
      </w:r>
    </w:p>
    <w:p>
      <w:pPr>
        <w:pBdr>
          <w:left w:val="single" w:color="1862C9" w:sz="14" w:space="10"/>
        </w:pBdr>
        <w:spacing w:after="120" w:line="276"/>
        <w:ind w:left="420"/>
      </w:pPr>
      <w:r>
        <w:rPr>
          <w:i/>
          <w:iCs/>
          <w:color w:val="555555"/>
        </w:rPr>
        <w:t xml:space="preserve">Lines 178–180: Perhaps the sentence … could be rewritten to clarify that increases in GE produce a doubling effect on the priority score.</w:t>
      </w:r>
    </w:p>
    <w:p>
      <w:pPr>
        <w:spacing w:after="160" w:line="288"/>
      </w:pPr>
      <w:r>
        <w:rPr>
          <w:b/>
          <w:bCs/>
        </w:rPr>
        <w:t xml:space="preserve">Response. </w:t>
      </w:r>
      <w:r>
        <w:t xml:space="preserve">Rewritten (ll. XX–XX): “Because GE enters as an exponent of 2, each one-category increase in extinction risk doubles a taxon’s priority — a Critically Endangered taxon (GE = 4) receives 2⁴ = 16× the weight of a Least Concern taxon (GE = 0) with the same SeqDef — so priority rises steeply for taxa that are simultaneously isolated from existing genomes and highly threatened.”</w:t>
      </w:r>
    </w:p>
    <w:p>
      <w:pPr>
        <w:pStyle w:val="Heading2"/>
      </w:pPr>
      <w:r>
        <w:t xml:space="preserve">2.6 Figure 1 should report the λ value</w:t>
      </w:r>
    </w:p>
    <w:p>
      <w:pPr>
        <w:pBdr>
          <w:left w:val="single" w:color="1862C9" w:sz="14" w:space="10"/>
        </w:pBdr>
        <w:spacing w:after="120" w:line="276"/>
        <w:ind w:left="420"/>
      </w:pPr>
      <w:r>
        <w:rPr>
          <w:i/>
          <w:iCs/>
          <w:color w:val="555555"/>
        </w:rPr>
        <w:t xml:space="preserve">Figure 1 could perhaps also include information about the λ value used, so readers can better understand its effect on the deficiency measure.</w:t>
      </w:r>
    </w:p>
    <w:p>
      <w:pPr>
        <w:spacing w:after="160" w:line="288"/>
      </w:pPr>
      <w:r>
        <w:rPr>
          <w:b/>
          <w:bCs/>
        </w:rPr>
        <w:t xml:space="preserve">Response. </w:t>
      </w:r>
      <w:r>
        <w:t xml:space="preserve">Agreed (and the Associate Editor seconded this). We regenerated Figure 1 from an actual SeqDef() run on the toy tree — the previous panel used illustrative hand-set values — and now annotate the λ used. To make the horizon effect concrete, the revised figure shows the toy tree at [two/three] λ values, so readers can see directly how increasing λ sharpens the contrast between phylogenetically isolated and well-covered tips.</w:t>
      </w:r>
    </w:p>
    <w:p>
      <w:r>
        <w:br w:type="page"/>
      </w:r>
    </w:p>
    <w:p>
      <w:pPr>
        <w:pStyle w:val="Heading1"/>
      </w:pPr>
      <w:r>
        <w:t xml:space="preserve">Editorial and compliance items</w:t>
      </w:r>
    </w:p>
    <w:p>
      <w:pPr>
        <w:spacing w:after="140" w:line="288"/>
      </w:pPr>
      <w:r>
        <w:rPr>
          <w:b/>
          <w:bCs/>
        </w:rPr>
        <w:t xml:space="preserve">Data archiving. </w:t>
      </w:r>
      <w:r>
        <w:t xml:space="preserve">We completed the Data Availability Statement. We archived a citable snapshot of the SeqDef code (Zenodo DOI: [__]), the NCBI assembly table, and pointers to the posterior trees (VertLife / Stein et al. 2018, [DOI/URL]). For IUCN Red List data, which are not redistributable under their terms, we provide the Red List version, the exact query, and the access date so the assessment data can be reproduced [version __; accessed __].</w:t>
      </w:r>
    </w:p>
    <w:p>
      <w:pPr>
        <w:spacing w:after="140" w:line="288"/>
      </w:pPr>
      <w:r>
        <w:rPr>
          <w:b/>
          <w:bCs/>
        </w:rPr>
        <w:t xml:space="preserve">Author contributions. </w:t>
      </w:r>
      <w:r>
        <w:t xml:space="preserve">CRediT contributions for all authors are provided with the revised submission [to be completed].</w:t>
      </w:r>
    </w:p>
    <w:p>
      <w:pPr>
        <w:spacing w:after="140" w:line="288"/>
      </w:pPr>
      <w:r>
        <w:rPr>
          <w:b/>
          <w:bCs/>
        </w:rPr>
        <w:t xml:space="preserve">Reproducibility housekeeping. </w:t>
      </w:r>
      <w:r>
        <w:t xml:space="preserve">Before the public archive we removed credentials embedded in the analysis script and rotated the affected keys, completed the package DESCRIPTION (authors, ORCIDs, license) and citation, and added unit tests covering the three kernels and the λ-selection edge cases.</w:t>
      </w:r>
    </w:p>
    <w:p>
      <w:pPr>
        <w:spacing w:after="140" w:line="288"/>
      </w:pPr>
      <w:r>
        <w:rPr>
          <w:b/>
          <w:bCs/>
        </w:rPr>
        <w:t xml:space="preserve">Files included with this revision. </w:t>
      </w:r>
      <w:r>
        <w:t xml:space="preserve">a tracked-changes manuscript, a clean revised manuscript, and this point-by-point response.</w:t>
      </w:r>
    </w:p>
    <w:p>
      <w:pPr>
        <w:spacing w:after="140" w:line="288"/>
      </w:pPr>
      <w:r>
        <w:rPr>
          <w:i/>
          <w:iCs/>
        </w:rPr>
        <w:t xml:space="preserve">We thank the editor and reviewers again for their time and for feedback that has measurably strengthened the paper.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43C73"/>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862C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2026-06-02T16:20:08.306Z</dcterms:created>
  <dcterms:modified xsi:type="dcterms:W3CDTF">2026-06-02T16:20:08.306Z</dcterms:modified>
</cp:coreProperties>
</file>

<file path=docProps/custom.xml><?xml version="1.0" encoding="utf-8"?>
<Properties xmlns="http://schemas.openxmlformats.org/officeDocument/2006/custom-properties" xmlns:vt="http://schemas.openxmlformats.org/officeDocument/2006/docPropsVTypes"/>
</file>