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43C73"/>
          <w:sz w:val="40"/>
          <w:szCs w:val="40"/>
        </w:rPr>
        <w:t xml:space="preserve">Revision Strategy</w:t>
      </w:r>
    </w:p>
    <w:p>
      <w:pPr>
        <w:spacing w:after="40"/>
      </w:pPr>
      <w:r>
        <w:rPr>
          <w:i/>
          <w:iCs/>
          <w:sz w:val="24"/>
          <w:szCs w:val="24"/>
        </w:rPr>
        <w:t xml:space="preserve">SeqDef: An R package for phylogenetically weighted genomic prioritization across the tree of life</w:t>
      </w:r>
    </w:p>
    <w:p>
      <w:pPr>
        <w:spacing w:after="240"/>
      </w:pPr>
      <w:r>
        <w:rPr>
          <w:color w:val="666666"/>
          <w:sz w:val="20"/>
          <w:szCs w:val="20"/>
        </w:rPr>
        <w:t xml:space="preserve">Manuscript JEB-2026-00140 · Journal of Evolutionary Biology · Major Revision</w:t>
      </w:r>
    </w:p>
    <w:p>
      <w:pPr>
        <w:pStyle w:val="Heading1"/>
      </w:pPr>
      <w:r>
        <w:t xml:space="preserve">1. Overall posture</w:t>
      </w:r>
    </w:p>
    <w:p>
      <w:pPr>
        <w:spacing w:after="140" w:line="288"/>
      </w:pPr>
      <w:r>
        <w:t xml:space="preserve">The decision is encouraging: the editor calls the revisions “substantial but tractable,” both reviewers want the paper published, and — importantly — none of the five major concerns challenges the validity of the statistic itself. The reviewers ask you to do three things: clarify what the method already does, provide evidence for claims you currently assert, and position the tool more carefully relative to existing frameworks. Nothing requires re-deriving SeqDef.</w:t>
      </w:r>
    </w:p>
    <w:p>
      <w:pPr>
        <w:spacing w:after="140" w:line="288"/>
      </w:pPr>
      <w:r>
        <w:t xml:space="preserve">Concretely, about two-thirds of the points are text or typesetting fixes that can be closed in a day. The remainder are three contained analyses — λ/kernel sensitivity measured on rankings, an EDGE benchmark, and runtime benchmarks — and every one of them runs on data you already have in the repository (the 100 posterior trees, the IUCN table, and the NCBI assembly table). The eight-week window is comfortable.</w:t>
      </w:r>
    </w:p>
    <w:p>
      <w:pPr>
        <w:spacing w:after="140" w:line="288"/>
      </w:pPr>
      <w:r>
        <w:rPr>
          <w:b w:val="false"/>
          <w:bCs w:val="false"/>
        </w:rPr>
        <w:t xml:space="preserve">Three messages should run through the whole rebuttal (the “spine”):</w:t>
      </w:r>
    </w:p>
    <w:p>
      <w:pPr>
        <w:pStyle w:val="ListParagraph"/>
        <w:numPr>
          <w:ilvl w:val="0"/>
          <w:numId w:val="2"/>
        </w:numPr>
        <w:spacing w:after="90" w:line="288"/>
      </w:pPr>
      <w:r>
        <w:rPr>
          <w:b/>
          <w:bCs/>
        </w:rPr>
        <w:t xml:space="preserve">S was always general. </w:t>
      </w:r>
      <w:r>
        <w:t xml:space="preserve">The function accepts any numeric availability score in [0,1]; the binary case study is a deliberate, defensible operationalization, not the definition. Say so explicitly and the inconsistency disappears.</w:t>
      </w:r>
    </w:p>
    <w:p>
      <w:pPr>
        <w:pStyle w:val="ListParagraph"/>
        <w:numPr>
          <w:ilvl w:val="0"/>
          <w:numId w:val="2"/>
        </w:numPr>
        <w:spacing w:after="90" w:line="288"/>
      </w:pPr>
      <w:r>
        <w:rPr>
          <w:b/>
          <w:bCs/>
        </w:rPr>
        <w:t xml:space="preserve">The EDGE comparison is an opportunity, not a threat. </w:t>
      </w:r>
      <w:r>
        <w:t xml:space="preserve">SeqDef’s entire reason to exist is that it conditions on existing genomic data, which EDGE ignores. A benchmark that shows where the two diverge is your strongest evidence of added value — frame it as complementarity, never as a horse race.</w:t>
      </w:r>
    </w:p>
    <w:p>
      <w:pPr>
        <w:pStyle w:val="ListParagraph"/>
        <w:numPr>
          <w:ilvl w:val="0"/>
          <w:numId w:val="2"/>
        </w:numPr>
        <w:spacing w:after="90" w:line="288"/>
      </w:pPr>
      <w:r>
        <w:rPr>
          <w:b/>
          <w:bCs/>
        </w:rPr>
        <w:t xml:space="preserve">Every robustness worry gets the same answer you already used for topology. </w:t>
      </w:r>
      <w:r>
        <w:t xml:space="preserve">Figure 3 already shows the top target is stable across 100 posterior trees. Re-use that exact move for λ and for kernel choice: sweep the parameter, show the ranking (and the winner) barely moves.</w:t>
      </w:r>
    </w:p>
    <w:p>
      <w:pPr>
        <w:pStyle w:val="Heading1"/>
      </w:pPr>
      <w:r>
        <w:t xml:space="preserve">2. Triage at a glance</w:t>
      </w:r>
    </w:p>
    <w:p>
      <w:pPr>
        <w:spacing w:after="140" w:line="288"/>
      </w:pPr>
      <w:r>
        <w:t xml:space="preserve">Effort and risk are relative to a single experienced R user. “Risk” for the admin row is high in the sense that failure to complete it blocks acceptance, not because it is technically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50"/>
        <w:gridCol w:w="1150"/>
        <w:gridCol w:w="1150"/>
        <w:gridCol w:w="3010"/>
      </w:tblGrid>
      <w:tr>
        <w:tc>
          <w:tcPr>
            <w:tcW w:type="dxa" w:w="2700"/>
            <w:tcBorders>
              <w:top w:val="single" w:color="BBBBBB" w:sz="1"/>
              <w:left w:val="single" w:color="BBBBBB" w:sz="1"/>
              <w:bottom w:val="single" w:color="BBBBBB" w:sz="1"/>
              <w:right w:val="single" w:color="BBBBBB" w:sz="1"/>
            </w:tcBorders>
            <w:shd w:fill="D5E1F5" w:val="clear"/>
            <w:tcMar>
              <w:top w:type="dxa" w:w="60"/>
              <w:left w:type="dxa" w:w="110"/>
              <w:bottom w:type="dxa" w:w="60"/>
              <w:right w:type="dxa" w:w="110"/>
            </w:tcMar>
          </w:tcPr>
          <w:p>
            <w:pPr>
              <w:spacing w:after="0"/>
            </w:pPr>
            <w:r>
              <w:rPr>
                <w:b/>
                <w:bCs/>
              </w:rPr>
              <w:t xml:space="preserve">Reviewer point</w:t>
            </w:r>
          </w:p>
        </w:tc>
        <w:tc>
          <w:tcPr>
            <w:tcW w:type="dxa" w:w="1350"/>
            <w:tcBorders>
              <w:top w:val="single" w:color="BBBBBB" w:sz="1"/>
              <w:left w:val="single" w:color="BBBBBB" w:sz="1"/>
              <w:bottom w:val="single" w:color="BBBBBB" w:sz="1"/>
              <w:right w:val="single" w:color="BBBBBB" w:sz="1"/>
            </w:tcBorders>
            <w:shd w:fill="D5E1F5" w:val="clear"/>
            <w:tcMar>
              <w:top w:type="dxa" w:w="60"/>
              <w:left w:type="dxa" w:w="110"/>
              <w:bottom w:type="dxa" w:w="60"/>
              <w:right w:type="dxa" w:w="110"/>
            </w:tcMar>
          </w:tcPr>
          <w:p>
            <w:pPr>
              <w:spacing w:after="0"/>
            </w:pPr>
            <w:r>
              <w:rPr>
                <w:b/>
                <w:bCs/>
              </w:rPr>
              <w:t xml:space="preserve">Type</w:t>
            </w:r>
          </w:p>
        </w:tc>
        <w:tc>
          <w:tcPr>
            <w:tcW w:type="dxa" w:w="1150"/>
            <w:tcBorders>
              <w:top w:val="single" w:color="BBBBBB" w:sz="1"/>
              <w:left w:val="single" w:color="BBBBBB" w:sz="1"/>
              <w:bottom w:val="single" w:color="BBBBBB" w:sz="1"/>
              <w:right w:val="single" w:color="BBBBBB" w:sz="1"/>
            </w:tcBorders>
            <w:shd w:fill="D5E1F5" w:val="clear"/>
            <w:tcMar>
              <w:top w:type="dxa" w:w="60"/>
              <w:left w:type="dxa" w:w="110"/>
              <w:bottom w:type="dxa" w:w="60"/>
              <w:right w:type="dxa" w:w="110"/>
            </w:tcMar>
          </w:tcPr>
          <w:p>
            <w:pPr>
              <w:spacing w:after="0"/>
            </w:pPr>
            <w:r>
              <w:rPr>
                <w:b/>
                <w:bCs/>
              </w:rPr>
              <w:t xml:space="preserve">Effort</w:t>
            </w:r>
          </w:p>
        </w:tc>
        <w:tc>
          <w:tcPr>
            <w:tcW w:type="dxa" w:w="1150"/>
            <w:tcBorders>
              <w:top w:val="single" w:color="BBBBBB" w:sz="1"/>
              <w:left w:val="single" w:color="BBBBBB" w:sz="1"/>
              <w:bottom w:val="single" w:color="BBBBBB" w:sz="1"/>
              <w:right w:val="single" w:color="BBBBBB" w:sz="1"/>
            </w:tcBorders>
            <w:shd w:fill="D5E1F5" w:val="clear"/>
            <w:tcMar>
              <w:top w:type="dxa" w:w="60"/>
              <w:left w:type="dxa" w:w="110"/>
              <w:bottom w:type="dxa" w:w="60"/>
              <w:right w:type="dxa" w:w="110"/>
            </w:tcMar>
          </w:tcPr>
          <w:p>
            <w:pPr>
              <w:spacing w:after="0"/>
            </w:pPr>
            <w:r>
              <w:rPr>
                <w:b/>
                <w:bCs/>
              </w:rPr>
              <w:t xml:space="preserve">Risk</w:t>
            </w:r>
          </w:p>
        </w:tc>
        <w:tc>
          <w:tcPr>
            <w:tcW w:type="dxa" w:w="3010"/>
            <w:tcBorders>
              <w:top w:val="single" w:color="BBBBBB" w:sz="1"/>
              <w:left w:val="single" w:color="BBBBBB" w:sz="1"/>
              <w:bottom w:val="single" w:color="BBBBBB" w:sz="1"/>
              <w:right w:val="single" w:color="BBBBBB" w:sz="1"/>
            </w:tcBorders>
            <w:shd w:fill="D5E1F5" w:val="clear"/>
            <w:tcMar>
              <w:top w:type="dxa" w:w="60"/>
              <w:left w:type="dxa" w:w="110"/>
              <w:bottom w:type="dxa" w:w="60"/>
              <w:right w:type="dxa" w:w="110"/>
            </w:tcMar>
          </w:tcPr>
          <w:p>
            <w:pPr>
              <w:spacing w:after="0"/>
            </w:pPr>
            <w:r>
              <w:rPr>
                <w:b/>
                <w:bCs/>
              </w:rPr>
              <w:t xml:space="preserve">Recommended priority</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M1 – S definition (continuous vs binary)</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Text + example</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Do first – reconcile text, add worked examples</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M2a – λ sensitivity &amp; two methods compared</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Analysis</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Medium</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Medium</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Core – reuse posterior machinery</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M2b – Kernel choice / comparison</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Code + analysis</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Medium</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Medium</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Core – add kernel arg, compare rankings</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M3 – Benchmark vs EDGE</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Analysis</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Medium</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Medium</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Core – frame as complementarity</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M4 – Computational efficiency</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Analysis</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Low–Med</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Core – complexity + runtime benchmark</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M5 – Math notation (Eq 4, missing λ)</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Typesetting</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Do first – also fixes a real omission</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m6 – Introduction framing</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Text</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Do first</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m7 – Define “marginal information value”</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Text</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Do first</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m8 – Taxa lacking molecular data (rtrees)</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Discussion</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Discuss; optional prune=FALSE flag</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m9 – Line edits (ll. 40, 48, 178–180)</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Text + citation</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Do first</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Admin – Data Availability, CRediT, keys</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Compliance</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Low–Med</w:t>
            </w:r>
          </w:p>
        </w:tc>
        <w:tc>
          <w:tcPr>
            <w:tcW w:type="dxa" w:w="11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High*</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Mandatory for resubmission</w:t>
            </w:r>
          </w:p>
        </w:tc>
      </w:tr>
    </w:tbl>
    <w:p>
      <w:pPr>
        <w:spacing w:after="200" w:before="120"/>
      </w:pPr>
      <w:r>
        <w:rPr>
          <w:b/>
          <w:bCs/>
        </w:rPr>
        <w:t xml:space="preserve">* </w:t>
      </w:r>
      <w:r>
        <w:t xml:space="preserve">The admin items are not optional: the journal will not advance the paper without a completed Data Availability Statement and CRediT contributions. Treat them as gating.</w:t>
      </w:r>
    </w:p>
    <w:p>
      <w:r>
        <w:br w:type="page"/>
      </w:r>
    </w:p>
    <w:p>
      <w:pPr>
        <w:pStyle w:val="Heading1"/>
      </w:pPr>
      <w:r>
        <w:t xml:space="preserve">3. Point-by-point strategy</w:t>
      </w:r>
    </w:p>
    <w:p>
      <w:pPr>
        <w:pStyle w:val="Heading2"/>
      </w:pPr>
      <w:r>
        <w:t xml:space="preserve">Major 1 — Definition and consistency of Sᵢ</w:t>
      </w:r>
    </w:p>
    <w:p>
      <w:pPr>
        <w:spacing w:after="140" w:line="288"/>
      </w:pPr>
      <w:r>
        <w:rPr>
          <w:b/>
          <w:bCs/>
        </w:rPr>
        <w:t xml:space="preserve">What they ask: </w:t>
      </w:r>
      <w:r>
        <w:t xml:space="preserve">Both reviewers flag that Sᵢ is introduced as continuous on [0,1] (Methods) but used as binary in the case study. Reconcile this; if continuous, explain how it is computed (e.g., BUSCO); if binary, defend the simplification. Reviewer 2 asks for concrete examples beyond 0/1.</w:t>
      </w:r>
    </w:p>
    <w:p>
      <w:pPr>
        <w:spacing w:after="140" w:line="288"/>
      </w:pPr>
      <w:r>
        <w:rPr>
          <w:b/>
          <w:bCs/>
        </w:rPr>
        <w:t xml:space="preserve">What the code actually does: </w:t>
      </w:r>
      <w:r>
        <w:t xml:space="preserve">The function never requires binary input — it computes raw scores as the weight matrix times as.numeric(df[, data.col]). Any availability value in [0,1] already works. So this is not a contradiction in the method, only an unstated distinction between the general definition and the case-study choice.</w:t>
      </w:r>
    </w:p>
    <w:p>
      <w:pPr>
        <w:spacing w:after="140" w:line="288"/>
      </w:pPr>
      <w:r>
        <w:rPr>
          <w:b/>
          <w:bCs/>
        </w:rPr>
        <w:t xml:space="preserve">Recommended approach: </w:t>
      </w:r>
      <w:r>
        <w:t xml:space="preserve">Keep S continuous as the definition and frame the binary use as an operational decision. Three edits: (a) in the Methods, state plainly that Sᵢ ∈ [0,1] is a user-supplied availability score and that any monotone construction is admissible; (b) where the Chondrichthyes pipeline is introduced, add one sentence justifying binary for that analysis; (c) add a short “Defining S” paragraph (or README/vignette block) with worked continuous examples.</w:t>
      </w:r>
    </w:p>
    <w:p>
      <w:pPr>
        <w:spacing w:after="140" w:line="288"/>
      </w:pPr>
      <w:r>
        <w:rPr>
          <w:b/>
          <w:bCs/>
        </w:rPr>
        <w:t xml:space="preserve">Worked continuous-S examples to offer:</w:t>
      </w:r>
    </w:p>
    <w:p>
      <w:pPr>
        <w:pStyle w:val="ListParagraph"/>
        <w:numPr>
          <w:ilvl w:val="0"/>
          <w:numId w:val="3"/>
        </w:numPr>
        <w:spacing w:after="90" w:line="288"/>
      </w:pPr>
      <w:r>
        <w:rPr>
          <w:b/>
          <w:bCs/>
        </w:rPr>
        <w:t xml:space="preserve">Genome completeness: </w:t>
      </w:r>
      <w:r>
        <w:t xml:space="preserve">S = BUSCO complete fraction (already on [0,1]).</w:t>
      </w:r>
    </w:p>
    <w:p>
      <w:pPr>
        <w:pStyle w:val="ListParagraph"/>
        <w:numPr>
          <w:ilvl w:val="0"/>
          <w:numId w:val="3"/>
        </w:numPr>
        <w:spacing w:after="90" w:line="288"/>
      </w:pPr>
      <w:r>
        <w:rPr>
          <w:b/>
          <w:bCs/>
        </w:rPr>
        <w:t xml:space="preserve">Composite assembly quality: </w:t>
      </w:r>
      <w:r>
        <w:t xml:space="preserve">S = mean of rescaled BUSCO completeness, contiguity (e.g., log₁₀ N50 min–max scaled), and base accuracy (QV scaled) — give the formula.</w:t>
      </w:r>
    </w:p>
    <w:p>
      <w:pPr>
        <w:pStyle w:val="ListParagraph"/>
        <w:numPr>
          <w:ilvl w:val="0"/>
          <w:numId w:val="3"/>
        </w:numPr>
        <w:spacing w:after="90" w:line="288"/>
      </w:pPr>
      <w:r>
        <w:rPr>
          <w:b/>
          <w:bCs/>
        </w:rPr>
        <w:t xml:space="preserve">Data-type breadth: </w:t>
      </w:r>
      <w:r>
        <w:t xml:space="preserve">fraction of desired resources present, e.g., {genome, transcriptome, resequencing} → 0, 1/3, 2/3, 1.</w:t>
      </w:r>
    </w:p>
    <w:p>
      <w:pPr>
        <w:pStyle w:val="ListParagraph"/>
        <w:numPr>
          <w:ilvl w:val="0"/>
          <w:numId w:val="3"/>
        </w:numPr>
        <w:spacing w:after="90" w:line="288"/>
      </w:pPr>
      <w:r>
        <w:rPr>
          <w:b/>
          <w:bCs/>
        </w:rPr>
        <w:t xml:space="preserve">Saturating count: </w:t>
      </w:r>
      <w:r>
        <w:t xml:space="preserve">S = n/(n+1) or 1 − e^(−kn) so additional assemblies show diminishing returns.</w:t>
      </w:r>
    </w:p>
    <w:p>
      <w:pPr>
        <w:spacing w:after="140" w:line="288"/>
      </w:pPr>
      <w:r>
        <w:rPr>
          <w:b/>
          <w:bCs/>
        </w:rPr>
        <w:t xml:space="preserve">Defending binary for the case study: </w:t>
      </w:r>
      <w:r>
        <w:t xml:space="preserve">Presence/absence of an assembly is objective, uniformly available for all 850 species through a single NCBI query, and avoids confounding a methods demonstration with heterogeneous, often-missing quality metrics. It also matches the Earth BioGenome framing of “does a reference exist yet?” It is the most conservative and transparent choice for a first demonstration.</w:t>
      </w:r>
    </w:p>
    <w:p>
      <w:pPr>
        <w:spacing w:after="140" w:line="288"/>
      </w:pPr>
      <w:r>
        <w:rPr>
          <w:b/>
          <w:bCs/>
        </w:rPr>
        <w:t xml:space="preserve">Nice-to-have: </w:t>
      </w:r>
      <w:r>
        <w:t xml:space="preserve">Re-run a small subset (or the full clade) with a continuous BUSCO- or N50-based S and show in a supplementary panel that scores shift sensibly. This converts the rebuttal from “it can” to “it does,” and it directly answers both reviewers at once.</w:t>
      </w:r>
    </w:p>
    <w:p>
      <w:pPr>
        <w:pStyle w:val="Heading2"/>
      </w:pPr>
      <w:r>
        <w:t xml:space="preserve">Major 2 — Sensitivity to λ and choice of kernel</w:t>
      </w:r>
    </w:p>
    <w:p>
      <w:pPr>
        <w:pStyle w:val="Heading3"/>
      </w:pPr>
      <w:r>
        <w:t xml:space="preserve">2a. The λ parameter and the two selection methods</w:t>
      </w:r>
    </w:p>
    <w:p>
      <w:pPr>
        <w:spacing w:after="140" w:line="288"/>
      </w:pPr>
      <w:r>
        <w:rPr>
          <w:b/>
          <w:bCs/>
        </w:rPr>
        <w:t xml:space="preserve">What they ask: </w:t>
      </w:r>
      <w:r>
        <w:t xml:space="preserve">Show how sensitive results are to λ, and compare the two λ-selection methods (variance-maximization vs by-genus) against each other; currently they are not compared on outcomes.</w:t>
      </w:r>
    </w:p>
    <w:p>
      <w:pPr>
        <w:spacing w:after="140" w:line="288"/>
      </w:pPr>
      <w:r>
        <w:rPr>
          <w:b/>
          <w:bCs/>
        </w:rPr>
        <w:t xml:space="preserve">What you already have: </w:t>
      </w:r>
      <w:r>
        <w:t xml:space="preserve">validation.R produces the variance-vs-λ curves (Fig 2) and the distributions of λ chosen by both methods across the 100 posterior trees. What is missing is the reviewer’s real question: does λ change the prioritization, not just the variance?</w:t>
      </w:r>
    </w:p>
    <w:p>
      <w:pPr>
        <w:spacing w:after="140" w:line="288"/>
      </w:pPr>
      <w:r>
        <w:rPr>
          <w:b/>
          <w:bCs/>
        </w:rPr>
        <w:t xml:space="preserve">Recommended new analysis (small): </w:t>
      </w:r>
      <w:r>
        <w:t xml:space="preserve">Add a rank-stability panel. Across a λ grid (e.g., 1–25), compute the SeqDef ranking and the final Priority ranking, then report the Spearman correlation of each ranking against the auto_max ranking, plus the top-10 (and top-1) overlap as a function of λ. Expectation, given normalized distances and an exponential kernel: rankings are stable across a broad λ band and the top target is invariant. Present this as the λ analogue of Fig 3.</w:t>
      </w:r>
    </w:p>
    <w:p>
      <w:pPr>
        <w:spacing w:after="140" w:line="288"/>
      </w:pPr>
      <w:r>
        <w:rPr>
          <w:b/>
          <w:bCs/>
        </w:rPr>
        <w:t xml:space="preserve">Direct head-to-head: </w:t>
      </w:r>
      <w:r>
        <w:t xml:space="preserve">For each posterior tree, compute Priority under auto_max and under by_genus and report (i) the λ values you already have, (ii) the rank correlation between the two methods’ outputs, and (iii) how often they agree on the top target. This turns Fig 2’s two separate panels into an explicit comparison and lets you state which to use as default (recommend auto_max for discriminatory power; by_genus when a biologically interpretable horizon is wanted).</w:t>
      </w:r>
    </w:p>
    <w:p>
      <w:pPr>
        <w:spacing w:after="140" w:line="288"/>
      </w:pPr>
      <w:r>
        <w:rPr>
          <w:b/>
          <w:bCs/>
        </w:rPr>
        <w:t xml:space="preserve">Honesty check: </w:t>
      </w:r>
      <w:r>
        <w:t xml:space="preserve">Run it before writing the claim. If rankings turn out to be λ-sensitive, pivot the message to “auto_max provides a principled, reproducible choice and we report the band of stability” — do not assert robustness you have not measured.</w:t>
      </w:r>
    </w:p>
    <w:p>
      <w:pPr>
        <w:pStyle w:val="Heading3"/>
      </w:pPr>
      <w:r>
        <w:t xml:space="preserve">2b. The kernel function</w:t>
      </w:r>
    </w:p>
    <w:p>
      <w:pPr>
        <w:spacing w:after="140" w:line="288"/>
      </w:pPr>
      <w:r>
        <w:rPr>
          <w:b/>
          <w:bCs/>
        </w:rPr>
        <w:t xml:space="preserve">What they ask: </w:t>
      </w:r>
      <w:r>
        <w:t xml:space="preserve">Justify the exponential kernel over alternatives, ideally with a systematic comparison.</w:t>
      </w:r>
    </w:p>
    <w:p>
      <w:pPr>
        <w:spacing w:after="140" w:line="288"/>
      </w:pPr>
      <w:r>
        <w:rPr>
          <w:b/>
          <w:bCs/>
        </w:rPr>
        <w:t xml:space="preserve">What the code does: </w:t>
      </w:r>
      <w:r>
        <w:t xml:space="preserve">Only the exponential kernel is implemented — the calculation hard-codes exp(−λ · d/T_depth). (Note: calc_priority’s “model” argument controls how SeqDef is combined with the trait, not the phylogenetic kernel; do not confuse the two in the rebuttal.) The manuscript discusses Gaussian, linear, and Brownian options conceptually but does not implement or compare them.</w:t>
      </w:r>
    </w:p>
    <w:p>
      <w:pPr>
        <w:spacing w:after="140" w:line="288"/>
      </w:pPr>
      <w:r>
        <w:rPr>
          <w:b/>
          <w:bCs/>
        </w:rPr>
        <w:t xml:space="preserve">Recommended approach (do both, lightly): </w:t>
      </w:r>
      <w:r>
        <w:t xml:space="preserve">(a) Give the principled justification up front: the exponential kernel is the natural choice because it yields a single, interpretable tunable horizon — the “phylogenetic half-life” — and is standard in distance-decay biodiversity measures (Pavoine et al. 2005) and sequence-novelty work (Marini et al. 2022). (b) Add a kernel argument to the function — kernel = c(“exponential”,“gaussian”,“linear”) — which is a one-line change at the calculation step, then report the rank correlation of SeqDef/Priority across kernels and whether the top target is preserved. This converts a conceptual claim into evidence at modest cost.</w:t>
      </w:r>
    </w:p>
    <w:p>
      <w:pPr>
        <w:spacing w:after="140" w:line="288"/>
      </w:pPr>
      <w:r>
        <w:rPr>
          <w:b/>
          <w:bCs/>
        </w:rPr>
        <w:t xml:space="preserve">Fix a loose claim: </w:t>
      </w:r>
      <w:r>
        <w:t xml:space="preserve">The Discussion currently says small λ can “simulate” a Brownian-motion model. Either support this with the Brownian covariance kernel directly (you mention it in Methods) or soften it; as written it is hand-wavy and a careful reviewer will notice.</w:t>
      </w:r>
    </w:p>
    <w:p>
      <w:pPr>
        <w:spacing w:after="140" w:line="288"/>
      </w:pPr>
      <w:r>
        <w:rPr>
          <w:b/>
          <w:bCs/>
        </w:rPr>
        <w:t xml:space="preserve">Figure 1 (editor seconds Reviewer 2): </w:t>
      </w:r>
      <w:r>
        <w:t xml:space="preserve">Annotate Fig 1 with the λ used. Important catch: the current toy-tree panel in analysis.R uses hand-set SeqDef values, not an actual SeqDef() run, so there is no λ to report yet. Regenerate Fig 1 by actually running SeqDef() on the toy tree, and ideally show two or three λ values side by side so readers see the horizon effect the reviewer wants to understand.</w:t>
      </w:r>
    </w:p>
    <w:p>
      <w:pPr>
        <w:pStyle w:val="Heading2"/>
      </w:pPr>
      <w:r>
        <w:t xml:space="preserve">Major 3 — Comparison with existing methods (EDGE)</w:t>
      </w:r>
    </w:p>
    <w:p>
      <w:pPr>
        <w:spacing w:after="140" w:line="288"/>
      </w:pPr>
      <w:r>
        <w:rPr>
          <w:b/>
          <w:bCs/>
        </w:rPr>
        <w:t xml:space="preserve">What they ask: </w:t>
      </w:r>
      <w:r>
        <w:t xml:space="preserve">Benchmark SeqDef against at least one existing approach (EDGE) on simulated or empirical data so readers can see where SeqDef adds value.</w:t>
      </w:r>
    </w:p>
    <w:p>
      <w:pPr>
        <w:spacing w:after="140" w:line="288"/>
      </w:pPr>
      <w:r>
        <w:rPr>
          <w:b/>
          <w:bCs/>
        </w:rPr>
        <w:t xml:space="preserve">Recommended approach: </w:t>
      </w:r>
      <w:r>
        <w:t xml:space="preserve">Benchmark on the Chondrichthyes data you already have. Compute Evolutionary Distinctiveness (fair-proportion or equal-splits via picante::evol.distinct or caper) on the MCC tree, combine with the same IUCN GE weights to form classic EDGE (Isaac et al. 2007), and ideally also EDGE2 (Gumbs et al. 2023). Then compare against SeqDef-Priority with: (i) Spearman rank correlation, (ii) overlap of the top-25 lists, and (iii) — the key panel — the species where they most disagree, with the mechanism explained.</w:t>
      </w:r>
    </w:p>
    <w:p>
      <w:pPr>
        <w:spacing w:after="140" w:line="288"/>
      </w:pPr>
      <w:r>
        <w:rPr>
          <w:b/>
          <w:bCs/>
        </w:rPr>
        <w:t xml:space="preserve">The argument to make: </w:t>
      </w:r>
      <w:r>
        <w:t xml:space="preserve">The divergence is the value proposition. A species that is evolutionarily distinct and endangered but whose close sister is already sequenced ranks high on EDGE yet low on SeqDef, because its marginal genomic information is already captured. Show one such case explicitly, then show that C. atromarginatus ranks high on both precisely because Centrophoridae has no genome at all. Frame the conclusion as complementarity: SeqDef answers a different question (marginal genomic information given current data), and it is dynamic — priorities update as relatives are sequenced — which static EDGE is not.</w:t>
      </w:r>
    </w:p>
    <w:p>
      <w:pPr>
        <w:spacing w:after="140" w:line="288"/>
      </w:pPr>
      <w:r>
        <w:rPr>
          <w:b/>
          <w:bCs/>
        </w:rPr>
        <w:t xml:space="preserve">Positioning bonus: </w:t>
      </w:r>
      <w:r>
        <w:t xml:space="preserve">EDGE2 already conditions a species’ score on the extinction risk of its relatives. Note that SeqDef extends the same complementarity logic to genomic-data availability specifically. This both strengthens the benchmark and feeds the Introduction reframing (m6).</w:t>
      </w:r>
    </w:p>
    <w:p>
      <w:pPr>
        <w:pStyle w:val="Heading2"/>
      </w:pPr>
      <w:r>
        <w:t xml:space="preserve">Major 4 — Computational efficiency claims</w:t>
      </w:r>
    </w:p>
    <w:p>
      <w:pPr>
        <w:spacing w:after="140" w:line="288"/>
      </w:pPr>
      <w:r>
        <w:rPr>
          <w:b/>
          <w:bCs/>
        </w:rPr>
        <w:t xml:space="preserve">What they ask: </w:t>
      </w:r>
      <w:r>
        <w:t xml:space="preserve">Back the “efficient” / “scales to large phylogenies” claims with a complexity analysis and/or empirical benchmarks, including hardware and input-size scaling.</w:t>
      </w:r>
    </w:p>
    <w:p>
      <w:pPr>
        <w:spacing w:after="140" w:line="288"/>
      </w:pPr>
      <w:r>
        <w:rPr>
          <w:b/>
          <w:bCs/>
        </w:rPr>
        <w:t xml:space="preserve">Complexity analysis to state: </w:t>
      </w:r>
      <w:r>
        <w:t xml:space="preserve">For n tips, the cophenetic distance matrix is O(n²) in time and memory; each λ evaluation forms the weight matrix and a matrix–vector product, both O(n²). auto_max scans up to 491 λ values (seq(1, 50, 0.1)) with an early-stop rule, so it is O(k·n²) with k ≤ 491. The binding constraint is the O(n²) dense matrix in memory: at tree-of-life scale (n ≈ 30,000) an n×n double matrix is roughly 7 GB, so naive application to the full tree is memory-bound.</w:t>
      </w:r>
    </w:p>
    <w:p>
      <w:pPr>
        <w:spacing w:after="140" w:line="288"/>
      </w:pPr>
      <w:r>
        <w:rPr>
          <w:b/>
          <w:bCs/>
        </w:rPr>
        <w:t xml:space="preserve">Empirical benchmark to add: </w:t>
      </w:r>
      <w:r>
        <w:t xml:space="preserve">Time SeqDef on simulated trees (ape::rtree) at n = 100, 250, 500, 1,000, 2,500, 5,000, 10,000 — for a single λ and for auto_max — reporting wall-clock and peak memory with CPU/RAM/R-version stated. Confirm the ∼O(n²) scaling. Add the real Chondrichthyes timing (850 tips × 100 trees × auto_max) as a concrete anchor.</w:t>
      </w:r>
    </w:p>
    <w:p>
      <w:pPr>
        <w:spacing w:after="140" w:line="288"/>
      </w:pPr>
      <w:r>
        <w:rPr>
          <w:b/>
          <w:bCs/>
        </w:rPr>
        <w:t xml:space="preserve">Then soften the prose: </w:t>
      </w:r>
      <w:r>
        <w:t xml:space="preserve">Replace “high computational efficiency even for large phylogenies” with a calibrated statement: efficient at clade scale (hundreds to a few thousand tips), with an explicit O(n²)-memory caveat for whole-tree-of-life use. Offer sparsification as future work — because distant pairs contribute ≈ 0, a truncated or nearest-neighbour kernel would cut cost substantially. This turns a weakness into a forward-looking note.</w:t>
      </w:r>
    </w:p>
    <w:p>
      <w:pPr>
        <w:pStyle w:val="Heading2"/>
      </w:pPr>
      <w:r>
        <w:t xml:space="preserve">Major 5 — Mathematical notation</w:t>
      </w:r>
    </w:p>
    <w:p>
      <w:pPr>
        <w:spacing w:after="140" w:line="288"/>
      </w:pPr>
      <w:r>
        <w:rPr>
          <w:b/>
          <w:bCs/>
        </w:rPr>
        <w:t xml:space="preserve">What they ask: </w:t>
      </w:r>
      <w:r>
        <w:t xml:space="preserve">In Eq 4 and nearby, “Priority” and the “f” in “SeqDef” are italicized, which collides with variable notation; set multi-letter operator/label names in upright (roman) type and check consistency.</w:t>
      </w:r>
    </w:p>
    <w:p>
      <w:pPr>
        <w:spacing w:after="140" w:line="288"/>
      </w:pPr>
      <w:r>
        <w:rPr>
          <w:b/>
          <w:bCs/>
        </w:rPr>
        <w:t xml:space="preserve">Recommended fix: </w:t>
      </w:r>
      <w:r>
        <w:t xml:space="preserve">Set Priority, SeqDef, and all label subscripts (norm, median, depth) in roman; reserve italics for true scalar variables (Sᵢ, w_fi, d_fi, A, λ, n, and indices i, f). In LaTeX use \mathrm{} or \operatorname{}; in Word, just unbold/unitalicize the label text.</w:t>
      </w:r>
    </w:p>
    <w:p>
      <w:pPr>
        <w:spacing w:after="140" w:line="288"/>
      </w:pPr>
      <w:r>
        <w:rPr>
          <w:b/>
          <w:bCs/>
        </w:rPr>
        <w:t xml:space="preserve">Higher-value catch while you are in there: </w:t>
      </w:r>
      <w:r>
        <w:t xml:space="preserve">The displayed kernel equation appears to be missing λ — it reads w_fi = exp(− d_fi / T_depth) although the surrounding text says it is “scaled by λ” and the code computes exp(−λ · d/T_depth). Correct the equation to w_fi = exp(−λ · d_fi / T_depth). Likewise render the priority formula unambiguously as Priority = SeqDef_median × 2^GE (matching calc_priority: s × base^trait). Do a single consistency pass so every symbol is defined once and matches the code.</w:t>
      </w:r>
    </w:p>
    <w:p>
      <w:pPr>
        <w:pStyle w:val="Heading2"/>
      </w:pPr>
      <w:r>
        <w:t xml:space="preserve">Minor 6 — Introduction framing</w:t>
      </w:r>
    </w:p>
    <w:p>
      <w:pPr>
        <w:spacing w:after="140" w:line="288"/>
      </w:pPr>
      <w:r>
        <w:rPr>
          <w:b/>
          <w:bCs/>
        </w:rPr>
        <w:t xml:space="preserve">What they ask: </w:t>
      </w:r>
      <w:r>
        <w:t xml:space="preserve">The Introduction implies that distinctiveness-plus-threat ranking (EDGE-type) and information-maximizing sampling schemes are opposed; reframe them as complementary, with SeqDef as a synthesis.</w:t>
      </w:r>
    </w:p>
    <w:p>
      <w:pPr>
        <w:spacing w:after="140" w:line="288"/>
      </w:pPr>
      <w:r>
        <w:rPr>
          <w:b/>
          <w:bCs/>
        </w:rPr>
        <w:t xml:space="preserve">Recommended approach: </w:t>
      </w:r>
      <w:r>
        <w:t xml:space="preserve">Rewrite the relevant paragraph to present two complementary traditions: (i) distinctiveness/threat ranking (Faith’s PD; EDGE/EDGE2; Soares et al. 2023 for fishes) and (ii) information-maximizing sampling schemes (Marini et al. 2022; subtree-power approaches). Position SeqDef as the bridge: it imports the “condition on what is already sampled” logic of sampling schemes into the conservation-prioritization tradition, and can be weighted by any threat or value trait. Remove the oppositional phrasing (“simply overlapping phylogeny and threat … ignores …”) and replace “distinct” with “complements.” Note that EDGE2 already conditions on relatives’ risk, so the field is converging on exactly the conditioning logic SeqDef formalizes for genomic data.</w:t>
      </w:r>
    </w:p>
    <w:p>
      <w:pPr>
        <w:pStyle w:val="Heading2"/>
      </w:pPr>
      <w:r>
        <w:t xml:space="preserve">Minor 7 — Define “marginal information value” (l. 48)</w:t>
      </w:r>
    </w:p>
    <w:p>
      <w:pPr>
        <w:spacing w:after="140" w:line="288"/>
      </w:pPr>
      <w:r>
        <w:rPr>
          <w:b/>
          <w:bCs/>
        </w:rPr>
        <w:t xml:space="preserve">What they ask: </w:t>
      </w:r>
      <w:r>
        <w:t xml:space="preserve">Give a precise definition of this central term.</w:t>
      </w:r>
    </w:p>
    <w:p>
      <w:pPr>
        <w:spacing w:after="140" w:line="288"/>
      </w:pPr>
      <w:r>
        <w:rPr>
          <w:b/>
          <w:bCs/>
        </w:rPr>
        <w:t xml:space="preserve">Suggested wording: </w:t>
      </w:r>
      <w:r>
        <w:t xml:space="preserve">“By marginal information value we mean the expected gain in genome-derived comparative information from adding a focal taxon’s genome to the current set, given the genomes already available in its relatives. A taxon has high marginal value when little of its genomic information is already captured by sequenced close relatives.” Then tie it directly to the formal object: operationally this is the complement of phylogenetically weighted availability, 1 − A_f.</w:t>
      </w:r>
    </w:p>
    <w:p>
      <w:pPr>
        <w:pStyle w:val="Heading2"/>
      </w:pPr>
      <w:r>
        <w:t xml:space="preserve">Minor 8 — Extending to taxa lacking any molecular data</w:t>
      </w:r>
    </w:p>
    <w:p>
      <w:pPr>
        <w:spacing w:after="140" w:line="288"/>
      </w:pPr>
      <w:r>
        <w:rPr>
          <w:b/>
          <w:bCs/>
        </w:rPr>
        <w:t xml:space="preserve">What they ask: </w:t>
      </w:r>
      <w:r>
        <w:t xml:space="preserve">Discuss (not necessarily implement) using SeqDef on species absent from the molecular dataset — inserting them via tools like rtrees and scoring the augmented tree.</w:t>
      </w:r>
    </w:p>
    <w:p>
      <w:pPr>
        <w:spacing w:after="140" w:line="288"/>
      </w:pPr>
      <w:r>
        <w:rPr>
          <w:b/>
          <w:bCs/>
        </w:rPr>
        <w:t xml:space="preserve">Recommended approach: </w:t>
      </w:r>
      <w:r>
        <w:t xml:space="preserve">Add a short Discussion paragraph. Current behaviour prunes to the tree∩data intersection (keep.tip), so only placed species are scored. For species lacking molecular data — common in the tropics — one can graft them onto the phylogeny with taxonomic insertion tools (rtrees, V.PhyloMaker, phytools::add.species.to.genus, TACT/PASTIS) and then run SeqDef; such taxa, having no data and often sitting in undersampled clades, surface as high-deficiency targets. Caveat honestly: insertion adds placement and branch-length uncertainty that propagates into SeqDef — but your posterior-tree machinery already integrates over uncertainty, so one could average over many stochastic insertions. Cite Soares et al. 2023, who did exactly this insertion-based approach for the fish tree of life, as precedent. Optionally offer a lightweight prune = FALSE / user-supplied-augmented-tree option to make this a one-line user choice rather than a manual workaround.</w:t>
      </w:r>
    </w:p>
    <w:p>
      <w:pPr>
        <w:pStyle w:val="Heading2"/>
      </w:pPr>
      <w:r>
        <w:t xml:space="preserve">Minor 9 — Line-level edits</w:t>
      </w:r>
    </w:p>
    <w:p>
      <w:pPr>
        <w:spacing w:after="140" w:line="288"/>
      </w:pPr>
      <w:r>
        <w:rPr>
          <w:b/>
          <w:bCs/>
        </w:rPr>
        <w:t xml:space="preserve">Line 40 — add the Soares citation: </w:t>
      </w:r>
      <w:r>
        <w:t xml:space="preserve">The reviewer’s “Soares et al., Conservation Biology” is almost certainly Soares et al. (2023), “Quantifying and overcoming Darwinian shortfalls to conserve the fish tree of life,” which was published in Biological Conservation (not Conservation Biology — cite the correct journal). It is fish-focused and EDGE-adjacent, so it fits the existing-frameworks sentence and supports m8.</w:t>
      </w:r>
    </w:p>
    <w:p>
      <w:pPr>
        <w:spacing w:after="140" w:line="288"/>
      </w:pPr>
      <w:r>
        <w:rPr>
          <w:b/>
          <w:bCs/>
        </w:rPr>
        <w:t xml:space="preserve">Line 48 — </w:t>
      </w:r>
      <w:r>
        <w:t xml:space="preserve">handled by Minor 7 (define marginal information value).</w:t>
      </w:r>
    </w:p>
    <w:p>
      <w:pPr>
        <w:spacing w:after="140" w:line="288"/>
      </w:pPr>
      <w:r>
        <w:rPr>
          <w:b/>
          <w:bCs/>
        </w:rPr>
        <w:t xml:space="preserve">Lines 178–180 — rewrite the “multiplicative effect” sentence: </w:t>
      </w:r>
      <w:r>
        <w:t xml:space="preserve">Make the doubling explicit. Suggested: “Because GE enters as an exponent of 2, each one-category increase in extinction risk doubles a taxon’s priority: a Critically Endangered taxon (GE = 4) receives 2⁴ = 16× the weight of a Least Concern taxon (GE = 0) with the same SeqDef. Priority therefore rises steeply for taxa that are simultaneously isolated from existing genomes and highly threatened.”</w:t>
      </w:r>
    </w:p>
    <w:p>
      <w:pPr>
        <w:spacing w:after="140" w:line="288"/>
      </w:pPr>
      <w:r>
        <w:rPr>
          <w:b/>
          <w:bCs/>
        </w:rPr>
        <w:t xml:space="preserve">Reviewer 2’s taxonomic-uncertainty weight: </w:t>
      </w:r>
      <w:r>
        <w:t xml:space="preserve">Acknowledge it. It slots in naturally as another trait passed to calc_priority (or as a per-tip down-weight). Offer it as an easy extension / future-work item rather than a required change.</w:t>
      </w:r>
    </w:p>
    <w:p>
      <w:r>
        <w:br w:type="page"/>
      </w:r>
    </w:p>
    <w:p>
      <w:pPr>
        <w:pStyle w:val="Heading1"/>
      </w:pPr>
      <w:r>
        <w:t xml:space="preserve">4. New analyses to script (consolidated)</w:t>
      </w:r>
    </w:p>
    <w:p>
      <w:pPr>
        <w:spacing w:after="140" w:line="288"/>
      </w:pPr>
      <w:r>
        <w:t xml:space="preserve">All four run on assets already in the repo (chondrichthyes.nex, iucn_assessment_data.rds, ncbi_assembly_data.rds) plus simulated trees. None needs new data downloads.</w:t>
      </w:r>
    </w:p>
    <w:p>
      <w:pPr>
        <w:pStyle w:val="ListParagraph"/>
        <w:numPr>
          <w:ilvl w:val="0"/>
          <w:numId w:val="2"/>
        </w:numPr>
        <w:spacing w:after="90" w:line="288"/>
      </w:pPr>
      <w:r>
        <w:rPr>
          <w:b/>
          <w:bCs/>
        </w:rPr>
        <w:t xml:space="preserve">λ rank-stability + method head-to-head </w:t>
      </w:r>
      <w:r>
        <w:t xml:space="preserve">(answers M2a): Spearman ρ and top-k overlap vs λ across 1–25; auto_max vs by_genus agreement across the 100 posterior trees.</w:t>
      </w:r>
    </w:p>
    <w:p>
      <w:pPr>
        <w:pStyle w:val="ListParagraph"/>
        <w:numPr>
          <w:ilvl w:val="0"/>
          <w:numId w:val="2"/>
        </w:numPr>
        <w:spacing w:after="90" w:line="288"/>
      </w:pPr>
      <w:r>
        <w:rPr>
          <w:b/>
          <w:bCs/>
        </w:rPr>
        <w:t xml:space="preserve">Kernel comparison </w:t>
      </w:r>
      <w:r>
        <w:t xml:space="preserve">(answers M2b): add kernel arg (exponential/gaussian/linear), report rank correlation and top-target preservation across kernels.</w:t>
      </w:r>
    </w:p>
    <w:p>
      <w:pPr>
        <w:pStyle w:val="ListParagraph"/>
        <w:numPr>
          <w:ilvl w:val="0"/>
          <w:numId w:val="2"/>
        </w:numPr>
        <w:spacing w:after="90" w:line="288"/>
      </w:pPr>
      <w:r>
        <w:rPr>
          <w:b/>
          <w:bCs/>
        </w:rPr>
        <w:t xml:space="preserve">EDGE / EDGE2 benchmark </w:t>
      </w:r>
      <w:r>
        <w:t xml:space="preserve">(answers M3): compute ED + EDGE/EDGE2, correlate with SeqDef-Priority, show top-list overlap and the explained-divergence cases.</w:t>
      </w:r>
    </w:p>
    <w:p>
      <w:pPr>
        <w:pStyle w:val="ListParagraph"/>
        <w:numPr>
          <w:ilvl w:val="0"/>
          <w:numId w:val="2"/>
        </w:numPr>
        <w:spacing w:after="90" w:line="288"/>
      </w:pPr>
      <w:r>
        <w:rPr>
          <w:b/>
          <w:bCs/>
        </w:rPr>
        <w:t xml:space="preserve">Runtime + complexity benchmark </w:t>
      </w:r>
      <w:r>
        <w:t xml:space="preserve">(answers M4): wall-clock and peak memory at n = 100–10,000 for single-λ and auto_max, with hardware specs; plus the real Chondrichthyes timing.</w:t>
      </w:r>
    </w:p>
    <w:p>
      <w:pPr>
        <w:spacing w:after="140" w:line="288"/>
      </w:pPr>
      <w:r>
        <w:rPr>
          <w:b w:val="false"/>
          <w:bCs w:val="false"/>
        </w:rPr>
        <w:t xml:space="preserve">Also regenerate </w:t>
      </w:r>
      <w:r>
        <w:rPr>
          <w:b/>
          <w:bCs/>
        </w:rPr>
        <w:t xml:space="preserve">Figure 1</w:t>
      </w:r>
      <w:r>
        <w:rPr>
          <w:b w:val="false"/>
          <w:bCs w:val="false"/>
        </w:rPr>
        <w:t xml:space="preserve"> from a real SeqDef() run with λ annotated (ideally 2–3 λ panels), and add a </w:t>
      </w:r>
      <w:r>
        <w:rPr>
          <w:b/>
          <w:bCs/>
        </w:rPr>
        <w:t xml:space="preserve">supplementary continuous-S example</w:t>
      </w:r>
      <w:r>
        <w:t xml:space="preserve"> (BUSCO/N50-based) for M1.</w:t>
      </w:r>
    </w:p>
    <w:p>
      <w:pPr>
        <w:pStyle w:val="Heading1"/>
      </w:pPr>
      <w:r>
        <w:t xml:space="preserve">5. Pre-submission checklist (mandatory + recommended)</w:t>
      </w:r>
    </w:p>
    <w:p>
      <w:pPr>
        <w:pStyle w:val="Heading3"/>
      </w:pPr>
      <w:r>
        <w:t xml:space="preserve">Mandatory — the journal gates on these</w:t>
      </w:r>
    </w:p>
    <w:p>
      <w:pPr>
        <w:pStyle w:val="ListParagraph"/>
        <w:numPr>
          <w:ilvl w:val="0"/>
          <w:numId w:val="3"/>
        </w:numPr>
        <w:spacing w:after="90" w:line="288"/>
      </w:pPr>
      <w:r>
        <w:rPr>
          <w:b/>
          <w:bCs/>
        </w:rPr>
        <w:t xml:space="preserve">Data Availability Statement: </w:t>
      </w:r>
      <w:r>
        <w:t xml:space="preserve">archive the posterior trees (cite the VertLife/Stein et al. source + DOI), the NCBI assembly table, and the code. Snapshot the SeqDef repo to Zenodo for a citable DOI. For the IUCN data, check redistribution terms — IUCN assessments are generally not redistributable, so provide the Red List version, query parameters, and access date rather than the raw .rds.</w:t>
      </w:r>
    </w:p>
    <w:p>
      <w:pPr>
        <w:pStyle w:val="ListParagraph"/>
        <w:numPr>
          <w:ilvl w:val="0"/>
          <w:numId w:val="3"/>
        </w:numPr>
        <w:spacing w:after="90" w:line="288"/>
      </w:pPr>
      <w:r>
        <w:rPr>
          <w:b/>
          <w:bCs/>
        </w:rPr>
        <w:t xml:space="preserve">CRediT author contributions: </w:t>
      </w:r>
      <w:r>
        <w:t xml:space="preserve">required at resubmission and not editable after acceptance — fill in for every author now.</w:t>
      </w:r>
    </w:p>
    <w:p>
      <w:pPr>
        <w:pStyle w:val="ListParagraph"/>
        <w:numPr>
          <w:ilvl w:val="0"/>
          <w:numId w:val="3"/>
        </w:numPr>
        <w:spacing w:after="90" w:line="288"/>
      </w:pPr>
      <w:r>
        <w:rPr>
          <w:b/>
          <w:bCs/>
        </w:rPr>
        <w:t xml:space="preserve">Tracked-changes manuscript + point-by-point response: </w:t>
      </w:r>
      <w:r>
        <w:t xml:space="preserve">the journal explicitly requires both files. (The companion response document covers the second.)</w:t>
      </w:r>
    </w:p>
    <w:p>
      <w:pPr>
        <w:pStyle w:val="Heading3"/>
      </w:pPr>
      <w:r>
        <w:t xml:space="preserve">Strongly recommended — cheap credibility for a software paper</w:t>
      </w:r>
    </w:p>
    <w:p>
      <w:pPr>
        <w:pStyle w:val="ListParagraph"/>
        <w:numPr>
          <w:ilvl w:val="0"/>
          <w:numId w:val="3"/>
        </w:numPr>
        <w:spacing w:after="90" w:line="288"/>
      </w:pPr>
      <w:r>
        <w:rPr>
          <w:b/>
          <w:bCs/>
        </w:rPr>
        <w:t xml:space="preserve">Remove exposed API keys before the repo goes public. </w:t>
      </w:r>
      <w:r>
        <w:t xml:space="preserve">analysis.R contains a real-looking NCBI Entrez key and an IUCN Red List key (even though commented out). They are also in git history. Revoke/rotate them now and scrub history (git filter-repo or BFG) before any public archive — a data-archiving requirement will expose them otherwise.</w:t>
      </w:r>
    </w:p>
    <w:p>
      <w:pPr>
        <w:pStyle w:val="ListParagraph"/>
        <w:numPr>
          <w:ilvl w:val="0"/>
          <w:numId w:val="3"/>
        </w:numPr>
        <w:spacing w:after="90" w:line="288"/>
      </w:pPr>
      <w:r>
        <w:rPr>
          <w:b/>
          <w:bCs/>
        </w:rPr>
        <w:t xml:space="preserve">Fix package metadata: </w:t>
      </w:r>
      <w:r>
        <w:t xml:space="preserve">DESCRIPTION still has the placeholder author “Your Name / your.email@example.com”; README citation is “TBD.” Add real authors/ORCIDs, license file, and a citation before archiving.</w:t>
      </w:r>
    </w:p>
    <w:p>
      <w:pPr>
        <w:pStyle w:val="ListParagraph"/>
        <w:numPr>
          <w:ilvl w:val="0"/>
          <w:numId w:val="3"/>
        </w:numPr>
        <w:spacing w:after="90" w:line="288"/>
      </w:pPr>
      <w:r>
        <w:rPr>
          <w:b/>
          <w:bCs/>
        </w:rPr>
        <w:t xml:space="preserve">Add minimal unit tests: </w:t>
      </w:r>
      <w:r>
        <w:t xml:space="preserve">DESCRIPTION Suggests testthat but the package ships none. A handful of tests (known toy-tree outputs, the three kernels, lambda edge cases) materially strengthens a methods/software submission and is quick.</w:t>
      </w:r>
    </w:p>
    <w:p>
      <w:pPr>
        <w:pStyle w:val="Heading1"/>
      </w:pPr>
      <w:r>
        <w:t xml:space="preserve">6. Suggested order within the 8 weeks</w:t>
      </w:r>
    </w:p>
    <w:p>
      <w:pPr>
        <w:spacing w:after="140" w:line="288"/>
      </w:pPr>
      <w:r>
        <w:rPr>
          <w:b/>
          <w:bCs/>
        </w:rPr>
        <w:t xml:space="preserve">Week 1 — </w:t>
      </w:r>
      <w:r>
        <w:t xml:space="preserve">clear all text/typesetting points (M1 text, M5, m6, m7, m8, m9) and the notation/equation fixes; rotate the API keys. These alone resolve six of the nine comments.</w:t>
      </w:r>
    </w:p>
    <w:p>
      <w:pPr>
        <w:spacing w:after="140" w:line="288"/>
      </w:pPr>
      <w:r>
        <w:rPr>
          <w:b/>
          <w:bCs/>
        </w:rPr>
        <w:t xml:space="preserve">Weeks 2–4 — </w:t>
      </w:r>
      <w:r>
        <w:t xml:space="preserve">run the four analyses (λ stability, kernel comparison, EDGE benchmark, runtime), regenerate Figs 1–3 as needed, and add the continuous-S supplementary panel.</w:t>
      </w:r>
    </w:p>
    <w:p>
      <w:pPr>
        <w:spacing w:after="140" w:line="288"/>
      </w:pPr>
      <w:r>
        <w:rPr>
          <w:b/>
          <w:bCs/>
        </w:rPr>
        <w:t xml:space="preserve">Weeks 5–6 — </w:t>
      </w:r>
      <w:r>
        <w:t xml:space="preserve">write the new Results/Methods text around those analyses; finalize the point-by-point response with real numbers and line references.</w:t>
      </w:r>
    </w:p>
    <w:p>
      <w:pPr>
        <w:spacing w:after="140" w:line="288"/>
      </w:pPr>
      <w:r>
        <w:rPr>
          <w:b/>
          <w:bCs/>
        </w:rPr>
        <w:t xml:space="preserve">Weeks 7–8 — </w:t>
      </w:r>
      <w:r>
        <w:t xml:space="preserve">complete Data Availability + CRediT, Zenodo snapshot, tracked-changes file, internal proofread, submit.</w:t>
      </w:r>
    </w:p>
    <w:p>
      <w:pPr>
        <w:spacing w:after="140" w:line="288"/>
      </w:pPr>
      <w:r>
        <w:rPr>
          <w:b/>
          <w:bCs/>
        </w:rPr>
        <w:t xml:space="preserve">Bottom line: </w:t>
      </w:r>
      <w:r>
        <w:t xml:space="preserve">the core method is not in question. Treat the major concerns as a request for evidence and clarity, lead with the three spine messages, and the revision is very achievable in the window.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43C73"/>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862C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2026-06-02T16:17:45.507Z</dcterms:created>
  <dcterms:modified xsi:type="dcterms:W3CDTF">2026-06-02T16:17:45.508Z</dcterms:modified>
</cp:coreProperties>
</file>

<file path=docProps/custom.xml><?xml version="1.0" encoding="utf-8"?>
<Properties xmlns="http://schemas.openxmlformats.org/officeDocument/2006/custom-properties" xmlns:vt="http://schemas.openxmlformats.org/officeDocument/2006/docPropsVTypes"/>
</file>