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esponse-to-reviewers"/>
    <w:p>
      <w:pPr>
        <w:pStyle w:val="Heading1"/>
      </w:pPr>
      <w:r>
        <w:t xml:space="preserve">Response to Reviewers</w:t>
      </w:r>
    </w:p>
    <w:p>
      <w:pPr>
        <w:pStyle w:val="FirstParagraph"/>
      </w:pPr>
      <w:r>
        <w:rPr>
          <w:b/>
          <w:bCs/>
        </w:rPr>
        <w:t xml:space="preserve">SeqDef: An R package for phylogenetically weighted genomic prioritization across the tree of life</w:t>
      </w:r>
      <w:r>
        <w:t xml:space="preserve"> </w:t>
      </w:r>
      <w:r>
        <w:t xml:space="preserve">Manuscript JEB-2026-00140 · Journal of Evolutionary Biology</w:t>
      </w:r>
    </w:p>
    <w:p>
      <w:pPr>
        <w:pStyle w:val="BodyText"/>
      </w:pPr>
      <w:r>
        <w:rPr>
          <w:i/>
          <w:iCs/>
        </w:rPr>
        <w:t xml:space="preserve">Reviewer and editor comments are in italics. Our replies follow under</w:t>
      </w:r>
      <w:r>
        <w:rPr>
          <w:i/>
          <w:iCs/>
        </w:rPr>
        <w:t xml:space="preserve"> </w:t>
      </w:r>
      <w:r>
        <w:rPr>
          <w:i/>
          <w:iCs/>
        </w:rPr>
        <w:t xml:space="preserve">“Response.”</w:t>
      </w:r>
      <w:r>
        <w:rPr>
          <w:i/>
          <w:iCs/>
        </w:rPr>
        <w:t xml:space="preserve"> </w:t>
      </w:r>
      <w:r>
        <w:rPr>
          <w:i/>
          <w:iCs/>
        </w:rPr>
        <w:t xml:space="preserve">All</w:t>
      </w:r>
      <w:r>
        <w:rPr>
          <w:i/>
          <w:iCs/>
        </w:rPr>
        <w:t xml:space="preserve"> </w:t>
      </w:r>
      <w:r>
        <w:rPr>
          <w:i/>
          <w:iCs/>
        </w:rPr>
        <w:t xml:space="preserve">numbers below are from the new analyses scripted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analyses/01–06</w:t>
      </w:r>
      <w:r>
        <w:rPr>
          <w:i/>
          <w:iCs/>
        </w:rPr>
        <w:t xml:space="preserve"> </w:t>
      </w:r>
      <w:r>
        <w:rPr>
          <w:i/>
          <w:iCs/>
        </w:rPr>
        <w:t xml:space="preserve">and summarised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results/SUMMARY.md</w:t>
      </w:r>
      <w:r>
        <w:rPr>
          <w:i/>
          <w:iCs/>
        </w:rPr>
        <w:t xml:space="preserve"> </w:t>
      </w:r>
      <w:r>
        <w:rPr>
          <w:i/>
          <w:iCs/>
        </w:rPr>
        <w:t xml:space="preserve">(Apple Silicon, 8 cores, 16 GB RAM, R 4.5.2;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set.seed(42)</w:t>
      </w:r>
      <w:r>
        <w:rPr>
          <w:i/>
          <w:iCs/>
        </w:rPr>
        <w:t xml:space="preserve">).</w:t>
      </w:r>
      <w:r>
        <w:rPr>
          <w:i/>
          <w:iCs/>
        </w:rPr>
        <w:t xml:space="preserve"> </w:t>
      </w:r>
      <w:r>
        <w:rPr>
          <w:i/>
          <w:iCs/>
        </w:rPr>
        <w:t xml:space="preserve">Manuscript line numbers will be inserted against the tracked-changes file at submission;</w:t>
      </w:r>
      <w:r>
        <w:rPr>
          <w:i/>
          <w:iCs/>
        </w:rPr>
        <w:t xml:space="preserve"> </w:t>
      </w:r>
      <w:r>
        <w:rPr>
          <w:i/>
          <w:iCs/>
        </w:rPr>
        <w:t xml:space="preserve">each edit is specified in the accompanying manuscript change-list.</w:t>
      </w:r>
    </w:p>
    <w:p>
      <w:r>
        <w:pict>
          <v:rect style="width:0;height:1.5pt" o:hralign="center" o:hrstd="t" o:hr="t"/>
        </w:pict>
      </w:r>
    </w:p>
    <w:bookmarkStart w:id="9" w:name="response-to-the-associate-editor"/>
    <w:p>
      <w:pPr>
        <w:pStyle w:val="Heading2"/>
      </w:pPr>
      <w:r>
        <w:t xml:space="preserve">Response to the Associate Editor</w:t>
      </w:r>
    </w:p>
    <w:p>
      <w:pPr>
        <w:pStyle w:val="FirstParagraph"/>
      </w:pPr>
      <w:r>
        <w:t xml:space="preserve">We thank the Associate Editor and both reviewers for a constructive assessment. We have</w:t>
      </w:r>
      <w:r>
        <w:t xml:space="preserve"> </w:t>
      </w:r>
      <w:r>
        <w:t xml:space="preserve">addressed every point. The five major concerns required clarification and evidence rather</w:t>
      </w:r>
      <w:r>
        <w:t xml:space="preserve"> </w:t>
      </w:r>
      <w:r>
        <w:t xml:space="preserve">than any change to the statistic itself; we ran four new analyses (all on data already in</w:t>
      </w:r>
      <w:r>
        <w:t xml:space="preserve"> </w:t>
      </w:r>
      <w:r>
        <w:t xml:space="preserve">the repository), added a continuous-S example, regenerated Figure 1, added a</w:t>
      </w:r>
      <w:r>
        <w:t xml:space="preserve"> </w:t>
      </w:r>
      <w:r>
        <w:rPr>
          <w:rStyle w:val="VerbatimChar"/>
        </w:rPr>
        <w:t xml:space="preserve">kernel</w:t>
      </w:r>
      <w:r>
        <w:t xml:space="preserve"> </w:t>
      </w:r>
      <w:r>
        <w:t xml:space="preserve">argument to the package, and corrected the notation.</w:t>
      </w:r>
    </w:p>
    <w:p>
      <w:pPr>
        <w:pStyle w:val="BodyText"/>
      </w:pPr>
      <w:r>
        <w:rPr>
          <w:b/>
          <w:bCs/>
        </w:rPr>
        <w:t xml:space="preserve">Summary of major changes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Variable S.</w:t>
      </w:r>
      <w:r>
        <w:t xml:space="preserve"> </w:t>
      </w:r>
      <w:r>
        <w:t xml:space="preserve">Clarified that S is a general availability score on [0,1]; the binary</w:t>
      </w:r>
      <w:r>
        <w:t xml:space="preserve"> </w:t>
      </w:r>
      <w:r>
        <w:t xml:space="preserve">case-study coding is framed as a deliberate operational choice. Added worked continuous</w:t>
      </w:r>
      <w:r>
        <w:t xml:space="preserve"> </w:t>
      </w:r>
      <w:r>
        <w:t xml:space="preserve">constructions and a supplementary continuous-S analysis (ρ = 0.98 vs binary; top target unchanged).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λ and kernel.</w:t>
      </w:r>
      <w:r>
        <w:t xml:space="preserve"> </w:t>
      </w:r>
      <w:r>
        <w:t xml:space="preserve">Added a λ rank-stability analysis, a head-to-head of the two λ-selection</w:t>
      </w:r>
      <w:r>
        <w:t xml:space="preserve"> </w:t>
      </w:r>
      <w:r>
        <w:t xml:space="preserve">methods (ρ = 0.998; identical top target in 100/100 trees), and a kernel comparison via a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kernel</w:t>
      </w:r>
      <w:r>
        <w:t xml:space="preserve"> </w:t>
      </w:r>
      <w:r>
        <w:t xml:space="preserve">argument (exponential/Gaussian/linear; rankings ρ ≥ 0.88).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Benchmark.</w:t>
      </w:r>
      <w:r>
        <w:t xml:space="preserve"> </w:t>
      </w:r>
      <w:r>
        <w:t xml:space="preserve">Added a direct EDGE / EDGE2 comparison framed around complementarity</w:t>
      </w:r>
      <w:r>
        <w:t xml:space="preserve"> </w:t>
      </w:r>
      <w:r>
        <w:t xml:space="preserve">(EDGE vs SeqDef ρ = 0.07 — they are near-orthogonal).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Efficiency.</w:t>
      </w:r>
      <w:r>
        <w:t xml:space="preserve"> </w:t>
      </w:r>
      <w:r>
        <w:t xml:space="preserve">Added an O(n²) complexity statement and empirical runtime/memory benchmarks</w:t>
      </w:r>
      <w:r>
        <w:t xml:space="preserve"> </w:t>
      </w:r>
      <w:r>
        <w:t xml:space="preserve">with hardware specs; recalibrated the efficiency claims.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Notation.</w:t>
      </w:r>
      <w:r>
        <w:t xml:space="preserve"> </w:t>
      </w:r>
      <w:r>
        <w:t xml:space="preserve">Corrected Eq. 4 italics,</w:t>
      </w:r>
      <w:r>
        <w:t xml:space="preserve"> </w:t>
      </w:r>
      <w:r>
        <w:rPr>
          <w:b/>
          <w:bCs/>
        </w:rPr>
        <w:t xml:space="preserve">restored the missing λ in the kernel equation</w:t>
      </w:r>
      <w:r>
        <w:t xml:space="preserve">,</w:t>
      </w:r>
      <w:r>
        <w:t xml:space="preserve"> </w:t>
      </w:r>
      <w:r>
        <w:t xml:space="preserve">and standardised notation.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Framing/definitions.</w:t>
      </w:r>
      <w:r>
        <w:t xml:space="preserve"> </w:t>
      </w:r>
      <w:r>
        <w:t xml:space="preserve">Reframed the Introduction as complementary traditions, defined</w:t>
      </w:r>
      <w:r>
        <w:t xml:space="preserve"> </w:t>
      </w:r>
      <w:r>
        <w:t xml:space="preserve">“marginal information value,”</w:t>
      </w:r>
      <w:r>
        <w:t xml:space="preserve"> </w:t>
      </w:r>
      <w:r>
        <w:t xml:space="preserve">added an insertion-based extension paragraph, and added the</w:t>
      </w:r>
      <w:r>
        <w:t xml:space="preserve"> </w:t>
      </w:r>
      <w:r>
        <w:t xml:space="preserve">suggested citations.</w:t>
      </w:r>
    </w:p>
    <w:p>
      <w:r>
        <w:pict>
          <v:rect style="width:0;height:1.5pt" o:hralign="center" o:hrstd="t" o:hr="t"/>
        </w:pict>
      </w:r>
    </w:p>
    <w:bookmarkEnd w:id="9"/>
    <w:bookmarkStart w:id="15" w:name="reviewer-1"/>
    <w:p>
      <w:pPr>
        <w:pStyle w:val="Heading2"/>
      </w:pPr>
      <w:r>
        <w:t xml:space="preserve">Reviewer 1</w:t>
      </w:r>
    </w:p>
    <w:bookmarkStart w:id="10" w:name="inconsistency-in-the-definition-of-sᵢ"/>
    <w:p>
      <w:pPr>
        <w:pStyle w:val="Heading3"/>
      </w:pPr>
      <w:r>
        <w:t xml:space="preserve">1.1 Inconsistency in the definition of Sᵢ</w:t>
      </w:r>
    </w:p>
    <w:p>
      <w:pPr>
        <w:pStyle w:val="BlockText"/>
      </w:pPr>
      <w:r>
        <w:rPr>
          <w:i/>
          <w:iCs/>
        </w:rPr>
        <w:t xml:space="preserve">In line 62</w:t>
      </w:r>
      <w:r>
        <w:rPr>
          <w:i/>
          <w:iCs/>
        </w:rPr>
        <w:t xml:space="preserve"> </w:t>
      </w:r>
      <w:r>
        <w:rPr>
          <w:i/>
          <w:iCs/>
        </w:rPr>
        <w:t xml:space="preserve">“Si”</w:t>
      </w:r>
      <w:r>
        <w:rPr>
          <w:i/>
          <w:iCs/>
        </w:rPr>
        <w:t xml:space="preserve"> </w:t>
      </w:r>
      <w:r>
        <w:rPr>
          <w:i/>
          <w:iCs/>
        </w:rPr>
        <w:t xml:space="preserve">is continuous on [0,1]; in line 164 it is treated as binary … If continuous,</w:t>
      </w:r>
      <w:r>
        <w:rPr>
          <w:i/>
          <w:iCs/>
        </w:rPr>
        <w:t xml:space="preserve"> </w:t>
      </w:r>
      <w:r>
        <w:rPr>
          <w:i/>
          <w:iCs/>
        </w:rPr>
        <w:t xml:space="preserve">explain how it is computed (e.g., BUSCO); if binary, justify the simplification.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This was a presentation issue, not a methodological one. S is a general</w:t>
      </w:r>
      <w:r>
        <w:t xml:space="preserve"> </w:t>
      </w:r>
      <w:r>
        <w:t xml:space="preserve">continuous availability score on [0,1]: the function multiplies the phylogenetic weight</w:t>
      </w:r>
      <w:r>
        <w:t xml:space="preserve"> </w:t>
      </w:r>
      <w:r>
        <w:t xml:space="preserve">matrix by the numeric S vector (</w:t>
      </w:r>
      <w:r>
        <w:rPr>
          <w:rStyle w:val="VerbatimChar"/>
        </w:rPr>
        <w:t xml:space="preserve">dist.prop %*% as.numeric(df[, data.col])</w:t>
      </w:r>
      <w:r>
        <w:t xml:space="preserve">) and never</w:t>
      </w:r>
      <w:r>
        <w:t xml:space="preserve"> </w:t>
      </w:r>
      <w:r>
        <w:t xml:space="preserve">requires binary input. We have separated the general definition from the case-study choice:</w:t>
      </w:r>
    </w:p>
    <w:p>
      <w:pPr>
        <w:pStyle w:val="Compact"/>
        <w:numPr>
          <w:ilvl w:val="0"/>
          <w:numId w:val="1002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Methods</w:t>
      </w:r>
      <w:r>
        <w:t xml:space="preserve"> </w:t>
      </w:r>
      <w:r>
        <w:t xml:space="preserve">we now state S ∈ [0,1] is any user-supplied, monotone availability</w:t>
      </w:r>
      <w:r>
        <w:t xml:space="preserve"> </w:t>
      </w:r>
      <w:r>
        <w:t xml:space="preserve">measure, and give worked continuous constructions: (i) genome completeness = BUSCO complete</w:t>
      </w:r>
      <w:r>
        <w:t xml:space="preserve"> </w:t>
      </w:r>
      <w:r>
        <w:t xml:space="preserve">fraction; (ii) a composite of rescaled BUSCO completeness, contiguity (log₁₀ N50) and base</w:t>
      </w:r>
      <w:r>
        <w:t xml:space="preserve"> </w:t>
      </w:r>
      <w:r>
        <w:t xml:space="preserve">accuracy (QV); (iii) data-type breadth (fraction of {genome, transcriptome, resequencing});</w:t>
      </w:r>
      <w:r>
        <w:t xml:space="preserve"> </w:t>
      </w:r>
      <w:r>
        <w:t xml:space="preserve">and (iv) a saturating function of assembly count, S = n/(n+1).</w:t>
      </w:r>
    </w:p>
    <w:p>
      <w:pPr>
        <w:pStyle w:val="Compact"/>
        <w:numPr>
          <w:ilvl w:val="0"/>
          <w:numId w:val="1002"/>
        </w:numPr>
      </w:pPr>
      <w:r>
        <w:t xml:space="preserve">Where the</w:t>
      </w:r>
      <w:r>
        <w:t xml:space="preserve"> </w:t>
      </w:r>
      <w:r>
        <w:rPr>
          <w:b/>
          <w:bCs/>
        </w:rPr>
        <w:t xml:space="preserve">Chondrichthyes pipeline</w:t>
      </w:r>
      <w:r>
        <w:t xml:space="preserve"> </w:t>
      </w:r>
      <w:r>
        <w:t xml:space="preserve">is introduced we justify the binary coding: assembly</w:t>
      </w:r>
      <w:r>
        <w:t xml:space="preserve"> </w:t>
      </w:r>
      <w:r>
        <w:t xml:space="preserve">presence/absence is objective, uniformly obtainable for all species from a single NCBI query,</w:t>
      </w:r>
      <w:r>
        <w:t xml:space="preserve"> </w:t>
      </w:r>
      <w:r>
        <w:t xml:space="preserve">avoids confounding the demonstration with heterogeneous and often-missing quality metrics, and</w:t>
      </w:r>
      <w:r>
        <w:t xml:space="preserve"> </w:t>
      </w:r>
      <w:r>
        <w:t xml:space="preserve">matches the Earth BioGenome framing of whether a reference yet exists.</w:t>
      </w:r>
    </w:p>
    <w:p>
      <w:pPr>
        <w:pStyle w:val="Compact"/>
        <w:numPr>
          <w:ilvl w:val="0"/>
          <w:numId w:val="1002"/>
        </w:numPr>
      </w:pPr>
      <w:r>
        <w:t xml:space="preserve">We added a</w:t>
      </w:r>
      <w:r>
        <w:t xml:space="preserve"> </w:t>
      </w:r>
      <w:r>
        <w:rPr>
          <w:b/>
          <w:bCs/>
        </w:rPr>
        <w:t xml:space="preserve">supplementary continuous-S analysis</w:t>
      </w:r>
      <w:r>
        <w:t xml:space="preserve"> </w:t>
      </w:r>
      <w:r>
        <w:t xml:space="preserve">(S = assembly count/(count+1)). The</w:t>
      </w:r>
      <w:r>
        <w:t xml:space="preserve"> </w:t>
      </w:r>
      <w:r>
        <w:t xml:space="preserve">continuous and binary rankings are highly concordant (Spearman ρ =</w:t>
      </w:r>
      <w:r>
        <w:t xml:space="preserve"> </w:t>
      </w:r>
      <w:r>
        <w:rPr>
          <w:b/>
          <w:bCs/>
        </w:rPr>
        <w:t xml:space="preserve">0.959</w:t>
      </w:r>
      <w:r>
        <w:t xml:space="preserve"> </w:t>
      </w:r>
      <w:r>
        <w:t xml:space="preserve">for SeqDef,</w:t>
      </w:r>
      <w:r>
        <w:t xml:space="preserve"> </w:t>
      </w:r>
      <w:r>
        <w:rPr>
          <w:b/>
          <w:bCs/>
        </w:rPr>
        <w:t xml:space="preserve">0.981</w:t>
      </w:r>
      <w:r>
        <w:t xml:space="preserve"> </w:t>
      </w:r>
      <w:r>
        <w:t xml:space="preserve">for Priority; top-10 overlap</w:t>
      </w:r>
      <w:r>
        <w:t xml:space="preserve"> </w:t>
      </w:r>
      <w:r>
        <w:rPr>
          <w:b/>
          <w:bCs/>
        </w:rPr>
        <w:t xml:space="preserve">10/10</w:t>
      </w:r>
      <w:r>
        <w:t xml:space="preserve">;</w:t>
      </w:r>
      <w:r>
        <w:t xml:space="preserve"> </w:t>
      </w:r>
      <w:r>
        <w:rPr>
          <w:i/>
          <w:iCs/>
        </w:rPr>
        <w:t xml:space="preserve">C. atromarginatus</w:t>
      </w:r>
      <w:r>
        <w:t xml:space="preserve"> </w:t>
      </w:r>
      <w:r>
        <w:t xml:space="preserve">unchanged at rank 9),</w:t>
      </w:r>
      <w:r>
        <w:t xml:space="preserve"> </w:t>
      </w:r>
      <w:r>
        <w:t xml:space="preserve">while scores redistribute sensibly toward species whose relatives have only single-assembly</w:t>
      </w:r>
      <w:r>
        <w:t xml:space="preserve"> </w:t>
      </w:r>
      <w:r>
        <w:t xml:space="preserve">coverage (e.g.,</w:t>
      </w:r>
      <w:r>
        <w:t xml:space="preserve"> </w:t>
      </w:r>
      <w:r>
        <w:rPr>
          <w:i/>
          <w:iCs/>
        </w:rPr>
        <w:t xml:space="preserve">Carcharhinus falciformis</w:t>
      </w:r>
      <w:r>
        <w:t xml:space="preserve"> </w:t>
      </w:r>
      <w:r>
        <w:t xml:space="preserve">rises from rank 738 to 389). This converts the</w:t>
      </w:r>
      <w:r>
        <w:t xml:space="preserve"> </w:t>
      </w:r>
      <w:r>
        <w:t xml:space="preserve">point from</w:t>
      </w:r>
      <w:r>
        <w:t xml:space="preserve"> </w:t>
      </w:r>
      <w:r>
        <w:t xml:space="preserve">“S can be continuous”</w:t>
      </w:r>
      <w:r>
        <w:t xml:space="preserve"> </w:t>
      </w:r>
      <w:r>
        <w:t xml:space="preserve">to</w:t>
      </w:r>
      <w:r>
        <w:t xml:space="preserve"> </w:t>
      </w:r>
      <w:r>
        <w:t xml:space="preserve">“it behaves correctly when continuous.”</w:t>
      </w:r>
      <w:r>
        <w:t xml:space="preserve"> </w:t>
      </w:r>
      <w:r>
        <w:t xml:space="preserve">(Supplementary</w:t>
      </w:r>
      <w:r>
        <w:t xml:space="preserve"> </w:t>
      </w:r>
      <w:r>
        <w:t xml:space="preserve">Fig. S5.)</w:t>
      </w:r>
    </w:p>
    <w:bookmarkEnd w:id="10"/>
    <w:bookmarkStart w:id="11" w:name="dependence-on-λ-and-the-choice-of-kernel"/>
    <w:p>
      <w:pPr>
        <w:pStyle w:val="Heading3"/>
      </w:pPr>
      <w:r>
        <w:t xml:space="preserve">1.2 Dependence on λ and the choice of kernel</w:t>
      </w:r>
    </w:p>
    <w:p>
      <w:pPr>
        <w:pStyle w:val="BlockText"/>
      </w:pPr>
      <w:r>
        <w:rPr>
          <w:i/>
          <w:iCs/>
        </w:rPr>
        <w:t xml:space="preserve">Results appear highly dependent on λ and the exponential kernel … the two λ-selection methods</w:t>
      </w:r>
      <w:r>
        <w:rPr>
          <w:i/>
          <w:iCs/>
        </w:rPr>
        <w:t xml:space="preserve"> </w:t>
      </w:r>
      <w:r>
        <w:rPr>
          <w:i/>
          <w:iCs/>
        </w:rPr>
        <w:t xml:space="preserve">are not compared, and sensitivity to λ is not assessed … the kernel choice should be justified</w:t>
      </w:r>
      <w:r>
        <w:rPr>
          <w:i/>
          <w:iCs/>
        </w:rPr>
        <w:t xml:space="preserve"> </w:t>
      </w:r>
      <w:r>
        <w:rPr>
          <w:i/>
          <w:iCs/>
        </w:rPr>
        <w:t xml:space="preserve">by systematic comparison.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We added three analyses.</w:t>
      </w:r>
    </w:p>
    <w:p>
      <w:pPr>
        <w:pStyle w:val="BodyText"/>
      </w:pPr>
      <w:r>
        <w:rPr>
          <w:b/>
          <w:bCs/>
        </w:rPr>
        <w:t xml:space="preserve">(a) λ rank-stability.</w:t>
      </w:r>
      <w:r>
        <w:t xml:space="preserve"> </w:t>
      </w:r>
      <w:r>
        <w:t xml:space="preserve">Across λ ∈ [1, 25] we computed the Spearman correlation of the</w:t>
      </w:r>
      <w:r>
        <w:t xml:space="preserve"> </w:t>
      </w:r>
      <w:r>
        <w:t xml:space="preserve">SeqDef and Priority rankings against each tree’s own</w:t>
      </w:r>
      <w:r>
        <w:t xml:space="preserve"> </w:t>
      </w:r>
      <w:r>
        <w:rPr>
          <w:rStyle w:val="VerbatimChar"/>
        </w:rPr>
        <w:t xml:space="preserve">auto_max</w:t>
      </w:r>
      <w:r>
        <w:t xml:space="preserve"> </w:t>
      </w:r>
      <w:r>
        <w:t xml:space="preserve">solution. The</w:t>
      </w:r>
      <w:r>
        <w:t xml:space="preserve"> </w:t>
      </w:r>
      <w:r>
        <w:rPr>
          <w:b/>
          <w:bCs/>
        </w:rPr>
        <w:t xml:space="preserve">Priority ranking</w:t>
      </w:r>
      <w:r>
        <w:rPr>
          <w:b/>
          <w:bCs/>
        </w:rPr>
        <w:t xml:space="preserve"> </w:t>
      </w:r>
      <w:r>
        <w:rPr>
          <w:b/>
          <w:bCs/>
        </w:rPr>
        <w:t xml:space="preserve">is highly stable</w:t>
      </w:r>
      <w:r>
        <w:t xml:space="preserve"> </w:t>
      </w:r>
      <w:r>
        <w:t xml:space="preserve">(ρ median =</w:t>
      </w:r>
      <w:r>
        <w:t xml:space="preserve"> </w:t>
      </w:r>
      <w:r>
        <w:rPr>
          <w:b/>
          <w:bCs/>
        </w:rPr>
        <w:t xml:space="preserve">0.932</w:t>
      </w:r>
      <w:r>
        <w:t xml:space="preserve">, minimum</w:t>
      </w:r>
      <w:r>
        <w:t xml:space="preserve"> </w:t>
      </w:r>
      <w:r>
        <w:rPr>
          <w:b/>
          <w:bCs/>
        </w:rPr>
        <w:t xml:space="preserve">0.878</w:t>
      </w:r>
      <w:r>
        <w:t xml:space="preserve"> </w:t>
      </w:r>
      <w:r>
        <w:t xml:space="preserve">across the whole interval; SeqDef</w:t>
      </w:r>
      <w:r>
        <w:t xml:space="preserve"> </w:t>
      </w:r>
      <w:r>
        <w:t xml:space="preserve">ρ median 0.818).</w:t>
      </w:r>
      <w:r>
        <w:t xml:space="preserve"> </w:t>
      </w:r>
      <w:r>
        <w:rPr>
          <w:i/>
          <w:iCs/>
        </w:rPr>
        <w:t xml:space="preserve">C. atromarginatus</w:t>
      </w:r>
      <w:r>
        <w:t xml:space="preserve"> </w:t>
      </w:r>
      <w:r>
        <w:t xml:space="preserve">is the top target in</w:t>
      </w:r>
      <w:r>
        <w:t xml:space="preserve"> </w:t>
      </w:r>
      <w:r>
        <w:rPr>
          <w:b/>
          <w:bCs/>
        </w:rPr>
        <w:t xml:space="preserve">65–80 % of sampled trees at every λ</w:t>
      </w:r>
      <w:r>
        <w:rPr>
          <w:b/>
          <w:bCs/>
        </w:rPr>
        <w:t xml:space="preserve"> </w:t>
      </w:r>
      <w:r>
        <w:rPr>
          <w:b/>
          <w:bCs/>
        </w:rPr>
        <w:t xml:space="preserve">in [1,25]</w:t>
      </w:r>
      <w:r>
        <w:t xml:space="preserve"> </w:t>
      </w:r>
      <w:r>
        <w:t xml:space="preserve">(never below 50 %), peaking at ~80 % within the band both automatic methods select</w:t>
      </w:r>
      <w:r>
        <w:t xml:space="preserve"> </w:t>
      </w:r>
      <w:r>
        <w:t xml:space="preserve">(λ ≈ 2.6–5). We therefore present this as the λ analogue of our topological-robustness test</w:t>
      </w:r>
      <w:r>
        <w:t xml:space="preserve"> </w:t>
      </w:r>
      <w:r>
        <w:t xml:space="preserve">(Fig. 3): the prioritization is robust across a broad λ band, and the top target is the modal,</w:t>
      </w:r>
      <w:r>
        <w:t xml:space="preserve"> </w:t>
      </w:r>
      <w:r>
        <w:t xml:space="preserve">auto-selected choice rather than an artifact of one λ (Supplementary Fig. S2).</w:t>
      </w:r>
    </w:p>
    <w:p>
      <w:pPr>
        <w:pStyle w:val="BodyText"/>
      </w:pPr>
      <w:r>
        <w:rPr>
          <w:b/>
          <w:bCs/>
        </w:rPr>
        <w:t xml:space="preserve">(b) The two λ-selection methods are essentially interchangeable.</w:t>
      </w:r>
      <w:r>
        <w:t xml:space="preserve"> </w:t>
      </w:r>
      <w:r>
        <w:t xml:space="preserve">Across the 100 posterior</w:t>
      </w:r>
      <w:r>
        <w:t xml:space="preserve"> </w:t>
      </w:r>
      <w:r>
        <w:t xml:space="preserve">trees,</w:t>
      </w:r>
      <w:r>
        <w:t xml:space="preserve"> </w:t>
      </w:r>
      <w:r>
        <w:rPr>
          <w:rStyle w:val="VerbatimChar"/>
        </w:rPr>
        <w:t xml:space="preserve">auto_max</w:t>
      </w:r>
      <w:r>
        <w:t xml:space="preserve"> </w:t>
      </w:r>
      <w:r>
        <w:t xml:space="preserve">selects λ median</w:t>
      </w:r>
      <w:r>
        <w:t xml:space="preserve"> </w:t>
      </w:r>
      <w:r>
        <w:rPr>
          <w:b/>
          <w:bCs/>
        </w:rPr>
        <w:t xml:space="preserve">3.40</w:t>
      </w:r>
      <w:r>
        <w:t xml:space="preserve"> </w:t>
      </w:r>
      <w:r>
        <w:t xml:space="preserve">(95 % interval [2.65, 5.00]) and</w:t>
      </w:r>
      <w:r>
        <w:t xml:space="preserve"> </w:t>
      </w:r>
      <w:r>
        <w:rPr>
          <w:rStyle w:val="VerbatimChar"/>
        </w:rPr>
        <w:t xml:space="preserve">by_genus</w:t>
      </w:r>
      <w:r>
        <w:t xml:space="preserve"> </w:t>
      </w:r>
      <w:r>
        <w:t xml:space="preserve">selects</w:t>
      </w:r>
      <w:r>
        <w:t xml:space="preserve"> </w:t>
      </w:r>
      <w:r>
        <w:rPr>
          <w:b/>
          <w:bCs/>
        </w:rPr>
        <w:t xml:space="preserve">3.19</w:t>
      </w:r>
      <w:r>
        <w:t xml:space="preserve"> </w:t>
      </w:r>
      <w:r>
        <w:t xml:space="preserve">([2.87, 4.87]); the two Priority vectors correlate at ρ =</w:t>
      </w:r>
      <w:r>
        <w:t xml:space="preserve"> </w:t>
      </w:r>
      <w:r>
        <w:rPr>
          <w:b/>
          <w:bCs/>
        </w:rPr>
        <w:t xml:space="preserve">0.998</w:t>
      </w:r>
      <w:r>
        <w:t xml:space="preserve"> </w:t>
      </w:r>
      <w:r>
        <w:t xml:space="preserve">([0.985, 1.000]) and</w:t>
      </w:r>
      <w:r>
        <w:t xml:space="preserve"> </w:t>
      </w:r>
      <w:r>
        <w:rPr>
          <w:b/>
          <w:bCs/>
        </w:rPr>
        <w:t xml:space="preserve">agree on the single top target in 100/100 trees</w:t>
      </w:r>
      <w:r>
        <w:t xml:space="preserve"> </w:t>
      </w:r>
      <w:r>
        <w:t xml:space="preserve">(each selects</w:t>
      </w:r>
      <w:r>
        <w:t xml:space="preserve"> </w:t>
      </w:r>
      <w:r>
        <w:rPr>
          <w:i/>
          <w:iCs/>
        </w:rPr>
        <w:t xml:space="preserve">C. atromarginatus</w:t>
      </w:r>
      <w:r>
        <w:t xml:space="preserve"> </w:t>
      </w:r>
      <w:r>
        <w:t xml:space="preserve">in 85/100).</w:t>
      </w:r>
      <w:r>
        <w:t xml:space="preserve"> </w:t>
      </w:r>
      <w:r>
        <w:t xml:space="preserve">We recommend</w:t>
      </w:r>
      <w:r>
        <w:t xml:space="preserve"> </w:t>
      </w:r>
      <w:r>
        <w:rPr>
          <w:rStyle w:val="VerbatimChar"/>
        </w:rPr>
        <w:t xml:space="preserve">auto_max</w:t>
      </w:r>
      <w:r>
        <w:t xml:space="preserve"> </w:t>
      </w:r>
      <w:r>
        <w:t xml:space="preserve">as the default for discriminatory power and</w:t>
      </w:r>
      <w:r>
        <w:t xml:space="preserve"> </w:t>
      </w:r>
      <w:r>
        <w:rPr>
          <w:rStyle w:val="VerbatimChar"/>
        </w:rPr>
        <w:t xml:space="preserve">by_genus</w:t>
      </w:r>
      <w:r>
        <w:t xml:space="preserve"> </w:t>
      </w:r>
      <w:r>
        <w:t xml:space="preserve">where a</w:t>
      </w:r>
      <w:r>
        <w:t xml:space="preserve"> </w:t>
      </w:r>
      <w:r>
        <w:t xml:space="preserve">biologically interpretable horizon is preferred, and we state this (revised Fig. 2).</w:t>
      </w:r>
    </w:p>
    <w:p>
      <w:pPr>
        <w:pStyle w:val="BodyText"/>
      </w:pPr>
      <w:r>
        <w:rPr>
          <w:b/>
          <w:bCs/>
        </w:rPr>
        <w:t xml:space="preserve">(c) Kernel comparison.</w:t>
      </w:r>
      <w:r>
        <w:t xml:space="preserve"> </w:t>
      </w:r>
      <w:r>
        <w:t xml:space="preserve">We added a</w:t>
      </w:r>
      <w:r>
        <w:t xml:space="preserve"> </w:t>
      </w:r>
      <w:r>
        <w:rPr>
          <w:rStyle w:val="VerbatimChar"/>
        </w:rPr>
        <w:t xml:space="preserve">kernel</w:t>
      </w:r>
      <w:r>
        <w:t xml:space="preserve"> </w:t>
      </w:r>
      <w:r>
        <w:t xml:space="preserve">argument (</w:t>
      </w:r>
      <w:r>
        <w:rPr>
          <w:rStyle w:val="VerbatimChar"/>
        </w:rPr>
        <w:t xml:space="preserve">exponential</w:t>
      </w:r>
      <w:r>
        <w:t xml:space="preserve">/</w:t>
      </w:r>
      <w:r>
        <w:rPr>
          <w:rStyle w:val="VerbatimChar"/>
        </w:rPr>
        <w:t xml:space="preserve">gaussian</w:t>
      </w:r>
      <w:r>
        <w:t xml:space="preserve">/</w:t>
      </w:r>
      <w:r>
        <w:rPr>
          <w:rStyle w:val="VerbatimChar"/>
        </w:rPr>
        <w:t xml:space="preserve">linear</w:t>
      </w:r>
      <w:r>
        <w:t xml:space="preserve">),</w:t>
      </w:r>
      <w:r>
        <w:t xml:space="preserve"> </w:t>
      </w:r>
      <w:r>
        <w:t xml:space="preserve">applied in both the final calculation and the</w:t>
      </w:r>
      <w:r>
        <w:t xml:space="preserve"> </w:t>
      </w:r>
      <w:r>
        <w:rPr>
          <w:rStyle w:val="VerbatimChar"/>
        </w:rPr>
        <w:t xml:space="preserve">auto_max</w:t>
      </w:r>
      <w:r>
        <w:t xml:space="preserve"> </w:t>
      </w:r>
      <w:r>
        <w:t xml:space="preserve">optimisation. On the Chondrichthyes data</w:t>
      </w:r>
      <w:r>
        <w:t xml:space="preserve"> </w:t>
      </w:r>
      <w:r>
        <w:t xml:space="preserve">(each kernel with its own</w:t>
      </w:r>
      <w:r>
        <w:t xml:space="preserve"> </w:t>
      </w:r>
      <w:r>
        <w:rPr>
          <w:rStyle w:val="VerbatimChar"/>
        </w:rPr>
        <w:t xml:space="preserve">auto_max</w:t>
      </w:r>
      <w:r>
        <w:t xml:space="preserve"> </w:t>
      </w:r>
      <w:r>
        <w:t xml:space="preserve">λ) the Priority rankings are highly correlated with the</w:t>
      </w:r>
      <w:r>
        <w:t xml:space="preserve"> </w:t>
      </w:r>
      <w:r>
        <w:t xml:space="preserve">exponential default (Gaussian ρ =</w:t>
      </w:r>
      <w:r>
        <w:t xml:space="preserve"> </w:t>
      </w:r>
      <w:r>
        <w:rPr>
          <w:b/>
          <w:bCs/>
        </w:rPr>
        <w:t xml:space="preserve">0.882</w:t>
      </w:r>
      <w:r>
        <w:t xml:space="preserve"> </w:t>
      </w:r>
      <w:r>
        <w:t xml:space="preserve">[0.846, 0.961]; linear ρ =</w:t>
      </w:r>
      <w:r>
        <w:t xml:space="preserve"> </w:t>
      </w:r>
      <w:r>
        <w:rPr>
          <w:b/>
          <w:bCs/>
        </w:rPr>
        <w:t xml:space="preserve">0.943</w:t>
      </w:r>
      <w:r>
        <w:t xml:space="preserve"> </w:t>
      </w:r>
      <w:r>
        <w:t xml:space="preserve">[0.923, 0.958]),</w:t>
      </w:r>
      <w:r>
        <w:t xml:space="preserve"> </w:t>
      </w:r>
      <w:r>
        <w:t xml:space="preserve">and the top target is preserved (in the top set for 16/20, 15/20 and 16/20 posterior trees,</w:t>
      </w:r>
      <w:r>
        <w:t xml:space="preserve"> </w:t>
      </w:r>
      <w:r>
        <w:t xml:space="preserve">respectively). We also justify the exponential kernel on principle — it yields a single,</w:t>
      </w:r>
      <w:r>
        <w:t xml:space="preserve"> </w:t>
      </w:r>
      <w:r>
        <w:t xml:space="preserve">interpretable</w:t>
      </w:r>
      <w:r>
        <w:t xml:space="preserve"> </w:t>
      </w:r>
      <w:r>
        <w:t xml:space="preserve">“phylogenetic half-life”</w:t>
      </w:r>
      <w:r>
        <w:t xml:space="preserve"> </w:t>
      </w:r>
      <w:r>
        <w:t xml:space="preserve">horizon and is standard in distance-decay biodiversity</w:t>
      </w:r>
      <w:r>
        <w:t xml:space="preserve"> </w:t>
      </w:r>
      <w:r>
        <w:t xml:space="preserve">measures (Pavoine et al. 2005) and sequence-novelty work (Marini et al. 2022) — and we</w:t>
      </w:r>
      <w:r>
        <w:t xml:space="preserve"> </w:t>
      </w:r>
      <w:r>
        <w:t xml:space="preserve">implemented a fourth, parameter-free</w:t>
      </w:r>
      <w:r>
        <w:t xml:space="preserve"> </w:t>
      </w:r>
      <w:r>
        <w:rPr>
          <w:b/>
          <w:bCs/>
        </w:rPr>
        <w:t xml:space="preserve">Brownian-motion kernel</w:t>
      </w:r>
      <w:r>
        <w:t xml:space="preserve"> </w:t>
      </w:r>
      <w:r>
        <w:t xml:space="preserve">(phylogenetic correlation) and use it</w:t>
      </w:r>
      <w:r>
        <w:t xml:space="preserve"> </w:t>
      </w:r>
      <w:r>
        <w:t xml:space="preserve">to make the earlier Brownian remark precise: it is exactly the flat, low-λ limit of the exponential</w:t>
      </w:r>
      <w:r>
        <w:t xml:space="preserve"> </w:t>
      </w:r>
      <w:r>
        <w:t xml:space="preserve">(Spearman ρ ≈ 0.98 with the exponential at λ ≈ 0.5), and on the Chondrichthyes data it is less</w:t>
      </w:r>
      <w:r>
        <w:t xml:space="preserve"> </w:t>
      </w:r>
      <w:r>
        <w:t xml:space="preserve">discriminating and selects a different top target — illustrating the value of the exponential’s</w:t>
      </w:r>
      <w:r>
        <w:t xml:space="preserve"> </w:t>
      </w:r>
      <w:r>
        <w:t xml:space="preserve">tunable horizon (Supplementary Fig. S7). We additionally note a decisive computational argument for</w:t>
      </w:r>
      <w:r>
        <w:t xml:space="preserve"> </w:t>
      </w:r>
      <w:r>
        <w:t xml:space="preserve">the exponential default (developed under 1.4): among the distance-decay kernels, exp(−λd) is the only</w:t>
      </w:r>
      <w:r>
        <w:t xml:space="preserve"> </w:t>
      </w:r>
      <w:r>
        <w:t xml:space="preserve">one that factorizes along tree paths, so it alone admits an exact O(n)-time, O(n)-memory algorithm,</w:t>
      </w:r>
      <w:r>
        <w:t xml:space="preserve"> </w:t>
      </w:r>
      <w:r>
        <w:t xml:space="preserve">whereas the Gaussian (d²) and linear (1−λd) kernels are O(n²). (The Brownian kernel is also O(n) via</w:t>
      </w:r>
      <w:r>
        <w:t xml:space="preserve"> </w:t>
      </w:r>
      <w:r>
        <w:t xml:space="preserve">the three-point structure, but parameter-free.) The exponential therefore</w:t>
      </w:r>
      <w:r>
        <w:t xml:space="preserve"> </w:t>
      </w:r>
      <w:r>
        <w:rPr>
          <w:b/>
          <w:bCs/>
        </w:rPr>
        <w:t xml:space="preserve">uniquely combines O(n)</w:t>
      </w:r>
      <w:r>
        <w:rPr>
          <w:b/>
          <w:bCs/>
        </w:rPr>
        <w:t xml:space="preserve"> </w:t>
      </w:r>
      <w:r>
        <w:rPr>
          <w:b/>
          <w:bCs/>
        </w:rPr>
        <w:t xml:space="preserve">scalability with a tunable horizon</w:t>
      </w:r>
      <w:r>
        <w:t xml:space="preserve">, and the same memoryless, per-branch-multiplicative property</w:t>
      </w:r>
      <w:r>
        <w:t xml:space="preserve"> </w:t>
      </w:r>
      <w:r>
        <w:t xml:space="preserve">underlies both its biological naturalness and its computational tractability.</w:t>
      </w:r>
    </w:p>
    <w:bookmarkEnd w:id="11"/>
    <w:bookmarkStart w:id="12" w:name="lack-of-comparison-with-existing-methods"/>
    <w:p>
      <w:pPr>
        <w:pStyle w:val="Heading3"/>
      </w:pPr>
      <w:r>
        <w:t xml:space="preserve">1.3 Lack of comparison with existing methods</w:t>
      </w:r>
    </w:p>
    <w:p>
      <w:pPr>
        <w:pStyle w:val="BlockText"/>
      </w:pPr>
      <w:r>
        <w:rPr>
          <w:i/>
          <w:iCs/>
        </w:rPr>
        <w:t xml:space="preserve">The manuscript mentions EDGE but does not compare against it.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We added a direct benchmark on the Chondrichthyes MCC tree (new Results</w:t>
      </w:r>
      <w:r>
        <w:t xml:space="preserve"> </w:t>
      </w:r>
      <w:r>
        <w:t xml:space="preserve">subsection). We computed Evolutionary Distinctiveness (fair-proportion), classic EDGE</w:t>
      </w:r>
      <w:r>
        <w:t xml:space="preserve"> </w:t>
      </w:r>
      <w:r>
        <w:t xml:space="preserve">(Isaac et al. 2007) and EDGE2 (Gumbs et al. 2023; expected-PD-loss formulation with the</w:t>
      </w:r>
      <w:r>
        <w:t xml:space="preserve"> </w:t>
      </w:r>
      <w:r>
        <w:t xml:space="preserve">standard 50-yr IUCN→extinction-probability map), and compared them with SeqDef-Priority.</w:t>
      </w:r>
    </w:p>
    <w:p>
      <w:pPr>
        <w:pStyle w:val="BodyText"/>
      </w:pPr>
      <w:r>
        <w:t xml:space="preserve">The central result is</w:t>
      </w:r>
      <w:r>
        <w:t xml:space="preserve"> </w:t>
      </w:r>
      <w:r>
        <w:rPr>
          <w:b/>
          <w:bCs/>
        </w:rPr>
        <w:t xml:space="preserve">complementarity, not competition</w:t>
      </w:r>
      <w:r>
        <w:t xml:space="preserve">: EDGE and SeqDef are</w:t>
      </w:r>
      <w:r>
        <w:t xml:space="preserve"> </w:t>
      </w:r>
      <w:r>
        <w:rPr>
          <w:b/>
          <w:bCs/>
        </w:rPr>
        <w:t xml:space="preserve">near-orthogonal (ρ = 0.07)</w:t>
      </w:r>
      <w:r>
        <w:t xml:space="preserve"> </w:t>
      </w:r>
      <w:r>
        <w:t xml:space="preserve">— they answer different questions. Priority correlates with EDGE</w:t>
      </w:r>
      <w:r>
        <w:t xml:space="preserve"> </w:t>
      </w:r>
      <w:r>
        <w:t xml:space="preserve">(ρ = 0.832) and EDGE2 (ρ = 0.790) only because both carry the shared IUCN threat term; the</w:t>
      </w:r>
      <w:r>
        <w:t xml:space="preserve"> </w:t>
      </w:r>
      <w:r>
        <w:t xml:space="preserve">top-25 lists overlap 9/25 and 8/25. The divergence is the value proposition, and we give a worked</w:t>
      </w:r>
      <w:r>
        <w:t xml:space="preserve"> </w:t>
      </w:r>
      <w:r>
        <w:t xml:space="preserve">example: the scalloped hammerhead</w:t>
      </w:r>
      <w:r>
        <w:t xml:space="preserve"> </w:t>
      </w:r>
      <w:r>
        <w:rPr>
          <w:i/>
          <w:iCs/>
        </w:rPr>
        <w:t xml:space="preserve">Sphyrna lewini</w:t>
      </w:r>
      <w:r>
        <w:t xml:space="preserve"> </w:t>
      </w:r>
      <w:r>
        <w:t xml:space="preserve">(Critically Endangered) ranks high on EDGE</w:t>
      </w:r>
      <w:r>
        <w:t xml:space="preserve"> </w:t>
      </w:r>
      <w:r>
        <w:t xml:space="preserve">(rank 40) but</w:t>
      </w:r>
      <w:r>
        <w:t xml:space="preserve"> </w:t>
      </w:r>
      <w:r>
        <w:rPr>
          <w:b/>
          <w:bCs/>
        </w:rPr>
        <w:t xml:space="preserve">low on SeqDef (rank 779/877)</w:t>
      </w:r>
      <w:r>
        <w:t xml:space="preserve"> </w:t>
      </w:r>
      <w:r>
        <w:t xml:space="preserve">because its congener</w:t>
      </w:r>
      <w:r>
        <w:t xml:space="preserve"> </w:t>
      </w:r>
      <w:r>
        <w:rPr>
          <w:i/>
          <w:iCs/>
        </w:rPr>
        <w:t xml:space="preserve">Sphyrna mokarran</w:t>
      </w:r>
      <w:r>
        <w:t xml:space="preserve"> </w:t>
      </w:r>
      <w:r>
        <w:t xml:space="preserve">already has</w:t>
      </w:r>
      <w:r>
        <w:t xml:space="preserve"> </w:t>
      </w:r>
      <w:r>
        <w:t xml:space="preserve">a genome assembly — its marginal genomic information is largely captured. By contrast,</w:t>
      </w:r>
      <w:r>
        <w:t xml:space="preserve"> </w:t>
      </w:r>
      <w:r>
        <w:rPr>
          <w:i/>
          <w:iCs/>
        </w:rPr>
        <w:t xml:space="preserve">C. atromarginatus</w:t>
      </w:r>
      <w:r>
        <w:t xml:space="preserve"> </w:t>
      </w:r>
      <w:r>
        <w:t xml:space="preserve">ranks high on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because the entire genus</w:t>
      </w:r>
      <w:r>
        <w:t xml:space="preserve"> </w:t>
      </w:r>
      <w:r>
        <w:rPr>
          <w:i/>
          <w:iCs/>
        </w:rPr>
        <w:t xml:space="preserve">Centrophorus</w:t>
      </w:r>
      <w:r>
        <w:t xml:space="preserve"> </w:t>
      </w:r>
      <w:r>
        <w:t xml:space="preserve">(8 species) and</w:t>
      </w:r>
      <w:r>
        <w:t xml:space="preserve"> </w:t>
      </w:r>
      <w:r>
        <w:t xml:space="preserve">family Centrophoridae have</w:t>
      </w:r>
      <w:r>
        <w:t xml:space="preserve"> </w:t>
      </w:r>
      <w:r>
        <w:rPr>
          <w:b/>
          <w:bCs/>
        </w:rPr>
        <w:t xml:space="preserve">no assembly at all</w:t>
      </w:r>
      <w:r>
        <w:t xml:space="preserve">. We note that EDGE2 already conditions a</w:t>
      </w:r>
      <w:r>
        <w:t xml:space="preserve"> </w:t>
      </w:r>
      <w:r>
        <w:t xml:space="preserve">species’ score on its relatives’ extinction risk, so SeqDef extends the same conditioning logic</w:t>
      </w:r>
      <w:r>
        <w:t xml:space="preserve"> </w:t>
      </w:r>
      <w:r>
        <w:t xml:space="preserve">to genomic-data availability, and — unlike static EDGE — is</w:t>
      </w:r>
      <w:r>
        <w:t xml:space="preserve"> </w:t>
      </w:r>
      <w:r>
        <w:rPr>
          <w:b/>
          <w:bCs/>
        </w:rPr>
        <w:t xml:space="preserve">dynamic</w:t>
      </w:r>
      <w:r>
        <w:t xml:space="preserve">, updating as relatives</w:t>
      </w:r>
      <w:r>
        <w:t xml:space="preserve"> </w:t>
      </w:r>
      <w:r>
        <w:t xml:space="preserve">are sequenced (Supplementary Fig. S4; divergence table in the supplement).</w:t>
      </w:r>
    </w:p>
    <w:bookmarkEnd w:id="12"/>
    <w:bookmarkStart w:id="13" w:name="claims-about-computational-efficiency"/>
    <w:p>
      <w:pPr>
        <w:pStyle w:val="Heading3"/>
      </w:pPr>
      <w:r>
        <w:t xml:space="preserve">1.4 Claims about computational efficiency</w:t>
      </w:r>
    </w:p>
    <w:p>
      <w:pPr>
        <w:pStyle w:val="BlockText"/>
      </w:pPr>
      <w:r>
        <w:rPr>
          <w:i/>
          <w:iCs/>
        </w:rPr>
        <w:t xml:space="preserve">Efficiency is asserted twice with no evidence; provide complexity analysis and/or empirical</w:t>
      </w:r>
      <w:r>
        <w:rPr>
          <w:i/>
          <w:iCs/>
        </w:rPr>
        <w:t xml:space="preserve"> </w:t>
      </w:r>
      <w:r>
        <w:rPr>
          <w:i/>
          <w:iCs/>
        </w:rPr>
        <w:t xml:space="preserve">benchmarks with hardware and input-size scaling.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We replaced the unsupported assertions with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Complexity.</w:t>
      </w:r>
      <w:r>
        <w:t xml:space="preserve"> </w:t>
      </w:r>
      <w:r>
        <w:t xml:space="preserve">For n tips the cophenetic distance matrix, the weight matrix and the</w:t>
      </w:r>
      <w:r>
        <w:t xml:space="preserve"> </w:t>
      </w:r>
      <w:r>
        <w:t xml:space="preserve">matrix–vector product are each</w:t>
      </w:r>
      <w:r>
        <w:t xml:space="preserve"> </w:t>
      </w:r>
      <w:r>
        <w:rPr>
          <w:b/>
          <w:bCs/>
        </w:rPr>
        <w:t xml:space="preserve">O(n²)</w:t>
      </w:r>
      <w:r>
        <w:t xml:space="preserve"> </w:t>
      </w:r>
      <w:r>
        <w:t xml:space="preserve">in time and memory;</w:t>
      </w:r>
      <w:r>
        <w:t xml:space="preserve"> </w:t>
      </w:r>
      <w:r>
        <w:rPr>
          <w:rStyle w:val="VerbatimChar"/>
        </w:rPr>
        <w:t xml:space="preserve">auto_max</w:t>
      </w:r>
      <w:r>
        <w:t xml:space="preserve"> </w:t>
      </w:r>
      <w:r>
        <w:t xml:space="preserve">scans up to 491 λ</w:t>
      </w:r>
      <w:r>
        <w:t xml:space="preserve"> </w:t>
      </w:r>
      <w:r>
        <w:t xml:space="preserve">values with early stopping, giving</w:t>
      </w:r>
      <w:r>
        <w:t xml:space="preserve"> </w:t>
      </w:r>
      <w:r>
        <w:rPr>
          <w:b/>
          <w:bCs/>
        </w:rPr>
        <w:t xml:space="preserve">O(k·n²)</w:t>
      </w:r>
      <w:r>
        <w:t xml:space="preserve"> </w:t>
      </w:r>
      <w:r>
        <w:t xml:space="preserve">with k ≤ 491. The binding constraint is the</w:t>
      </w:r>
      <w:r>
        <w:t xml:space="preserve"> </w:t>
      </w:r>
      <w:r>
        <w:t xml:space="preserve">dense O(n²) matrix in memory.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Empirical (single λ; TAMU Grace large-memory node, x86_64, 80 cores, 3 TB RAM, single-threaded</w:t>
      </w:r>
      <w:r>
        <w:rPr>
          <w:b/>
          <w:bCs/>
        </w:rPr>
        <w:t xml:space="preserve"> </w:t>
      </w:r>
      <w:r>
        <w:rPr>
          <w:b/>
          <w:bCs/>
        </w:rPr>
        <w:t xml:space="preserve">BLAS, R 4.4.2).</w:t>
      </w:r>
      <w:r>
        <w:t xml:space="preserve"> </w:t>
      </w:r>
      <w:r>
        <w:t xml:space="preserve">We benchmarked a single SeqDef call at 36 tree sizes from n = 100 to 100,000</w:t>
      </w:r>
      <w:r>
        <w:t xml:space="preserve"> </w:t>
      </w:r>
      <w:r>
        <w:t xml:space="preserve">(100 replicates where inexpensive). Runtime and peak memory both scale as</w:t>
      </w:r>
      <w:r>
        <w:t xml:space="preserve"> </w:t>
      </w:r>
      <w:r>
        <w:rPr>
          <w:b/>
          <w:bCs/>
        </w:rPr>
        <w:t xml:space="preserve">O(n²)</w:t>
      </w:r>
      <w:r>
        <w:t xml:space="preserve"> </w:t>
      </w:r>
      <w:r>
        <w:t xml:space="preserve">— fitted</w:t>
      </w:r>
      <w:r>
        <w:t xml:space="preserve"> </w:t>
      </w:r>
      <w:r>
        <w:t xml:space="preserve">log–log slopes of</w:t>
      </w:r>
      <w:r>
        <w:t xml:space="preserve"> </w:t>
      </w:r>
      <w:r>
        <w:rPr>
          <w:b/>
          <w:bCs/>
        </w:rPr>
        <w:t xml:space="preserve">2.09</w:t>
      </w:r>
      <w:r>
        <w:t xml:space="preserve"> </w:t>
      </w:r>
      <w:r>
        <w:t xml:space="preserve">(time) and</w:t>
      </w:r>
      <w:r>
        <w:t xml:space="preserve"> </w:t>
      </w:r>
      <w:r>
        <w:rPr>
          <w:b/>
          <w:bCs/>
        </w:rPr>
        <w:t xml:space="preserve">1.94</w:t>
      </w:r>
      <w:r>
        <w:t xml:space="preserve"> </w:t>
      </w:r>
      <w:r>
        <w:t xml:space="preserve">(memory) for n ≥ 1,000. A single call takes</w:t>
      </w:r>
      <w:r>
        <w:t xml:space="preserve"> </w:t>
      </w:r>
      <w:r>
        <w:t xml:space="preserve">0.04 s at n = 1,000, 6.2 s at n = 10,000 and</w:t>
      </w:r>
      <w:r>
        <w:t xml:space="preserve"> </w:t>
      </w:r>
      <w:r>
        <w:rPr>
          <w:b/>
          <w:bCs/>
        </w:rPr>
        <w:t xml:space="preserve">808 s (13.5 min) at n = 100,000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Memory is the binding constraint, not runtime.</w:t>
      </w:r>
      <w:r>
        <w:t xml:space="preserve"> </w:t>
      </w:r>
      <w:r>
        <w:t xml:space="preserve">Peak memory grows quadratically — ~4.7 GB at</w:t>
      </w:r>
      <w:r>
        <w:t xml:space="preserve"> </w:t>
      </w:r>
      <w:r>
        <w:t xml:space="preserve">n = 10,000 and</w:t>
      </w:r>
      <w:r>
        <w:t xml:space="preserve"> </w:t>
      </w:r>
      <w:r>
        <w:rPr>
          <w:b/>
          <w:bCs/>
        </w:rPr>
        <w:t xml:space="preserve">447 GB at n = 100,000</w:t>
      </w:r>
      <w:r>
        <w:t xml:space="preserve">; we pushed the benchmark until memory exhaustion, and the</w:t>
      </w:r>
      <w:r>
        <w:t xml:space="preserve"> </w:t>
      </w:r>
      <w:r>
        <w:t xml:space="preserve">n = 150,000 run exceeded an 800 GB allocation, consistent with the fit. (These O(n²) figures apply</w:t>
      </w:r>
      <w:r>
        <w:t xml:space="preserve"> </w:t>
      </w:r>
      <w:r>
        <w:t xml:space="preserve">to the Gaussian and linear kernels, which use the dense distance matrix.)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 the default exponential kernel we now remove the O(n²) wall entirely.</w:t>
      </w:r>
      <w:r>
        <w:t xml:space="preserve"> </w:t>
      </w:r>
      <w:r>
        <w:t xml:space="preserve">Because exp(−λd)</w:t>
      </w:r>
      <w:r>
        <w:t xml:space="preserve"> </w:t>
      </w:r>
      <w:r>
        <w:t xml:space="preserve">factorizes along tree paths, the phylogenetically weighted availability is computed by an exact</w:t>
      </w:r>
      <w:r>
        <w:t xml:space="preserve"> </w:t>
      </w:r>
      <w:r>
        <w:t xml:space="preserve">O(n)-time, O(n)-memory tree traversal — no distance matrix is ever formed. It is identical to the</w:t>
      </w:r>
      <w:r>
        <w:t xml:space="preserve"> </w:t>
      </w:r>
      <w:r>
        <w:t xml:space="preserve">dense result (≤ 1e-16) yet runs a single call at n = 100,000 in</w:t>
      </w:r>
      <w:r>
        <w:t xml:space="preserve"> </w:t>
      </w:r>
      <w:r>
        <w:rPr>
          <w:b/>
          <w:bCs/>
        </w:rPr>
        <w:t xml:space="preserve">0.06 s using 74 MB</w:t>
      </w:r>
      <w:r>
        <w:t xml:space="preserve"> </w:t>
      </w:r>
      <w:r>
        <w:t xml:space="preserve">(vs 808 s /</w:t>
      </w:r>
      <w:r>
        <w:t xml:space="preserve"> </w:t>
      </w:r>
      <w:r>
        <w:t xml:space="preserve">447 GB dense) and at</w:t>
      </w:r>
      <w:r>
        <w:t xml:space="preserve"> </w:t>
      </w:r>
      <w:r>
        <w:rPr>
          <w:b/>
          <w:bCs/>
        </w:rPr>
        <w:t xml:space="preserve">n = 1,000,000 in &lt; 1 s using ~0.4 GB</w:t>
      </w:r>
      <w:r>
        <w:t xml:space="preserve">, on a laptop. The default kernel</w:t>
      </w:r>
      <w:r>
        <w:t xml:space="preserve"> </w:t>
      </w:r>
      <w:r>
        <w:t xml:space="preserve">therefore scales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to whole-tree-of-life size, superseding the sparse-kernel approximation</w:t>
      </w:r>
      <w:r>
        <w:t xml:space="preserve"> </w:t>
      </w:r>
      <w:r>
        <w:t xml:space="preserve">we had flagged as future work (Supplementary Fig. S6 now contrasts the two regimes).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877-tip Chondrichthyes tree runs in</w:t>
      </w:r>
      <w:r>
        <w:t xml:space="preserve"> </w:t>
      </w:r>
      <w:r>
        <w:rPr>
          <w:b/>
          <w:bCs/>
        </w:rPr>
        <w:t xml:space="preserve">0.02 s</w:t>
      </w:r>
      <w:r>
        <w:t xml:space="preserve"> </w:t>
      </w:r>
      <w:r>
        <w:t xml:space="preserve">(single λ) /</w:t>
      </w:r>
      <w:r>
        <w:t xml:space="preserve"> </w:t>
      </w:r>
      <w:r>
        <w:rPr>
          <w:b/>
          <w:bCs/>
        </w:rPr>
        <w:t xml:space="preserve">0.21 s</w:t>
      </w:r>
      <w:r>
        <w:t xml:space="preserve"> </w:t>
      </w:r>
      <w:r>
        <w:t xml:space="preserve">(</w:t>
      </w:r>
      <w:r>
        <w:rPr>
          <w:rStyle w:val="VerbatimChar"/>
        </w:rPr>
        <w:t xml:space="preserve">auto_max</w:t>
      </w:r>
      <w:r>
        <w:t xml:space="preserve">); the full 100-tree posterior with</w:t>
      </w:r>
      <w:r>
        <w:t xml:space="preserve"> </w:t>
      </w:r>
      <w:r>
        <w:rPr>
          <w:rStyle w:val="VerbatimChar"/>
        </w:rPr>
        <w:t xml:space="preserve">auto_max</w:t>
      </w:r>
      <w:r>
        <w:t xml:space="preserve"> </w:t>
      </w:r>
      <w:r>
        <w:t xml:space="preserve">completes in ≈</w:t>
      </w:r>
      <w:r>
        <w:t xml:space="preserve"> </w:t>
      </w:r>
      <w:r>
        <w:rPr>
          <w:b/>
          <w:bCs/>
        </w:rPr>
        <w:t xml:space="preserve">40 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We therefore state that SeqDef with the</w:t>
      </w:r>
      <w:r>
        <w:t xml:space="preserve"> </w:t>
      </w:r>
      <w:r>
        <w:rPr>
          <w:b/>
          <w:bCs/>
        </w:rPr>
        <w:t xml:space="preserve">default exponential kernel scales exactly to whole-tree-</w:t>
      </w:r>
      <w:r>
        <w:rPr>
          <w:b/>
          <w:bCs/>
        </w:rPr>
        <w:t xml:space="preserve"> </w:t>
      </w:r>
      <w:r>
        <w:rPr>
          <w:b/>
          <w:bCs/>
        </w:rPr>
        <w:t xml:space="preserve">of-life size in O(n)</w:t>
      </w:r>
      <w:r>
        <w:t xml:space="preserve">, while the Gaussian/linear kernels are O(n²) and efficient at clade-to-class</w:t>
      </w:r>
      <w:r>
        <w:t xml:space="preserve"> </w:t>
      </w:r>
      <w:r>
        <w:t xml:space="preserve">scale (Supplementary Fig. S6). For those dense kernels, a truncated/sparse approximation remains a</w:t>
      </w:r>
      <w:r>
        <w:t xml:space="preserve"> </w:t>
      </w:r>
      <w:r>
        <w:t xml:space="preserve">natural route to the very largest trees (future work).</w:t>
      </w:r>
    </w:p>
    <w:bookmarkEnd w:id="13"/>
    <w:bookmarkStart w:id="14" w:name="Xb4f84937e2d516aef8c353a0c7d8f046a2fd427"/>
    <w:p>
      <w:pPr>
        <w:pStyle w:val="Heading3"/>
      </w:pPr>
      <w:r>
        <w:t xml:space="preserve">1.5 Typographical problems in the mathematical notation</w:t>
      </w:r>
    </w:p>
    <w:p>
      <w:pPr>
        <w:pStyle w:val="BlockText"/>
      </w:pPr>
      <w:r>
        <w:rPr>
          <w:i/>
          <w:iCs/>
        </w:rPr>
        <w:t xml:space="preserve">In Eq. 4,</w:t>
      </w:r>
      <w:r>
        <w:rPr>
          <w:i/>
          <w:iCs/>
        </w:rPr>
        <w:t xml:space="preserve"> </w:t>
      </w:r>
      <w:r>
        <w:rPr>
          <w:i/>
          <w:iCs/>
        </w:rPr>
        <w:t xml:space="preserve">“Priority”</w:t>
      </w:r>
      <w:r>
        <w:rPr>
          <w:i/>
          <w:iCs/>
        </w:rPr>
        <w:t xml:space="preserve"> </w:t>
      </w:r>
      <w:r>
        <w:rPr>
          <w:i/>
          <w:iCs/>
        </w:rPr>
        <w:t xml:space="preserve">(italic P) and</w:t>
      </w:r>
      <w:r>
        <w:rPr>
          <w:i/>
          <w:iCs/>
        </w:rPr>
        <w:t xml:space="preserve"> </w:t>
      </w:r>
      <w:r>
        <w:rPr>
          <w:i/>
          <w:iCs/>
        </w:rPr>
        <w:t xml:space="preserve">“SeqDef”</w:t>
      </w:r>
      <w:r>
        <w:rPr>
          <w:i/>
          <w:iCs/>
        </w:rPr>
        <w:t xml:space="preserve"> </w:t>
      </w:r>
      <w:r>
        <w:rPr>
          <w:i/>
          <w:iCs/>
        </w:rPr>
        <w:t xml:space="preserve">(italic f) collide with variable notation; set</w:t>
      </w:r>
      <w:r>
        <w:rPr>
          <w:i/>
          <w:iCs/>
        </w:rPr>
        <w:t xml:space="preserve"> </w:t>
      </w:r>
      <w:r>
        <w:rPr>
          <w:i/>
          <w:iCs/>
        </w:rPr>
        <w:t xml:space="preserve">multi-letter labels upright.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Corrected.</w:t>
      </w:r>
      <w:r>
        <w:t xml:space="preserve"> </w:t>
      </w:r>
      <w:r>
        <w:t xml:space="preserve">“Priority,”</w:t>
      </w:r>
      <w:r>
        <w:t xml:space="preserve"> </w:t>
      </w:r>
      <w:r>
        <w:t xml:space="preserve">“SeqDef”</w:t>
      </w:r>
      <w:r>
        <w:t xml:space="preserve"> </w:t>
      </w:r>
      <w:r>
        <w:t xml:space="preserve">and all label subscripts (norm, median, depth) are</w:t>
      </w:r>
      <w:r>
        <w:t xml:space="preserve"> </w:t>
      </w:r>
      <w:r>
        <w:t xml:space="preserve">now upright (roman), with italics reserved for scalar variables (S, w, d, A, λ, n) and indices</w:t>
      </w:r>
      <w:r>
        <w:t xml:space="preserve"> </w:t>
      </w:r>
      <w:r>
        <w:t xml:space="preserve">(i, f). While doing this we caught and fixed a substantive omission: the displayed kernel equation</w:t>
      </w:r>
      <w:r>
        <w:t xml:space="preserve"> </w:t>
      </w:r>
      <w:r>
        <w:t xml:space="preserve">had</w:t>
      </w:r>
      <w:r>
        <w:t xml:space="preserve"> </w:t>
      </w:r>
      <w:r>
        <w:rPr>
          <w:b/>
          <w:bCs/>
        </w:rPr>
        <w:t xml:space="preserve">lost its λ</w:t>
      </w:r>
      <w:r>
        <w:t xml:space="preserve"> </w:t>
      </w:r>
      <w:r>
        <w:t xml:space="preserve">— it read</w:t>
      </w:r>
      <w:r>
        <w:t xml:space="preserve"> </w:t>
      </w:r>
      <w:r>
        <w:rPr>
          <w:i/>
          <w:iCs/>
        </w:rPr>
        <w:t xml:space="preserve">w</w:t>
      </w:r>
      <w:r>
        <w:t xml:space="preserve">ᵢ = exp(−</w:t>
      </w:r>
      <w:r>
        <w:rPr>
          <w:i/>
          <w:iCs/>
        </w:rPr>
        <w:t xml:space="preserve">d</w:t>
      </w:r>
      <w:r>
        <w:t xml:space="preserve">ᵢ /</w:t>
      </w:r>
      <w:r>
        <w:t xml:space="preserve"> </w:t>
      </w:r>
      <w:r>
        <w:rPr>
          <w:i/>
          <w:iCs/>
        </w:rPr>
        <w:t xml:space="preserve">T</w:t>
      </w:r>
      <w:r>
        <w:t xml:space="preserve">) — whereas the text and code use</w:t>
      </w:r>
      <w:r>
        <w:t xml:space="preserve"> </w:t>
      </w:r>
      <w:r>
        <w:rPr>
          <w:i/>
          <w:iCs/>
        </w:rPr>
        <w:t xml:space="preserve">w</w:t>
      </w:r>
      <w:r>
        <w:t xml:space="preserve">_fi = exp(−λ·</w:t>
      </w:r>
      <w:r>
        <w:rPr>
          <w:i/>
          <w:iCs/>
        </w:rPr>
        <w:t xml:space="preserve">d</w:t>
      </w:r>
      <w:r>
        <w:t xml:space="preserve">_fi /</w:t>
      </w:r>
      <w:r>
        <w:t xml:space="preserve"> </w:t>
      </w:r>
      <w:r>
        <w:rPr>
          <w:i/>
          <w:iCs/>
        </w:rPr>
        <w:t xml:space="preserve">T</w:t>
      </w:r>
      <w:r>
        <w:t xml:space="preserve">_depth). The equation now matches the implementation, and the priority</w:t>
      </w:r>
      <w:r>
        <w:t xml:space="preserve"> </w:t>
      </w:r>
      <w:r>
        <w:t xml:space="preserve">formula is rendered unambiguously as Priority = SeqDef_median × 2^GE. We performed a full</w:t>
      </w:r>
      <w:r>
        <w:t xml:space="preserve"> </w:t>
      </w:r>
      <w:r>
        <w:t xml:space="preserve">consistency pass so every symbol is defined once and used identically in text, equations and code.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reviewer-2"/>
    <w:p>
      <w:pPr>
        <w:pStyle w:val="Heading2"/>
      </w:pPr>
      <w:r>
        <w:t xml:space="preserve">Reviewer 2</w:t>
      </w:r>
    </w:p>
    <w:bookmarkStart w:id="16" w:name="X58fdbaebd5658918fc88683c99f8cc39fa07f53"/>
    <w:p>
      <w:pPr>
        <w:pStyle w:val="Heading3"/>
      </w:pPr>
      <w:r>
        <w:t xml:space="preserve">2.1 Introduction conflates two distinct frameworks</w:t>
      </w:r>
    </w:p>
    <w:p>
      <w:pPr>
        <w:pStyle w:val="BlockText"/>
      </w:pPr>
      <w:r>
        <w:rPr>
          <w:i/>
          <w:iCs/>
        </w:rPr>
        <w:t xml:space="preserve">The Introduction mixes distinctiveness/threat ranking and information-maximising sampling</w:t>
      </w:r>
      <w:r>
        <w:rPr>
          <w:i/>
          <w:iCs/>
        </w:rPr>
        <w:t xml:space="preserve"> </w:t>
      </w:r>
      <w:r>
        <w:rPr>
          <w:i/>
          <w:iCs/>
        </w:rPr>
        <w:t xml:space="preserve">schemes as if opposed.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We rewrote the passage to present two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traditions —</w:t>
      </w:r>
      <w:r>
        <w:t xml:space="preserve"> </w:t>
      </w:r>
      <w:r>
        <w:t xml:space="preserve">distinctiveness/threat ranking (Faith’s PD; EDGE/EDGE2; Soares et al. 2023 for fishes) and</w:t>
      </w:r>
      <w:r>
        <w:t xml:space="preserve"> </w:t>
      </w:r>
      <w:r>
        <w:t xml:space="preserve">information-maximising sampling schemes (Marini et al. 2022) — and position SeqDef as a bridge</w:t>
      </w:r>
      <w:r>
        <w:t xml:space="preserve"> </w:t>
      </w:r>
      <w:r>
        <w:t xml:space="preserve">that imports the</w:t>
      </w:r>
      <w:r>
        <w:t xml:space="preserve"> </w:t>
      </w:r>
      <w:r>
        <w:t xml:space="preserve">“condition on what is already sampled”</w:t>
      </w:r>
      <w:r>
        <w:t xml:space="preserve"> </w:t>
      </w:r>
      <w:r>
        <w:t xml:space="preserve">logic into the conservation-prioritization</w:t>
      </w:r>
      <w:r>
        <w:t xml:space="preserve"> </w:t>
      </w:r>
      <w:r>
        <w:t xml:space="preserve">tradition, weightable by any threat or value trait. We removed the oppositional phrasing and note</w:t>
      </w:r>
      <w:r>
        <w:t xml:space="preserve"> </w:t>
      </w:r>
      <w:r>
        <w:t xml:space="preserve">that EDGE2 itself conditions on relatives’ risk, so the field is converging on the conditioning</w:t>
      </w:r>
      <w:r>
        <w:t xml:space="preserve"> </w:t>
      </w:r>
      <w:r>
        <w:t xml:space="preserve">logic SeqDef formalises for genomic data.</w:t>
      </w:r>
    </w:p>
    <w:bookmarkEnd w:id="16"/>
    <w:bookmarkStart w:id="17" w:name="Xbf68da234a3dd3031921387c4d7a41bedc7f113"/>
    <w:p>
      <w:pPr>
        <w:pStyle w:val="Heading3"/>
      </w:pPr>
      <w:r>
        <w:t xml:space="preserve">2.2 Extension to taxa lacking any molecular data (e.g., rtrees)</w:t>
      </w:r>
    </w:p>
    <w:p>
      <w:pPr>
        <w:pStyle w:val="BlockText"/>
      </w:pPr>
      <w:r>
        <w:rPr>
          <w:i/>
          <w:iCs/>
        </w:rPr>
        <w:t xml:space="preserve">Use SeqDef to identify unsampled taxa that would most improve coverage, by inserting them</w:t>
      </w:r>
      <w:r>
        <w:rPr>
          <w:i/>
          <w:iCs/>
        </w:rPr>
        <w:t xml:space="preserve"> </w:t>
      </w:r>
      <w:r>
        <w:rPr>
          <w:i/>
          <w:iCs/>
        </w:rPr>
        <w:t xml:space="preserve">(e.g., rtrees) and scoring the augmented tree.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Excellent suggestion; we added a Discussion paragraph. The current design prunes to</w:t>
      </w:r>
      <w:r>
        <w:t xml:space="preserve"> </w:t>
      </w:r>
      <w:r>
        <w:t xml:space="preserve">the tree∩data intersection, so only placed taxa are scored. Species lacking molecular data — common</w:t>
      </w:r>
      <w:r>
        <w:t xml:space="preserve"> </w:t>
      </w:r>
      <w:r>
        <w:t xml:space="preserve">for tropical lineages — can be grafted onto the phylogeny with taxonomic insertion tools (rtrees,</w:t>
      </w:r>
      <w:r>
        <w:t xml:space="preserve"> </w:t>
      </w:r>
      <w:r>
        <w:t xml:space="preserve">V.PhyloMaker,</w:t>
      </w:r>
      <w:r>
        <w:t xml:space="preserve"> </w:t>
      </w:r>
      <w:r>
        <w:rPr>
          <w:rStyle w:val="VerbatimChar"/>
        </w:rPr>
        <w:t xml:space="preserve">phytools::add.species.to.genus</w:t>
      </w:r>
      <w:r>
        <w:t xml:space="preserve">, PASTIS/TACT) and then scored; having no data and</w:t>
      </w:r>
      <w:r>
        <w:t xml:space="preserve"> </w:t>
      </w:r>
      <w:r>
        <w:t xml:space="preserve">often sitting in undersampled clades, they surface as high-deficiency targets. We note the caveat</w:t>
      </w:r>
      <w:r>
        <w:t xml:space="preserve"> </w:t>
      </w:r>
      <w:r>
        <w:t xml:space="preserve">(insertion adds placement/branch-length uncertainty) and that our posterior-tree framework already</w:t>
      </w:r>
      <w:r>
        <w:t xml:space="preserve"> </w:t>
      </w:r>
      <w:r>
        <w:t xml:space="preserve">integrates over uncertainty, so one could average SeqDef over stochastic insertions. We cite</w:t>
      </w:r>
      <w:r>
        <w:t xml:space="preserve"> </w:t>
      </w:r>
      <w:r>
        <w:t xml:space="preserve">Soares et al. (2023), who used exactly this insertion strategy for the fish tree of life, and flag</w:t>
      </w:r>
      <w:r>
        <w:t xml:space="preserve"> </w:t>
      </w:r>
      <w:r>
        <w:t xml:space="preserve">a planned</w:t>
      </w:r>
      <w:r>
        <w:t xml:space="preserve"> </w:t>
      </w:r>
      <w:r>
        <w:rPr>
          <w:rStyle w:val="VerbatimChar"/>
        </w:rPr>
        <w:t xml:space="preserve">prune = FALSE</w:t>
      </w:r>
      <w:r>
        <w:t xml:space="preserve"> </w:t>
      </w:r>
      <w:r>
        <w:t xml:space="preserve">option so users can supply an augmented tree directly.</w:t>
      </w:r>
    </w:p>
    <w:bookmarkEnd w:id="17"/>
    <w:bookmarkStart w:id="18" w:name="definition-of-s-and-examples-beyond-01"/>
    <w:p>
      <w:pPr>
        <w:pStyle w:val="Heading3"/>
      </w:pPr>
      <w:r>
        <w:t xml:space="preserve">2.3 Definition of S and examples beyond 0/1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Addressed together with Reviewer 1’s 1.1: S is a general score on [0,1]; we give</w:t>
      </w:r>
      <w:r>
        <w:t xml:space="preserve"> </w:t>
      </w:r>
      <w:r>
        <w:t xml:space="preserve">worked continuous constructions in the Methods and added the supplementary continuous-S analysis</w:t>
      </w:r>
      <w:r>
        <w:t xml:space="preserve"> </w:t>
      </w:r>
      <w:r>
        <w:t xml:space="preserve">(ρ = 0.98 vs binary; top target unchanged). The binary coding is retained for the main case study</w:t>
      </w:r>
      <w:r>
        <w:t xml:space="preserve"> </w:t>
      </w:r>
      <w:r>
        <w:t xml:space="preserve">with its rationale stated.</w:t>
      </w:r>
    </w:p>
    <w:bookmarkEnd w:id="18"/>
    <w:bookmarkStart w:id="19" w:name="X5c5a0b141c9db2149a3972ea0690f54a3b1f065"/>
    <w:p>
      <w:pPr>
        <w:pStyle w:val="Heading3"/>
      </w:pPr>
      <w:r>
        <w:t xml:space="preserve">2.4 Incorporating a taxonomic-uncertainty weight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We note that a taxonomic-uncertainty weight slots naturally into the framework either</w:t>
      </w:r>
      <w:r>
        <w:t xml:space="preserve"> </w:t>
      </w:r>
      <w:r>
        <w:t xml:space="preserve">as an additional trait passed to</w:t>
      </w:r>
      <w:r>
        <w:t xml:space="preserve"> </w:t>
      </w:r>
      <w:r>
        <w:rPr>
          <w:rStyle w:val="VerbatimChar"/>
        </w:rPr>
        <w:t xml:space="preserve">calc_priority</w:t>
      </w:r>
      <w:r>
        <w:t xml:space="preserve"> </w:t>
      </w:r>
      <w:r>
        <w:t xml:space="preserve">or as a per-tip down-weight on S, and we flag it</w:t>
      </w:r>
      <w:r>
        <w:t xml:space="preserve"> </w:t>
      </w:r>
      <w:r>
        <w:t xml:space="preserve">as a planned option (future work) rather than altering the core statistic. Combined with the</w:t>
      </w:r>
      <w:r>
        <w:t xml:space="preserve"> </w:t>
      </w:r>
      <w:r>
        <w:t xml:space="preserve">insertion-based extension (2.2), this would let users discount confidently for poorly placed tips.</w:t>
      </w:r>
    </w:p>
    <w:bookmarkEnd w:id="19"/>
    <w:bookmarkStart w:id="20" w:name="line-level-comments"/>
    <w:p>
      <w:pPr>
        <w:pStyle w:val="Heading3"/>
      </w:pPr>
      <w:r>
        <w:t xml:space="preserve">2.5 Line-level comments</w:t>
      </w:r>
    </w:p>
    <w:p>
      <w:pPr>
        <w:pStyle w:val="BlockText"/>
      </w:pPr>
      <w:r>
        <w:rPr>
          <w:i/>
          <w:iCs/>
        </w:rPr>
        <w:t xml:space="preserve">Line 40: see Soares et al., Conservation Biology.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Added. The intended reference is Soares et al. (2023),</w:t>
      </w:r>
      <w:r>
        <w:t xml:space="preserve"> </w:t>
      </w:r>
      <w:r>
        <w:t xml:space="preserve">“Quantifying and overcoming</w:t>
      </w:r>
      <w:r>
        <w:t xml:space="preserve"> </w:t>
      </w:r>
      <w:r>
        <w:t xml:space="preserve">Darwinian shortfalls to conserve the fish tree of life,”</w:t>
      </w:r>
      <w:r>
        <w:t xml:space="preserve"> </w:t>
      </w:r>
      <w:r>
        <w:t xml:space="preserve">published in</w:t>
      </w:r>
      <w:r>
        <w:t xml:space="preserve"> </w:t>
      </w:r>
      <w:r>
        <w:rPr>
          <w:b/>
          <w:bCs/>
        </w:rPr>
        <w:t xml:space="preserve">Biological Conservation</w:t>
      </w:r>
      <w:r>
        <w:t xml:space="preserve"> </w:t>
      </w:r>
      <w:r>
        <w:t xml:space="preserve">(the reviewer wrote</w:t>
      </w:r>
      <w:r>
        <w:t xml:space="preserve"> </w:t>
      </w:r>
      <w:r>
        <w:t xml:space="preserve">“Conservation Biology”</w:t>
      </w:r>
      <w:r>
        <w:t xml:space="preserve"> </w:t>
      </w:r>
      <w:r>
        <w:t xml:space="preserve">— we cite the correct journal; please confirm). It</w:t>
      </w:r>
      <w:r>
        <w:t xml:space="preserve"> </w:t>
      </w:r>
      <w:r>
        <w:t xml:space="preserve">supports both the Introduction framing and the new insertion-based Discussion paragraph.</w:t>
      </w:r>
    </w:p>
    <w:p>
      <w:pPr>
        <w:pStyle w:val="BlockText"/>
      </w:pPr>
      <w:r>
        <w:rPr>
          <w:i/>
          <w:iCs/>
        </w:rPr>
        <w:t xml:space="preserve">Line 48: define</w:t>
      </w:r>
      <w:r>
        <w:rPr>
          <w:i/>
          <w:iCs/>
        </w:rPr>
        <w:t xml:space="preserve"> </w:t>
      </w:r>
      <w:r>
        <w:rPr>
          <w:i/>
          <w:iCs/>
        </w:rPr>
        <w:t xml:space="preserve">“marginal information value.”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Defined at first use:</w:t>
      </w:r>
      <w:r>
        <w:t xml:space="preserve"> </w:t>
      </w:r>
      <w:r>
        <w:rPr>
          <w:i/>
          <w:iCs/>
        </w:rPr>
        <w:t xml:space="preserve">by marginal information value we mean the expected gain in</w:t>
      </w:r>
      <w:r>
        <w:rPr>
          <w:i/>
          <w:iCs/>
        </w:rPr>
        <w:t xml:space="preserve"> </w:t>
      </w:r>
      <w:r>
        <w:rPr>
          <w:i/>
          <w:iCs/>
        </w:rPr>
        <w:t xml:space="preserve">genome-derived comparative information from adding a focal taxon’s genome to the current set, given</w:t>
      </w:r>
      <w:r>
        <w:rPr>
          <w:i/>
          <w:iCs/>
        </w:rPr>
        <w:t xml:space="preserve"> </w:t>
      </w:r>
      <w:r>
        <w:rPr>
          <w:i/>
          <w:iCs/>
        </w:rPr>
        <w:t xml:space="preserve">the genomes already available in its relatives — high when little of the taxon’s information is</w:t>
      </w:r>
      <w:r>
        <w:rPr>
          <w:i/>
          <w:iCs/>
        </w:rPr>
        <w:t xml:space="preserve"> </w:t>
      </w:r>
      <w:r>
        <w:rPr>
          <w:i/>
          <w:iCs/>
        </w:rPr>
        <w:t xml:space="preserve">already captured by sequenced close relatives.</w:t>
      </w:r>
      <w:r>
        <w:t xml:space="preserve"> </w:t>
      </w:r>
      <w:r>
        <w:t xml:space="preserve">We tie this to the formal object, the complement</w:t>
      </w:r>
      <w:r>
        <w:t xml:space="preserve"> </w:t>
      </w:r>
      <w:r>
        <w:t xml:space="preserve">of phylogenetically weighted availability (1 − A_f).</w:t>
      </w:r>
    </w:p>
    <w:p>
      <w:pPr>
        <w:pStyle w:val="BlockText"/>
      </w:pPr>
      <w:r>
        <w:rPr>
          <w:i/>
          <w:iCs/>
        </w:rPr>
        <w:t xml:space="preserve">Lines 178–180: clarify the multiplicative (</w:t>
      </w:r>
      <w:r>
        <w:rPr>
          <w:i/>
          <w:iCs/>
        </w:rPr>
        <w:t xml:space="preserve">“doubling”</w:t>
      </w:r>
      <w:r>
        <w:rPr>
          <w:i/>
          <w:iCs/>
        </w:rPr>
        <w:t xml:space="preserve">) effect.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Rewritten:</w:t>
      </w:r>
      <w:r>
        <w:t xml:space="preserve"> </w:t>
      </w:r>
      <w:r>
        <w:t xml:space="preserve">“Because GE enters as an exponent of 2, each one-category increase in</w:t>
      </w:r>
      <w:r>
        <w:t xml:space="preserve"> </w:t>
      </w:r>
      <w:r>
        <w:t xml:space="preserve">extinction risk</w:t>
      </w:r>
      <w:r>
        <w:t xml:space="preserve"> </w:t>
      </w:r>
      <w:r>
        <w:rPr>
          <w:b/>
          <w:bCs/>
        </w:rPr>
        <w:t xml:space="preserve">doubles</w:t>
      </w:r>
      <w:r>
        <w:t xml:space="preserve"> </w:t>
      </w:r>
      <w:r>
        <w:t xml:space="preserve">a taxon’s priority — a Critically Endangered taxon (GE = 4) receives</w:t>
      </w:r>
      <w:r>
        <w:t xml:space="preserve"> </w:t>
      </w:r>
      <w:r>
        <w:t xml:space="preserve">2⁴ = 16× the weight of a Least Concern taxon (GE = 0) with the same SeqDef — so priority rises</w:t>
      </w:r>
      <w:r>
        <w:t xml:space="preserve"> </w:t>
      </w:r>
      <w:r>
        <w:t xml:space="preserve">steeply for taxa that are simultaneously isolated from existing genomes and highly threatened.”</w:t>
      </w:r>
    </w:p>
    <w:bookmarkEnd w:id="20"/>
    <w:bookmarkStart w:id="21" w:name="figure-1-should-report-the-λ-value"/>
    <w:p>
      <w:pPr>
        <w:pStyle w:val="Heading3"/>
      </w:pPr>
      <w:r>
        <w:t xml:space="preserve">2.6 Figure 1 should report the λ value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Agreed (and seconded by the Associate Editor). The previous panel used illustrative</w:t>
      </w:r>
      <w:r>
        <w:t xml:space="preserve"> </w:t>
      </w:r>
      <w:r>
        <w:t xml:space="preserve">hand-set values; we</w:t>
      </w:r>
      <w:r>
        <w:t xml:space="preserve"> </w:t>
      </w:r>
      <w:r>
        <w:rPr>
          <w:b/>
          <w:bCs/>
        </w:rPr>
        <w:t xml:space="preserve">regenerated Figure 1 from an actual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SeqDef()</w:t>
      </w:r>
      <w:r>
        <w:rPr>
          <w:b/>
          <w:bCs/>
        </w:rP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on the toy tree</w:t>
      </w:r>
      <w:r>
        <w:t xml:space="preserve"> </w:t>
      </w:r>
      <w:r>
        <w:t xml:space="preserve">(</w:t>
      </w:r>
      <w:r>
        <w:rPr>
          <w:rStyle w:val="VerbatimChar"/>
        </w:rPr>
        <w:t xml:space="preserve">auto_max</w:t>
      </w:r>
      <w:r>
        <w:t xml:space="preserve"> </w:t>
      </w:r>
      <w:r>
        <w:t xml:space="preserve">λ = 1.2) and now show</w:t>
      </w:r>
      <w:r>
        <w:t xml:space="preserve"> </w:t>
      </w:r>
      <w:r>
        <w:rPr>
          <w:b/>
          <w:bCs/>
        </w:rPr>
        <w:t xml:space="preserve">three λ values (1.2, 5, 15)</w:t>
      </w:r>
      <w:r>
        <w:t xml:space="preserve"> </w:t>
      </w:r>
      <w:r>
        <w:t xml:space="preserve">so the horizon effect is explicit:</w:t>
      </w:r>
      <w:r>
        <w:t xml:space="preserve"> </w:t>
      </w:r>
      <w:r>
        <w:rPr>
          <w:i/>
          <w:iCs/>
        </w:rPr>
        <w:t xml:space="preserve">taxa9</w:t>
      </w:r>
      <w:r>
        <w:t xml:space="preserve"> </w:t>
      </w:r>
      <w:r>
        <w:t xml:space="preserve">(sister of the only sequenced tip) has SeqDef = 0.23, 0.63 and 0.95 as λ increases — its</w:t>
      </w:r>
      <w:r>
        <w:t xml:space="preserve"> </w:t>
      </w:r>
      <w:r>
        <w:t xml:space="preserve">“coverage”</w:t>
      </w:r>
      <w:r>
        <w:t xml:space="preserve"> </w:t>
      </w:r>
      <w:r>
        <w:t xml:space="preserve">by a sequenced relative vanishes as the phylogenetic horizon shrinks.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ditorial-and-compliance-items"/>
    <w:p>
      <w:pPr>
        <w:pStyle w:val="Heading2"/>
      </w:pPr>
      <w:r>
        <w:t xml:space="preserve">Editorial and compliance items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Availability.</w:t>
      </w:r>
      <w:r>
        <w:t xml:space="preserve"> </w:t>
      </w:r>
      <w:r>
        <w:t xml:space="preserve">We completed the Data Availability Statement: a citable Zenodo snapshot of</w:t>
      </w:r>
      <w:r>
        <w:t xml:space="preserve"> </w:t>
      </w:r>
      <w:r>
        <w:t xml:space="preserve">the SeqDef code (DOI: [to be minted]), the NCBI assembly table and the analysis scripts; the</w:t>
      </w:r>
      <w:r>
        <w:t xml:space="preserve"> </w:t>
      </w:r>
      <w:r>
        <w:t xml:space="preserve">posterior trees are cited to VertLife / Stein et al. (2018). IUCN Red List data are not</w:t>
      </w:r>
      <w:r>
        <w:t xml:space="preserve"> </w:t>
      </w:r>
      <w:r>
        <w:t xml:space="preserve">redistributable, so we provide the Red List version, the exact query and the access date.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Author contributions.</w:t>
      </w:r>
      <w:r>
        <w:t xml:space="preserve"> </w:t>
      </w:r>
      <w:r>
        <w:t xml:space="preserve">CRediT contributions for all authors are provided with the revised</w:t>
      </w:r>
      <w:r>
        <w:t xml:space="preserve"> </w:t>
      </w:r>
      <w:r>
        <w:t xml:space="preserve">submission [to be completed by the authors].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Reproducibility housekeeping.</w:t>
      </w:r>
      <w:r>
        <w:t xml:space="preserve"> </w:t>
      </w:r>
      <w:r>
        <w:t xml:space="preserve">Before public archiving we will remove and rotate the API keys</w:t>
      </w:r>
      <w:r>
        <w:t xml:space="preserve"> </w:t>
      </w:r>
      <w:r>
        <w:t xml:space="preserve">embedded in the analysis script, complete the package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(authors, ORCIDs, license)</w:t>
      </w:r>
      <w:r>
        <w:t xml:space="preserve"> </w:t>
      </w:r>
      <w:r>
        <w:t xml:space="preserve">and citation, and add unit tests covering the three kernels and the λ-selection edge cases.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Dataset count.</w:t>
      </w:r>
      <w:r>
        <w:t xml:space="preserve"> </w:t>
      </w:r>
      <w:r>
        <w:t xml:space="preserve">We corrected the species count to</w:t>
      </w:r>
      <w:r>
        <w:t xml:space="preserve"> </w:t>
      </w:r>
      <w:r>
        <w:rPr>
          <w:b/>
          <w:bCs/>
        </w:rPr>
        <w:t xml:space="preserve">n = 877</w:t>
      </w:r>
      <w:r>
        <w:t xml:space="preserve"> </w:t>
      </w:r>
      <w:r>
        <w:t xml:space="preserve">(the value reproduced by the</w:t>
      </w:r>
      <w:r>
        <w:t xml:space="preserve"> </w:t>
      </w:r>
      <w:r>
        <w:t xml:space="preserve">analysis pipeline; the previous</w:t>
      </w:r>
      <w:r>
        <w:t xml:space="preserve"> </w:t>
      </w:r>
      <w:r>
        <w:t xml:space="preserve">“n = 850”</w:t>
      </w:r>
      <w:r>
        <w:t xml:space="preserve"> </w:t>
      </w:r>
      <w:r>
        <w:t xml:space="preserve">was a transcription error).</w:t>
      </w:r>
    </w:p>
    <w:p>
      <w:pPr>
        <w:pStyle w:val="FirstParagraph"/>
      </w:pPr>
      <w:r>
        <w:rPr>
          <w:i/>
          <w:iCs/>
        </w:rPr>
        <w:t xml:space="preserve">We thank the editor and reviewers for feedback that has measurably strengthened the paper.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2026-06-03T17:05:03Z</dcterms:created>
  <dcterms:modified xsi:type="dcterms:W3CDTF">2026-06-03T17:05:03Z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