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FE61" w14:textId="251BD710" w:rsidR="00EB1E1F" w:rsidRPr="00F902B4" w:rsidRDefault="00EB1E1F" w:rsidP="00F902B4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F902B4">
        <w:rPr>
          <w:b/>
          <w:bCs/>
          <w:sz w:val="24"/>
          <w:szCs w:val="24"/>
        </w:rPr>
        <w:t>Descrição</w:t>
      </w:r>
    </w:p>
    <w:p w14:paraId="32679E77" w14:textId="303407BF" w:rsidR="00EB1E1F" w:rsidRPr="00F902B4" w:rsidRDefault="00EB1E1F" w:rsidP="00EB1E1F">
      <w:pPr>
        <w:spacing w:line="360" w:lineRule="auto"/>
        <w:jc w:val="both"/>
        <w:rPr>
          <w:sz w:val="24"/>
          <w:szCs w:val="24"/>
        </w:rPr>
      </w:pPr>
      <w:r w:rsidRPr="00F902B4">
        <w:rPr>
          <w:sz w:val="24"/>
          <w:szCs w:val="24"/>
        </w:rPr>
        <w:t>Este arquivo contém 13.910 medições de 16 sensores químicos expostos a 6 gases diferentes em vários níveis de concentração. Estas medições são utilizadas em simulações para compensação de deriva em uma tarefa de discriminação de seis gases em vários níveis de concentração.</w:t>
      </w:r>
    </w:p>
    <w:p w14:paraId="5929E2E5" w14:textId="77777777" w:rsidR="00FC2ABB" w:rsidRDefault="00EB1E1F" w:rsidP="00EB1E1F">
      <w:pPr>
        <w:spacing w:line="360" w:lineRule="auto"/>
        <w:jc w:val="both"/>
        <w:rPr>
          <w:sz w:val="24"/>
          <w:szCs w:val="24"/>
        </w:rPr>
      </w:pPr>
      <w:r w:rsidRPr="00F902B4">
        <w:rPr>
          <w:sz w:val="24"/>
          <w:szCs w:val="24"/>
        </w:rPr>
        <w:t>O conjunto de dados foi coletado durante o período de janeiro de 2008 a fevereiro de 2011 (36 meses). Esses dados são divididos em 10 arquivos em lote com extensão '.</w:t>
      </w:r>
      <w:proofErr w:type="spellStart"/>
      <w:r w:rsidRPr="00F902B4">
        <w:rPr>
          <w:sz w:val="24"/>
          <w:szCs w:val="24"/>
        </w:rPr>
        <w:t>dat</w:t>
      </w:r>
      <w:proofErr w:type="spellEnd"/>
      <w:r w:rsidRPr="00F902B4">
        <w:rPr>
          <w:sz w:val="24"/>
          <w:szCs w:val="24"/>
        </w:rPr>
        <w:t xml:space="preserve">'. O conjunto de dados foi coletado durante o período de janeiro de 2008 a fevereiro de 2011 (36 meses) em uma plataforma de distribuição de gás situada no Laboratório </w:t>
      </w:r>
      <w:proofErr w:type="spellStart"/>
      <w:r w:rsidRPr="00F902B4">
        <w:rPr>
          <w:sz w:val="24"/>
          <w:szCs w:val="24"/>
        </w:rPr>
        <w:t>ChemoSignals</w:t>
      </w:r>
      <w:proofErr w:type="spellEnd"/>
      <w:r w:rsidRPr="00F902B4">
        <w:rPr>
          <w:sz w:val="24"/>
          <w:szCs w:val="24"/>
        </w:rPr>
        <w:t xml:space="preserve"> no Instituto </w:t>
      </w:r>
      <w:proofErr w:type="spellStart"/>
      <w:r w:rsidRPr="00F902B4">
        <w:rPr>
          <w:sz w:val="24"/>
          <w:szCs w:val="24"/>
        </w:rPr>
        <w:t>BioCircuits</w:t>
      </w:r>
      <w:proofErr w:type="spellEnd"/>
      <w:r w:rsidRPr="00F902B4">
        <w:rPr>
          <w:sz w:val="24"/>
          <w:szCs w:val="24"/>
        </w:rPr>
        <w:t>, Universidade da</w:t>
      </w:r>
      <w:r w:rsidR="00F902B4" w:rsidRPr="00F902B4">
        <w:rPr>
          <w:sz w:val="24"/>
          <w:szCs w:val="24"/>
        </w:rPr>
        <w:t xml:space="preserve"> </w:t>
      </w:r>
      <w:r w:rsidRPr="00F902B4">
        <w:rPr>
          <w:sz w:val="24"/>
          <w:szCs w:val="24"/>
        </w:rPr>
        <w:t>Califórnia em San Diego.</w:t>
      </w:r>
    </w:p>
    <w:p w14:paraId="7100C150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Detalhes da organização do conjunto de dados. Cada linha corresponde a meses que foram combinados para formar um lote:</w:t>
      </w:r>
    </w:p>
    <w:p w14:paraId="4505086F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proofErr w:type="spellStart"/>
      <w:r w:rsidRPr="00FC2ABB">
        <w:rPr>
          <w:sz w:val="24"/>
          <w:szCs w:val="24"/>
        </w:rPr>
        <w:t>IDs</w:t>
      </w:r>
      <w:proofErr w:type="spellEnd"/>
      <w:r w:rsidRPr="00FC2ABB">
        <w:rPr>
          <w:sz w:val="24"/>
          <w:szCs w:val="24"/>
        </w:rPr>
        <w:t xml:space="preserve"> de mês de ID de lote</w:t>
      </w:r>
    </w:p>
    <w:p w14:paraId="6D21533A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1 Meses 1 e 2</w:t>
      </w:r>
    </w:p>
    <w:p w14:paraId="3282CE29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2 Meses 3, 4, 8, 9 e 10</w:t>
      </w:r>
    </w:p>
    <w:p w14:paraId="5F2BB88F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3 Meses 11, 12 e 13</w:t>
      </w:r>
    </w:p>
    <w:p w14:paraId="2B543299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4 Meses 14 e 15</w:t>
      </w:r>
    </w:p>
    <w:p w14:paraId="5825D998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5 Mês 16</w:t>
      </w:r>
    </w:p>
    <w:p w14:paraId="3F197708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6 Meses 17, 18, 19 e 20</w:t>
      </w:r>
    </w:p>
    <w:p w14:paraId="4EF84D70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7 Mês 21</w:t>
      </w:r>
    </w:p>
    <w:p w14:paraId="26BFB23B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8 Meses 22 e 23</w:t>
      </w:r>
    </w:p>
    <w:p w14:paraId="23255488" w14:textId="77777777" w:rsidR="00FC2ABB" w:rsidRP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9 Meses 24 e 30</w:t>
      </w:r>
    </w:p>
    <w:p w14:paraId="08408AB8" w14:textId="6A28A9BD" w:rsidR="00FC2ABB" w:rsidRDefault="00FC2ABB" w:rsidP="00FC2ABB">
      <w:pPr>
        <w:spacing w:line="360" w:lineRule="auto"/>
        <w:jc w:val="both"/>
        <w:rPr>
          <w:sz w:val="24"/>
          <w:szCs w:val="24"/>
        </w:rPr>
      </w:pPr>
      <w:r w:rsidRPr="00FC2ABB">
        <w:rPr>
          <w:sz w:val="24"/>
          <w:szCs w:val="24"/>
        </w:rPr>
        <w:t>Lote 10 Mês 36</w:t>
      </w:r>
    </w:p>
    <w:p w14:paraId="00912CDF" w14:textId="36F24B53" w:rsidR="00151AE6" w:rsidRPr="00F902B4" w:rsidRDefault="00151AE6" w:rsidP="00EB1E1F">
      <w:pPr>
        <w:spacing w:line="360" w:lineRule="auto"/>
        <w:jc w:val="both"/>
        <w:rPr>
          <w:sz w:val="24"/>
          <w:szCs w:val="24"/>
        </w:rPr>
      </w:pPr>
      <w:r w:rsidRPr="00F902B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430A6A7" wp14:editId="2F90B832">
                <wp:extent cx="304800" cy="304800"/>
                <wp:effectExtent l="0" t="0" r="0" b="0"/>
                <wp:docPr id="1803992997" name="Retângulo 1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BDAB4" id="Retângulo 11" o:spid="_x0000_s1026" href="https://camo.githubusercontent.com/b31c94405729c5c8b8be481e5abca1b39380215a3f206ab2e32813049b6107eb/68747470733a2f2f696d672e736869656c64732e696f2f62616467652f6c6162656c65642d7965732d626c75652e7376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902B4">
        <w:rPr>
          <w:sz w:val="24"/>
          <w:szCs w:val="24"/>
        </w:rPr>
        <w:t> </w:t>
      </w:r>
      <w:r w:rsidRPr="00F902B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9764ECD" wp14:editId="2A603687">
                <wp:extent cx="304800" cy="304800"/>
                <wp:effectExtent l="0" t="0" r="0" b="0"/>
                <wp:docPr id="1838878135" name="Retângulo 10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0CA27" id="Retângulo 10" o:spid="_x0000_s1026" href="https://camo.githubusercontent.com/7b48da9e50800edc846bcc10901bda54ed7ff97197fd0a95d4f18ab1fb609212/68747470733a2f2f696d672e736869656c64732e696f2f62616467652f74696d652d2d7365726965732d7965732d626c75652e7376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902B4">
        <w:rPr>
          <w:sz w:val="24"/>
          <w:szCs w:val="24"/>
        </w:rPr>
        <w:t> </w:t>
      </w:r>
      <w:r w:rsidRPr="00F902B4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AB9EB2A" wp14:editId="3E616D83">
                <wp:extent cx="304800" cy="304800"/>
                <wp:effectExtent l="0" t="0" r="0" b="0"/>
                <wp:docPr id="1669513137" name="Retângulo 9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F313B" id="Retângulo 9" o:spid="_x0000_s1026" href="https://camo.githubusercontent.com/b7fd5db49cc0cc6d39c4eb54137963a6b632e013dc2d265d5fa17e032ba52ca4/68747470733a2f2f696d672e736869656c64732e696f2f62616467652f73696d756c6174696f6e2d7965732d626c75652e737667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1E9FDC" w14:textId="77777777" w:rsidR="00F902B4" w:rsidRDefault="00EB1E1F" w:rsidP="00F902B4">
      <w:pPr>
        <w:pStyle w:val="PargrafodaLista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902B4">
        <w:rPr>
          <w:b/>
          <w:bCs/>
          <w:sz w:val="24"/>
          <w:szCs w:val="24"/>
        </w:rPr>
        <w:lastRenderedPageBreak/>
        <w:t xml:space="preserve">Informação do </w:t>
      </w:r>
      <w:proofErr w:type="spellStart"/>
      <w:r w:rsidRPr="00F902B4">
        <w:rPr>
          <w:b/>
          <w:bCs/>
          <w:sz w:val="24"/>
          <w:szCs w:val="24"/>
        </w:rPr>
        <w:t>Dataset</w:t>
      </w:r>
      <w:proofErr w:type="spellEnd"/>
    </w:p>
    <w:p w14:paraId="47A0B583" w14:textId="489E39DD" w:rsidR="00151AE6" w:rsidRPr="00F902B4" w:rsidRDefault="00EB1E1F" w:rsidP="00F902B4">
      <w:pPr>
        <w:pStyle w:val="PargrafodaLista"/>
        <w:numPr>
          <w:ilvl w:val="1"/>
          <w:numId w:val="5"/>
        </w:numPr>
        <w:spacing w:line="360" w:lineRule="auto"/>
        <w:rPr>
          <w:b/>
          <w:bCs/>
          <w:sz w:val="24"/>
          <w:szCs w:val="24"/>
        </w:rPr>
      </w:pPr>
      <w:r w:rsidRPr="00F902B4">
        <w:rPr>
          <w:sz w:val="24"/>
          <w:szCs w:val="24"/>
        </w:rPr>
        <w:t>Resumo dos Dados</w:t>
      </w:r>
    </w:p>
    <w:p w14:paraId="732BCF07" w14:textId="77777777" w:rsidR="00151AE6" w:rsidRPr="00F902B4" w:rsidRDefault="00151AE6" w:rsidP="00EB1E1F">
      <w:pPr>
        <w:spacing w:line="360" w:lineRule="auto"/>
        <w:rPr>
          <w:vanish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040"/>
        <w:gridCol w:w="2707"/>
        <w:gridCol w:w="1785"/>
      </w:tblGrid>
      <w:tr w:rsidR="00151AE6" w:rsidRPr="00F902B4" w14:paraId="784DC893" w14:textId="77777777" w:rsidTr="00151AE6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247D6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Number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Instances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AC62B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Number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128FA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Number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Missing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Values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>(N/A)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DD1FE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Number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Classes</w:t>
            </w:r>
          </w:p>
        </w:tc>
      </w:tr>
      <w:tr w:rsidR="00151AE6" w:rsidRPr="00F902B4" w14:paraId="1C9CB301" w14:textId="77777777" w:rsidTr="00151AE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49E4B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13910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99CDB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129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34FD5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A62CA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6</w:t>
            </w:r>
          </w:p>
        </w:tc>
      </w:tr>
    </w:tbl>
    <w:p w14:paraId="09DE0199" w14:textId="77777777" w:rsidR="00EB1E1F" w:rsidRPr="00F902B4" w:rsidRDefault="00EB1E1F" w:rsidP="00EB1E1F">
      <w:pPr>
        <w:spacing w:line="360" w:lineRule="auto"/>
        <w:jc w:val="both"/>
        <w:rPr>
          <w:sz w:val="24"/>
          <w:szCs w:val="24"/>
        </w:rPr>
      </w:pPr>
    </w:p>
    <w:p w14:paraId="00825C7A" w14:textId="24F008D9" w:rsidR="00151AE6" w:rsidRPr="00F902B4" w:rsidRDefault="00EB1E1F" w:rsidP="00EB1E1F">
      <w:pPr>
        <w:spacing w:line="360" w:lineRule="auto"/>
        <w:jc w:val="both"/>
        <w:rPr>
          <w:sz w:val="24"/>
          <w:szCs w:val="24"/>
        </w:rPr>
      </w:pPr>
      <w:r w:rsidRPr="00F902B4">
        <w:rPr>
          <w:sz w:val="24"/>
          <w:szCs w:val="24"/>
        </w:rPr>
        <w:t>A primeira variável nominal é uma variável de classe (alvo). As 128 variáveis restantes são todas do tipo numérico. Não há distinção entre dados de treinamento e dados de teste no arquivo de dados.</w:t>
      </w:r>
    </w:p>
    <w:tbl>
      <w:tblPr>
        <w:tblpPr w:leftFromText="141" w:rightFromText="141" w:vertAnchor="text" w:horzAnchor="margin" w:tblpY="56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362"/>
        <w:gridCol w:w="1759"/>
        <w:gridCol w:w="1326"/>
        <w:gridCol w:w="1263"/>
        <w:gridCol w:w="1204"/>
        <w:gridCol w:w="1204"/>
      </w:tblGrid>
      <w:tr w:rsidR="00EB1E1F" w:rsidRPr="00F902B4" w14:paraId="0AB139CB" w14:textId="77777777" w:rsidTr="008A2324">
        <w:trPr>
          <w:trHeight w:val="902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0B432" w14:textId="77777777" w:rsidR="00EB1E1F" w:rsidRPr="00F902B4" w:rsidRDefault="00EB1E1F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of</w:t>
            </w:r>
            <w:proofErr w:type="spellEnd"/>
            <w:r w:rsidRPr="00F902B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02B4">
              <w:rPr>
                <w:b/>
                <w:bCs/>
                <w:sz w:val="24"/>
                <w:szCs w:val="24"/>
              </w:rPr>
              <w:t>gas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D97BE" w14:textId="77777777" w:rsidR="00EB1E1F" w:rsidRPr="00F902B4" w:rsidRDefault="00EB1E1F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Ammonia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302A0" w14:textId="77777777" w:rsidR="00EB1E1F" w:rsidRPr="00F902B4" w:rsidRDefault="00EB1E1F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Acetaldehyde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8B394" w14:textId="77777777" w:rsidR="00EB1E1F" w:rsidRPr="00F902B4" w:rsidRDefault="00EB1E1F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Acetone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E0D8E" w14:textId="77777777" w:rsidR="00EB1E1F" w:rsidRPr="00F902B4" w:rsidRDefault="00EB1E1F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Ethylene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E3CB" w14:textId="77777777" w:rsidR="00EB1E1F" w:rsidRPr="00F902B4" w:rsidRDefault="00EB1E1F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Ethanol</w:t>
            </w:r>
            <w:proofErr w:type="spellEnd"/>
          </w:p>
        </w:tc>
        <w:tc>
          <w:tcPr>
            <w:tcW w:w="60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1A91B" w14:textId="77777777" w:rsidR="00EB1E1F" w:rsidRPr="00F902B4" w:rsidRDefault="00EB1E1F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F902B4">
              <w:rPr>
                <w:b/>
                <w:bCs/>
                <w:sz w:val="24"/>
                <w:szCs w:val="24"/>
              </w:rPr>
              <w:t>Toluene</w:t>
            </w:r>
            <w:proofErr w:type="spellEnd"/>
          </w:p>
        </w:tc>
      </w:tr>
      <w:tr w:rsidR="00EB1E1F" w:rsidRPr="00F902B4" w14:paraId="692F6EB7" w14:textId="77777777" w:rsidTr="008A2324">
        <w:trPr>
          <w:trHeight w:val="450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2D113" w14:textId="77777777" w:rsidR="00EB1E1F" w:rsidRPr="00F902B4" w:rsidRDefault="00EB1E1F" w:rsidP="00F902B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F902B4">
              <w:rPr>
                <w:sz w:val="24"/>
                <w:szCs w:val="24"/>
              </w:rPr>
              <w:t>ppmv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BA5D0" w14:textId="77777777" w:rsidR="00EB1E1F" w:rsidRPr="00F902B4" w:rsidRDefault="00EB1E1F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(50,1000)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4E338" w14:textId="77777777" w:rsidR="00EB1E1F" w:rsidRPr="00F902B4" w:rsidRDefault="00EB1E1F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(5,500)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DC033" w14:textId="77777777" w:rsidR="00EB1E1F" w:rsidRPr="00F902B4" w:rsidRDefault="00EB1E1F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(12,1000)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32AE3" w14:textId="77777777" w:rsidR="00EB1E1F" w:rsidRPr="00F902B4" w:rsidRDefault="00EB1E1F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(10,300)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0F72" w14:textId="77777777" w:rsidR="00EB1E1F" w:rsidRPr="00F902B4" w:rsidRDefault="00EB1E1F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(10,600)</w:t>
            </w:r>
          </w:p>
        </w:tc>
        <w:tc>
          <w:tcPr>
            <w:tcW w:w="60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A5F1B" w14:textId="77777777" w:rsidR="00EB1E1F" w:rsidRPr="00F902B4" w:rsidRDefault="00EB1E1F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(10,100)</w:t>
            </w:r>
          </w:p>
        </w:tc>
      </w:tr>
    </w:tbl>
    <w:p w14:paraId="4353E714" w14:textId="740858C6" w:rsidR="00EB1E1F" w:rsidRPr="00F902B4" w:rsidRDefault="00EB1E1F" w:rsidP="00F902B4">
      <w:pPr>
        <w:spacing w:line="360" w:lineRule="auto"/>
        <w:jc w:val="both"/>
        <w:rPr>
          <w:sz w:val="24"/>
          <w:szCs w:val="24"/>
        </w:rPr>
      </w:pPr>
      <w:r w:rsidRPr="00F902B4">
        <w:rPr>
          <w:sz w:val="24"/>
          <w:szCs w:val="24"/>
        </w:rPr>
        <w:t>Nome do gás das 6 classes e intervalo de níveis de concentração de cada gás</w:t>
      </w:r>
    </w:p>
    <w:p w14:paraId="3DF04B64" w14:textId="77777777" w:rsidR="00F902B4" w:rsidRDefault="00F902B4" w:rsidP="00F902B4">
      <w:pPr>
        <w:pStyle w:val="PargrafodaLista"/>
        <w:spacing w:line="360" w:lineRule="auto"/>
        <w:ind w:left="0"/>
        <w:rPr>
          <w:sz w:val="24"/>
          <w:szCs w:val="24"/>
        </w:rPr>
      </w:pPr>
    </w:p>
    <w:p w14:paraId="10ADEA73" w14:textId="77777777" w:rsidR="00F902B4" w:rsidRDefault="00F902B4" w:rsidP="00F902B4">
      <w:pPr>
        <w:pStyle w:val="PargrafodaLista"/>
        <w:spacing w:line="360" w:lineRule="auto"/>
        <w:ind w:left="0"/>
        <w:rPr>
          <w:sz w:val="24"/>
          <w:szCs w:val="24"/>
        </w:rPr>
      </w:pPr>
    </w:p>
    <w:p w14:paraId="13DBAA9B" w14:textId="4688FF10" w:rsidR="00151AE6" w:rsidRPr="00F902B4" w:rsidRDefault="00EB1E1F" w:rsidP="00F902B4">
      <w:pPr>
        <w:pStyle w:val="PargrafodaLista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F902B4">
        <w:rPr>
          <w:sz w:val="24"/>
          <w:szCs w:val="24"/>
        </w:rPr>
        <w:t>Quantidade de cada classe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7"/>
        <w:gridCol w:w="877"/>
      </w:tblGrid>
      <w:tr w:rsidR="00151AE6" w:rsidRPr="00F902B4" w14:paraId="3701FE3E" w14:textId="77777777" w:rsidTr="00151AE6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AD89" w14:textId="617B24C7" w:rsidR="00F902B4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902B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A4792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902B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88DF9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902B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B4C71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902B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073BA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902B4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476E5" w14:textId="77777777" w:rsidR="00151AE6" w:rsidRPr="00F902B4" w:rsidRDefault="00151AE6" w:rsidP="00F902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902B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151AE6" w:rsidRPr="00F902B4" w14:paraId="7F598806" w14:textId="77777777" w:rsidTr="00151AE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5C33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2565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4FBE6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2926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08B8E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1641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6C119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1936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A8EF6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3009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B33A9" w14:textId="77777777" w:rsidR="00151AE6" w:rsidRPr="00F902B4" w:rsidRDefault="00151AE6" w:rsidP="00F902B4">
            <w:pPr>
              <w:spacing w:line="240" w:lineRule="auto"/>
              <w:rPr>
                <w:sz w:val="24"/>
                <w:szCs w:val="24"/>
              </w:rPr>
            </w:pPr>
            <w:r w:rsidRPr="00F902B4">
              <w:rPr>
                <w:sz w:val="24"/>
                <w:szCs w:val="24"/>
              </w:rPr>
              <w:t>1833</w:t>
            </w:r>
          </w:p>
        </w:tc>
      </w:tr>
    </w:tbl>
    <w:p w14:paraId="3DD98AED" w14:textId="77777777" w:rsidR="00151AE6" w:rsidRPr="00F902B4" w:rsidRDefault="00151AE6" w:rsidP="00EB1E1F">
      <w:pPr>
        <w:spacing w:line="360" w:lineRule="auto"/>
        <w:rPr>
          <w:sz w:val="24"/>
          <w:szCs w:val="24"/>
        </w:rPr>
      </w:pPr>
    </w:p>
    <w:p w14:paraId="76D3911B" w14:textId="77777777" w:rsidR="00F902B4" w:rsidRPr="00F902B4" w:rsidRDefault="00151AE6" w:rsidP="00F902B4">
      <w:pPr>
        <w:pStyle w:val="PargrafodaLista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902B4">
        <w:rPr>
          <w:b/>
          <w:bCs/>
          <w:sz w:val="24"/>
          <w:szCs w:val="24"/>
        </w:rPr>
        <w:t>Atributos</w:t>
      </w:r>
    </w:p>
    <w:p w14:paraId="76199619" w14:textId="36BFCACB" w:rsidR="00151AE6" w:rsidRPr="00F902B4" w:rsidRDefault="00151AE6" w:rsidP="00F902B4">
      <w:pPr>
        <w:spacing w:line="360" w:lineRule="auto"/>
        <w:jc w:val="both"/>
        <w:rPr>
          <w:b/>
          <w:bCs/>
          <w:sz w:val="24"/>
          <w:szCs w:val="24"/>
        </w:rPr>
      </w:pPr>
      <w:r w:rsidRPr="00F902B4">
        <w:rPr>
          <w:sz w:val="24"/>
          <w:szCs w:val="24"/>
        </w:rPr>
        <w:t xml:space="preserve">Por que um vetor de recursos de 128 elementos por medição? Os sensores de gás MOX normalmente descrevem uma mudança </w:t>
      </w:r>
      <w:proofErr w:type="spellStart"/>
      <w:r w:rsidRPr="00F902B4">
        <w:rPr>
          <w:sz w:val="24"/>
          <w:szCs w:val="24"/>
        </w:rPr>
        <w:t>monotonicamente</w:t>
      </w:r>
      <w:proofErr w:type="spellEnd"/>
      <w:r w:rsidRPr="00F902B4">
        <w:rPr>
          <w:sz w:val="24"/>
          <w:szCs w:val="24"/>
        </w:rPr>
        <w:t xml:space="preserve"> suave na condutância da camada de detecção devido aos processos de reação de adsorção/dessorção da substância de analito químico exposta. Representamos cada série temporal com um agregado de oito características que refletem a resposta do sensor. Em particular, consideramos dois tipos distintos de características na criação deste conjunto de dados: </w:t>
      </w:r>
      <w:r w:rsidRPr="00F902B4">
        <w:rPr>
          <w:sz w:val="24"/>
          <w:szCs w:val="24"/>
        </w:rPr>
        <w:lastRenderedPageBreak/>
        <w:t>duas características de estado estacionário e seis características que refletem a dinâmica do sensor. As características de estado estacionário incluem a amplitude da mudança de resistência e seu valor normalizado. As características transitórias foram extraídas com base na média móvel exponencial (EMA) para refletir a dinâmica do sensor da porção transitória crescente/decadente das respostas do sensor. A transformada EMA avalia as porções crescentes/decrescentes da resistência do sensor considerando os valores máximo/mínimo de y[k] do seguinte filtro digital de primeira ordem: y[k] = (1-</w:t>
      </w:r>
      <w:proofErr w:type="gramStart"/>
      <w:r w:rsidRPr="00F902B4">
        <w:rPr>
          <w:sz w:val="24"/>
          <w:szCs w:val="24"/>
        </w:rPr>
        <w:t>a)y</w:t>
      </w:r>
      <w:proofErr w:type="gramEnd"/>
      <w:r w:rsidRPr="00F902B4">
        <w:rPr>
          <w:sz w:val="24"/>
          <w:szCs w:val="24"/>
        </w:rPr>
        <w:t>[k-1] + uma(x[k] - x[k-1])</w:t>
      </w:r>
    </w:p>
    <w:p w14:paraId="228899F6" w14:textId="4EA03A96" w:rsidR="00151AE6" w:rsidRPr="00F902B4" w:rsidRDefault="00151AE6" w:rsidP="00F902B4">
      <w:pPr>
        <w:spacing w:line="360" w:lineRule="auto"/>
        <w:jc w:val="both"/>
        <w:rPr>
          <w:sz w:val="24"/>
          <w:szCs w:val="24"/>
          <w:u w:val="single"/>
        </w:rPr>
      </w:pPr>
      <w:r w:rsidRPr="00F902B4">
        <w:rPr>
          <w:sz w:val="24"/>
          <w:szCs w:val="24"/>
        </w:rPr>
        <w:t xml:space="preserve">onde 0 &lt; α &lt; 1 é o parâmetro de suavização do filtro e x[k] é o valor adquirido no tempo k. Como diferentes valores de α fornecem diferentes valores de características e diferentes informações da resposta transitória, calculamos o filtro EMA para três valores de α = 0,1, 0,01, 0,001 para os estágios ascendente e descendente. </w:t>
      </w:r>
      <w:r w:rsidRPr="00F902B4">
        <w:rPr>
          <w:sz w:val="24"/>
          <w:szCs w:val="24"/>
          <w:u w:val="single"/>
        </w:rPr>
        <w:t>Portanto, cada um dos 16 sensores utilizados no estudo contribui com 8 características, produzindo assim um vetor de características de 128 elementos por medição.</w:t>
      </w:r>
    </w:p>
    <w:sectPr w:rsidR="00151AE6" w:rsidRPr="00F90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077"/>
    <w:multiLevelType w:val="multilevel"/>
    <w:tmpl w:val="0416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2A885452"/>
    <w:multiLevelType w:val="multilevel"/>
    <w:tmpl w:val="3E7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C0F90"/>
    <w:multiLevelType w:val="hybridMultilevel"/>
    <w:tmpl w:val="5270ED4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0422"/>
    <w:multiLevelType w:val="hybridMultilevel"/>
    <w:tmpl w:val="56F0ADB0"/>
    <w:lvl w:ilvl="0" w:tplc="94EA4DBA">
      <w:start w:val="1"/>
      <w:numFmt w:val="decimal"/>
      <w:lvlText w:val="%1-"/>
      <w:lvlJc w:val="left"/>
      <w:pPr>
        <w:ind w:left="0" w:firstLine="0"/>
      </w:pPr>
      <w:rPr>
        <w:rFonts w:ascii="Calibri" w:eastAsia="Calibri" w:hAnsi="Calibri" w:cs="Calibri" w:hint="default"/>
        <w:b/>
        <w:bCs/>
        <w:i w:val="0"/>
        <w:iCs w:val="0"/>
        <w:color w:val="auto"/>
        <w:spacing w:val="0"/>
        <w:w w:val="100"/>
        <w:sz w:val="24"/>
        <w:szCs w:val="24"/>
      </w:rPr>
    </w:lvl>
    <w:lvl w:ilvl="1" w:tplc="EF8ECC64">
      <w:start w:val="1"/>
      <w:numFmt w:val="lowerLetter"/>
      <w:lvlText w:val="%2."/>
      <w:lvlJc w:val="left"/>
      <w:pPr>
        <w:ind w:left="36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5228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8F25BA"/>
    <w:multiLevelType w:val="multilevel"/>
    <w:tmpl w:val="237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B4704"/>
    <w:multiLevelType w:val="multilevel"/>
    <w:tmpl w:val="614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16CC8"/>
    <w:multiLevelType w:val="multilevel"/>
    <w:tmpl w:val="FEAC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894528">
    <w:abstractNumId w:val="6"/>
  </w:num>
  <w:num w:numId="2" w16cid:durableId="664629149">
    <w:abstractNumId w:val="1"/>
  </w:num>
  <w:num w:numId="3" w16cid:durableId="77286292">
    <w:abstractNumId w:val="7"/>
  </w:num>
  <w:num w:numId="4" w16cid:durableId="1339499311">
    <w:abstractNumId w:val="5"/>
  </w:num>
  <w:num w:numId="5" w16cid:durableId="1054112671">
    <w:abstractNumId w:val="3"/>
  </w:num>
  <w:num w:numId="6" w16cid:durableId="204802551">
    <w:abstractNumId w:val="4"/>
  </w:num>
  <w:num w:numId="7" w16cid:durableId="1888833644">
    <w:abstractNumId w:val="0"/>
  </w:num>
  <w:num w:numId="8" w16cid:durableId="1299873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E6"/>
    <w:rsid w:val="000431E9"/>
    <w:rsid w:val="00151AE6"/>
    <w:rsid w:val="00296CF2"/>
    <w:rsid w:val="00316175"/>
    <w:rsid w:val="00511C4F"/>
    <w:rsid w:val="008A2324"/>
    <w:rsid w:val="00D73786"/>
    <w:rsid w:val="00D868EE"/>
    <w:rsid w:val="00EB1E1F"/>
    <w:rsid w:val="00F902B4"/>
    <w:rsid w:val="00F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81BF"/>
  <w15:chartTrackingRefBased/>
  <w15:docId w15:val="{1EB188C2-9288-4A4D-B562-D18439CB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B4"/>
  </w:style>
  <w:style w:type="paragraph" w:styleId="Ttulo1">
    <w:name w:val="heading 1"/>
    <w:basedOn w:val="Normal"/>
    <w:next w:val="Normal"/>
    <w:link w:val="Ttulo1Char"/>
    <w:uiPriority w:val="9"/>
    <w:qFormat/>
    <w:rsid w:val="00F902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02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02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02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02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02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02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02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02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02B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02B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02B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02B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02B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02B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02B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02B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02B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902B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F902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902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02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902B4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F902B4"/>
    <w:rPr>
      <w:b/>
      <w:bCs/>
    </w:rPr>
  </w:style>
  <w:style w:type="character" w:styleId="nfase">
    <w:name w:val="Emphasis"/>
    <w:basedOn w:val="Fontepargpadro"/>
    <w:uiPriority w:val="20"/>
    <w:qFormat/>
    <w:rsid w:val="00F902B4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902B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902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F902B4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02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02B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902B4"/>
    <w:rPr>
      <w:i/>
      <w:iCs/>
    </w:rPr>
  </w:style>
  <w:style w:type="character" w:styleId="nfaseIntensa">
    <w:name w:val="Intense Emphasis"/>
    <w:basedOn w:val="Fontepargpadro"/>
    <w:uiPriority w:val="21"/>
    <w:qFormat/>
    <w:rsid w:val="00F902B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902B4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F902B4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F902B4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02B4"/>
    <w:pPr>
      <w:outlineLvl w:val="9"/>
    </w:pPr>
  </w:style>
  <w:style w:type="paragraph" w:styleId="PargrafodaLista">
    <w:name w:val="List Paragraph"/>
    <w:basedOn w:val="Normal"/>
    <w:uiPriority w:val="34"/>
    <w:qFormat/>
    <w:rsid w:val="00F9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0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5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b7fd5db49cc0cc6d39c4eb54137963a6b632e013dc2d265d5fa17e032ba52ca4/68747470733a2f2f696d672e736869656c64732e696f2f62616467652f73696d756c6174696f6e2d7965732d626c75652e7376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7b48da9e50800edc846bcc10901bda54ed7ff97197fd0a95d4f18ab1fb609212/68747470733a2f2f696d672e736869656c64732e696f2f62616467652f74696d652d2d7365726965732d7965732d626c75652e737667" TargetMode="External"/><Relationship Id="rId5" Type="http://schemas.openxmlformats.org/officeDocument/2006/relationships/hyperlink" Target="https://camo.githubusercontent.com/b31c94405729c5c8b8be481e5abca1b39380215a3f206ab2e32813049b6107eb/68747470733a2f2f696d672e736869656c64732e696f2f62616467652f6c6162656c65642d7965732d626c75652e7376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ANDRESON DE LIMA PINHEIRO</dc:creator>
  <cp:keywords/>
  <dc:description/>
  <cp:lastModifiedBy>FRANCISCO ANDRESON DE LIMA PINHEIRO</cp:lastModifiedBy>
  <cp:revision>3</cp:revision>
  <dcterms:created xsi:type="dcterms:W3CDTF">2023-12-12T21:56:00Z</dcterms:created>
  <dcterms:modified xsi:type="dcterms:W3CDTF">2023-12-15T17:28:00Z</dcterms:modified>
</cp:coreProperties>
</file>