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400" w:hanging="0"/>
        <w:rPr>
          <w:rFonts w:ascii="Arial" w:hAnsi="Arial" w:eastAsia="Arial" w:cs="Arial"/>
          <w:position w:val="0"/>
          <w:sz w:val="20"/>
          <w:sz w:val="22"/>
          <w:szCs w:val="22"/>
          <w:vertAlign w:val="baseline"/>
        </w:rPr>
      </w:pPr>
      <w:bookmarkStart w:id="0" w:name="gjdgxs"/>
      <w:bookmarkEnd w:id="0"/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5781675</wp:posOffset>
            </wp:positionH>
            <wp:positionV relativeFrom="page">
              <wp:posOffset>200025</wp:posOffset>
            </wp:positionV>
            <wp:extent cx="1390650" cy="48577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571500</wp:posOffset>
            </wp:positionH>
            <wp:positionV relativeFrom="page">
              <wp:posOffset>200025</wp:posOffset>
            </wp:positionV>
            <wp:extent cx="371475" cy="43815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G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eneralitat de Catalunya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400" w:hanging="0"/>
        <w:rPr>
          <w:rFonts w:ascii="Arial" w:hAnsi="Arial" w:eastAsia="Arial" w:cs="Arial"/>
          <w:b/>
          <w:b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Departament d’Educació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right="160" w:hanging="0"/>
        <w:jc w:val="center"/>
        <w:rPr>
          <w:rFonts w:ascii="Arial" w:hAnsi="Arial" w:eastAsia="Arial" w:cs="Arial"/>
          <w:b/>
          <w:b/>
          <w:position w:val="0"/>
          <w:sz w:val="20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Matrícula per UF - DAW - Curs 2021/2022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Nom: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Confirmo la meva matrícula a les següents UF, marcades amb una X.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tbl>
      <w:tblPr>
        <w:tblStyle w:val="Table1"/>
        <w:tblW w:w="978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0"/>
        <w:gridCol w:w="6660"/>
        <w:gridCol w:w="500"/>
      </w:tblGrid>
      <w:tr>
        <w:trPr>
          <w:trHeight w:val="389" w:hRule="atLeast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Mòdul professional</w:t>
            </w:r>
          </w:p>
        </w:tc>
        <w:tc>
          <w:tcPr>
            <w:tcW w:w="66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Unitats formatives</w:t>
            </w:r>
          </w:p>
        </w:tc>
        <w:tc>
          <w:tcPr>
            <w:tcW w:w="5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MP1. Sistemes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UF1: Instal·lació, configuració i explotació del sistema informàtic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40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informàtics.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2"/>
                <w:sz w:val="12"/>
                <w:szCs w:val="1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2"/>
                <w:sz w:val="12"/>
                <w:szCs w:val="12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2"/>
                <w:sz w:val="12"/>
                <w:szCs w:val="1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2"/>
                <w:sz w:val="12"/>
                <w:szCs w:val="12"/>
                <w:vertAlign w:val="baseline"/>
              </w:rPr>
            </w:r>
          </w:p>
        </w:tc>
      </w:tr>
      <w:tr>
        <w:trPr>
          <w:trHeight w:val="89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2"/>
                <w:sz w:val="12"/>
                <w:szCs w:val="1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2"/>
                <w:sz w:val="12"/>
                <w:szCs w:val="12"/>
                <w:vertAlign w:val="baseline"/>
              </w:rPr>
            </w:r>
          </w:p>
        </w:tc>
        <w:tc>
          <w:tcPr>
            <w:tcW w:w="6660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UF2: Gestió de la informació i de recursos en una xarxa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6660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>
          <w:trHeight w:val="9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UF3: Implantació de programari específic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MP2. Bases de dades.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Introducció a les bases de dades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3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Llenguatges SQL: DML i DDL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05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Llenguatges SQL: DCL i extensió procedimental. SGBD corporatiu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2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6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UF4. Bases de dades objecte-relacionals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X</w:t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MP3. Programació.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Programació estructurada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3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Disseny modular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4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Fonaments de gestió de fitxers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UF4. Programació orientada a objectes. Fonaments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UF5. POO. Llibreries de classes fonamentals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3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UF6. POO. Introducció a la persistència en BD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10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05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MP4. Llenguatges de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Programació amb XML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35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marques i sistemes de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</w:tr>
      <w:tr>
        <w:trPr>
          <w:trHeight w:val="55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4"/>
                <w:sz w:val="4"/>
                <w:szCs w:val="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4"/>
                <w:sz w:val="4"/>
                <w:szCs w:val="4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4"/>
                <w:sz w:val="4"/>
                <w:szCs w:val="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4"/>
                <w:sz w:val="4"/>
                <w:szCs w:val="4"/>
                <w:vertAlign w:val="baseline"/>
              </w:rPr>
            </w:r>
          </w:p>
        </w:tc>
      </w:tr>
      <w:tr>
        <w:trPr>
          <w:trHeight w:val="29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gestió d’informació.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Àmbits d’aplicació de l’XML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Sistemes de gestió d’informació empresarial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MP5. Entorns de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Desenvolupament de programari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140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desenvolupament.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2"/>
                <w:sz w:val="12"/>
                <w:szCs w:val="1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2"/>
                <w:sz w:val="12"/>
                <w:szCs w:val="12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2"/>
                <w:sz w:val="12"/>
                <w:szCs w:val="1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2"/>
                <w:sz w:val="12"/>
                <w:szCs w:val="12"/>
                <w:vertAlign w:val="baseline"/>
              </w:rPr>
            </w:r>
          </w:p>
        </w:tc>
      </w:tr>
      <w:tr>
        <w:trPr>
          <w:trHeight w:val="89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2"/>
                <w:sz w:val="12"/>
                <w:szCs w:val="1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2"/>
                <w:sz w:val="12"/>
                <w:szCs w:val="12"/>
                <w:vertAlign w:val="baseline"/>
              </w:rPr>
            </w:r>
          </w:p>
        </w:tc>
        <w:tc>
          <w:tcPr>
            <w:tcW w:w="6660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Optimització del programari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6660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X</w:t>
            </w:r>
          </w:p>
        </w:tc>
      </w:tr>
      <w:tr>
        <w:trPr>
          <w:trHeight w:val="9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Introducció al disseny orientat a objectes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</w:t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15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MP6. Desenvolupament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Sintaxi del llenguatge. Objectes predefinits del llenguatge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245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web en entorn client.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34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Estructures definides pel programador. Objectes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9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7"/>
                <w:sz w:val="17"/>
                <w:szCs w:val="1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7"/>
                <w:sz w:val="17"/>
                <w:szCs w:val="1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7"/>
                <w:sz w:val="17"/>
                <w:szCs w:val="1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7"/>
                <w:sz w:val="17"/>
                <w:szCs w:val="1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7"/>
                <w:sz w:val="17"/>
                <w:szCs w:val="1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7"/>
                <w:sz w:val="17"/>
                <w:szCs w:val="17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Esdeveniments. Manegament de formularis. Model d'objectes del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2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document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17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UF4. Comunicació asíncrona client-servidor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5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3"/>
                <w:sz w:val="13"/>
                <w:szCs w:val="13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3"/>
                <w:sz w:val="13"/>
                <w:szCs w:val="13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3"/>
                <w:sz w:val="13"/>
                <w:szCs w:val="13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3"/>
                <w:sz w:val="13"/>
                <w:szCs w:val="13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3"/>
                <w:sz w:val="13"/>
                <w:szCs w:val="13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3"/>
                <w:sz w:val="13"/>
                <w:szCs w:val="13"/>
                <w:vertAlign w:val="baseline"/>
              </w:rPr>
            </w:r>
          </w:p>
        </w:tc>
      </w:tr>
    </w:tbl>
    <w:p>
      <w:pPr>
        <w:sectPr>
          <w:type w:val="nextPage"/>
          <w:pgSz w:w="11920" w:h="16838"/>
          <w:pgMar w:left="1140" w:right="1000" w:header="0" w:top="365" w:footer="0" w:bottom="0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left" w:pos="9220" w:leader="none"/>
        </w:tabs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Matrícula per UF - DAW - Curs 2022/2023</w:t>
      </w: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  <w:tab/>
      </w:r>
      <w:r>
        <w:rPr>
          <w:rFonts w:eastAsia="Arial" w:cs="Arial" w:ascii="Arial" w:hAnsi="Arial"/>
          <w:position w:val="0"/>
          <w:sz w:val="20"/>
          <w:vertAlign w:val="baseline"/>
        </w:rPr>
        <w:t>1</w:t>
      </w:r>
      <w:bookmarkStart w:id="1" w:name="30j0zll"/>
      <w:bookmarkEnd w:id="1"/>
    </w:p>
    <w:p>
      <w:pPr>
        <w:sectPr>
          <w:type w:val="continuous"/>
          <w:pgSz w:w="11920" w:h="16838"/>
          <w:pgMar w:left="1140" w:right="1000" w:header="0" w:top="365" w:footer="0" w:bottom="0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ind w:left="400" w:hanging="0"/>
        <w:rPr>
          <w:rFonts w:ascii="Arial" w:hAnsi="Arial" w:eastAsia="Arial" w:cs="Arial"/>
          <w:position w:val="0"/>
          <w:sz w:val="20"/>
          <w:sz w:val="22"/>
          <w:szCs w:val="22"/>
          <w:vertAlign w:val="baseline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5781675</wp:posOffset>
            </wp:positionH>
            <wp:positionV relativeFrom="page">
              <wp:posOffset>200025</wp:posOffset>
            </wp:positionV>
            <wp:extent cx="1390650" cy="485775"/>
            <wp:effectExtent l="0" t="0" r="0" b="0"/>
            <wp:wrapNone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571500</wp:posOffset>
            </wp:positionH>
            <wp:positionV relativeFrom="page">
              <wp:posOffset>200025</wp:posOffset>
            </wp:positionV>
            <wp:extent cx="371475" cy="438150"/>
            <wp:effectExtent l="0" t="0" r="0" b="0"/>
            <wp:wrapNone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G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eneralitat de Catalunya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ind w:left="400" w:hanging="0"/>
        <w:rPr>
          <w:rFonts w:ascii="Arial" w:hAnsi="Arial" w:eastAsia="Arial" w:cs="Arial"/>
          <w:b/>
          <w:b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Departament d’Educació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tbl>
      <w:tblPr>
        <w:tblStyle w:val="Table2"/>
        <w:tblW w:w="978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0"/>
        <w:gridCol w:w="6660"/>
        <w:gridCol w:w="500"/>
      </w:tblGrid>
      <w:tr>
        <w:trPr>
          <w:trHeight w:val="374" w:hRule="atLeast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Mòdul professional</w:t>
            </w:r>
          </w:p>
        </w:tc>
        <w:tc>
          <w:tcPr>
            <w:tcW w:w="66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Unitats formatives</w:t>
            </w:r>
          </w:p>
        </w:tc>
        <w:tc>
          <w:tcPr>
            <w:tcW w:w="5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86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4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MP7. Desenvolupament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Desenvolupament web en entorn servidor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web d’entorn servidor.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Generació dinàmica de pàgines web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>
          <w:trHeight w:val="135" w:hRule="atLeast"/>
          <w:cantSplit w:val="true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6660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Accés a dades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3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UF4. Serveis web. Pàgines dinàmiques interactives. Webs Híbrides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4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MP8. Desplegament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Servidors web i de transferència de fitxers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d’aplicacions web.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Servidors d’aplicacions web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>
          <w:trHeight w:val="135" w:hRule="atLeast"/>
          <w:cantSplit w:val="true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6660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Desplegament d’aplicacions web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3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UF4. Control de versions i documentació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4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MP9. Disseny d’interfícies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Disseny de la interfície. Estils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web.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Elements multimèdia: creació i integració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>
          <w:trHeight w:val="135" w:hRule="atLeast"/>
          <w:cantSplit w:val="true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6660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</w:tr>
      <w:tr>
        <w:trPr>
          <w:trHeight w:val="91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7"/>
                <w:sz w:val="7"/>
                <w:szCs w:val="7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7"/>
                <w:sz w:val="7"/>
                <w:szCs w:val="7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UF3. Accessibilitat i usabilitat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6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9"/>
                <w:sz w:val="9"/>
                <w:szCs w:val="9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9"/>
                <w:sz w:val="9"/>
                <w:szCs w:val="9"/>
                <w:vertAlign w:val="baseline"/>
              </w:rPr>
            </w:r>
          </w:p>
        </w:tc>
      </w:tr>
      <w:tr>
        <w:trPr>
          <w:trHeight w:val="33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MP10. Formació i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Incorporació al treball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01" w:hRule="atLeast"/>
          <w:cantSplit w:val="true"/>
        </w:trPr>
        <w:tc>
          <w:tcPr>
            <w:tcW w:w="26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orientació laboral.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209" w:hRule="atLeast"/>
          <w:cantSplit w:val="true"/>
        </w:trPr>
        <w:tc>
          <w:tcPr>
            <w:tcW w:w="26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UF2. Prevenció de riscos laborals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>
          <w:trHeight w:val="135" w:hRule="atLeast"/>
          <w:cantSplit w:val="true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6660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1"/>
                <w:sz w:val="11"/>
                <w:szCs w:val="1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1"/>
                <w:sz w:val="11"/>
                <w:szCs w:val="11"/>
                <w:vertAlign w:val="baseline"/>
              </w:rPr>
            </w:r>
          </w:p>
        </w:tc>
      </w:tr>
      <w:tr>
        <w:trPr>
          <w:trHeight w:val="96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8"/>
                <w:sz w:val="8"/>
                <w:szCs w:val="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8"/>
                <w:sz w:val="8"/>
                <w:szCs w:val="8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MP11. Empresa i iniciativa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Empresa i iniciativa emprenedora (1r)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2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emprenedora.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6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MP12. Projecte.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Projecte de desenvolupament d’aplicacions web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26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MP13. Formació en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Formació en centres de treball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249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centres de treball.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61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5"/>
                <w:sz w:val="5"/>
                <w:szCs w:val="5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5"/>
                <w:sz w:val="5"/>
                <w:szCs w:val="5"/>
                <w:vertAlign w:val="baseline"/>
              </w:rPr>
            </w:r>
          </w:p>
        </w:tc>
      </w:tr>
      <w:tr>
        <w:trPr>
          <w:trHeight w:val="354" w:hRule="atLeast"/>
        </w:trPr>
        <w:tc>
          <w:tcPr>
            <w:tcW w:w="26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MP14. Mòdul dual.</w:t>
            </w:r>
          </w:p>
        </w:tc>
        <w:tc>
          <w:tcPr>
            <w:tcW w:w="666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ind w:left="180" w:hanging="0"/>
              <w:rPr>
                <w:rFonts w:ascii="Arial" w:hAnsi="Arial" w:eastAsia="Arial" w:cs="Arial"/>
                <w:b/>
                <w:b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18"/>
                <w:sz w:val="18"/>
                <w:szCs w:val="18"/>
                <w:vertAlign w:val="baseline"/>
              </w:rPr>
              <w:t>UF1. Mòdul dual (2n)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>
          <w:trHeight w:val="126" w:hRule="atLeast"/>
        </w:trPr>
        <w:tc>
          <w:tcPr>
            <w:tcW w:w="2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position w:val="0"/>
                <w:sz w:val="10"/>
                <w:sz w:val="10"/>
                <w:szCs w:val="1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10"/>
                <w:sz w:val="10"/>
                <w:szCs w:val="10"/>
                <w:vertAlign w:val="baseline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Lloc, data i signatura:</w:t>
      </w:r>
    </w:p>
    <w:p>
      <w:pPr>
        <w:sectPr>
          <w:type w:val="nextPage"/>
          <w:pgSz w:w="11920" w:h="16838"/>
          <w:pgMar w:left="1140" w:right="1000" w:header="0" w:top="365" w:footer="0" w:bottom="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1771650</wp:posOffset>
            </wp:positionH>
            <wp:positionV relativeFrom="paragraph">
              <wp:posOffset>219075</wp:posOffset>
            </wp:positionV>
            <wp:extent cx="1461770" cy="1213485"/>
            <wp:effectExtent l="0" t="0" r="0" b="0"/>
            <wp:wrapNone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position w:val="0"/>
          <w:sz w:val="20"/>
          <w:sz w:val="24"/>
          <w:szCs w:val="24"/>
          <w:vertAlign w:val="baseline"/>
        </w:rPr>
      </w:pPr>
      <w:r>
        <w:rPr>
          <w:sz w:val="24"/>
          <w:szCs w:val="24"/>
        </w:rPr>
        <w:t>Tordera, 25/06/2022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</w:r>
    </w:p>
    <w:p>
      <w:pPr>
        <w:pStyle w:val="Normal1"/>
        <w:tabs>
          <w:tab w:val="clear" w:pos="720"/>
          <w:tab w:val="left" w:pos="9220" w:leader="none"/>
        </w:tabs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Matrícula per UF - DAW - Curs 2022/2023</w:t>
      </w:r>
      <w:r>
        <w:rPr>
          <w:rFonts w:eastAsia="Times New Roman" w:cs="Times New Roman" w:ascii="Times New Roman" w:hAnsi="Times New Roman"/>
          <w:position w:val="0"/>
          <w:sz w:val="20"/>
          <w:vertAlign w:val="baseline"/>
        </w:rPr>
        <w:tab/>
      </w:r>
      <w:r>
        <w:rPr>
          <w:rFonts w:eastAsia="Arial" w:cs="Arial" w:ascii="Arial" w:hAnsi="Arial"/>
          <w:position w:val="0"/>
          <w:sz w:val="20"/>
          <w:vertAlign w:val="baseline"/>
        </w:rPr>
        <w:t>2</w:t>
      </w:r>
    </w:p>
    <w:sectPr>
      <w:type w:val="continuous"/>
      <w:pgSz w:w="11920" w:h="16838"/>
      <w:pgMar w:left="1140" w:right="1000" w:header="0" w:top="365" w:footer="0" w:bottom="0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ca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ca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403</Words>
  <Characters>2365</Characters>
  <CharactersWithSpaces>2679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2022-09-29T17:12:22Z</dcterms:modified>
  <cp:revision>1</cp:revision>
  <dc:subject/>
  <dc:title/>
</cp:coreProperties>
</file>