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Conclusiones importación test pAir</w:t>
      </w:r>
    </w:p>
    <w:p>
      <w:pPr>
        <w:jc w:val="center"/>
      </w:pPr>
      <w:r>
        <w:rPr>
          <w:b/>
          <w:color w:val="595959"/>
          <w:sz w:val="30"/>
        </w:rPr>
        <w:t>Cuestiones detectadas y adaptaciones necesarias para Intercorp</w:t>
      </w:r>
    </w:p>
    <w:p/>
    <w:p>
      <w:pPr>
        <w:jc w:val="center"/>
      </w:pPr>
      <w:r>
        <w:rPr>
          <w:b/>
        </w:rPr>
        <w:t>Documentación y ficheros de prueba analizados</w:t>
        <w:br/>
      </w:r>
      <w:r>
        <w:t>Fecha: 28 de octubre de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0"/>
              </w:rPr>
              <w:t>Conclusión principal: la importación pAir es viable. Antes de automatizarla deben cerrarse varias cuestiones funcionales y de control, especialmente signos, depósitos, trazabilidad y equivalencias contables. La nueva interfaz es más compleja, pero más completa.</w:t>
            </w:r>
          </w:p>
        </w:tc>
      </w:tr>
    </w:tbl>
    <w:p>
      <w:r>
        <w:br w:type="page"/>
      </w:r>
    </w:p>
    <w:p>
      <w:pPr>
        <w:pStyle w:val="Heading1"/>
      </w:pPr>
      <w:r>
        <w:t>1. Objeto del documento</w:t>
      </w:r>
    </w:p>
    <w:p>
      <w:r>
        <w:t>Este documento recoge las conclusiones obtenidas al revisar la especificación de pAir Backoffice y los dos ficheros de prueba suministrados. Su finalidad es que Intercorp conozca las cuestiones pendientes y las adaptaciones necesarias antes de desarrollar o poner en producción el nuevo traspaso contable.</w:t>
      </w:r>
    </w:p>
    <w:p>
      <w:r>
        <w:t>No se pretende que pAir reproduzca la interfaz anterior ni reutilizarla sin cambios. La prioridad es definir correctamente el comportamiento de la nueva importación, sus validaciones y su trazabilidad.</w:t>
      </w:r>
    </w:p>
    <w:p>
      <w:pPr>
        <w:pStyle w:val="Heading2"/>
      </w:pPr>
      <w:r>
        <w:t>Ficheros analizados</w:t>
      </w:r>
    </w:p>
    <w:p>
      <w:pPr>
        <w:pStyle w:val="ListBullet"/>
      </w:pPr>
      <w:r>
        <w:t>pAir BACKOFFICE Flusso dati - ES_traducido (1).docx.</w:t>
      </w:r>
    </w:p>
    <w:p>
      <w:pPr>
        <w:pStyle w:val="ListBullet"/>
      </w:pPr>
      <w:r>
        <w:t>20220621_2026-10-23-06-38-50.01: 74 registros.</w:t>
      </w:r>
    </w:p>
    <w:p>
      <w:pPr>
        <w:pStyle w:val="ListBullet"/>
      </w:pPr>
      <w:r>
        <w:t>20220622_2026-10-23-06-38-27 (1).01: 121 registros.</w:t>
      </w:r>
    </w:p>
    <w:p>
      <w:pPr>
        <w:pStyle w:val="Heading1"/>
      </w:pPr>
      <w:r>
        <w:rPr>
          <w:b w:val="0"/>
        </w:rPr>
        <w:t>2. Cuestiones funcionales planteadas antes del test y resultado de la comprobación</w:t>
      </w:r>
    </w:p>
    <w:p>
      <w:pPr/>
      <w:r>
        <w:rPr>
          <w:b w:val="0"/>
        </w:rPr>
        <w:t>Antes de analizar los ficheros se habían planteado cuatro decisiones críticas: nivel de registro contable, comportamiento funcional de producción/depósitos/crédito, responsabilidad del SII y canal de intercambio. El test permite comprobar parte de la capacidad de la interfaz, pero no sustituye las decisiones funcionales que deben confirmar Intercorp y el proveedor.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r>
              <w:rPr>
                <w:b/>
                <w:color w:val="FFFFFF"/>
                <w:sz w:val="17"/>
              </w:rPr>
              <w:t>Cuestión</w:t>
            </w:r>
          </w:p>
        </w:tc>
        <w:tc>
          <w:tcPr>
            <w:tcW w:type="dxa" w:w="3249"/>
            <w:shd w:fill="1F4E79"/>
          </w:tcPr>
          <w:p>
            <w:r>
              <w:rPr>
                <w:b/>
                <w:color w:val="FFFFFF"/>
                <w:sz w:val="17"/>
              </w:rPr>
              <w:t>Qué demuestra el test</w:t>
            </w:r>
          </w:p>
        </w:tc>
        <w:tc>
          <w:tcPr>
            <w:tcW w:type="dxa" w:w="3249"/>
            <w:shd w:fill="1F4E79"/>
          </w:tcPr>
          <w:p>
            <w:r>
              <w:rPr>
                <w:b/>
                <w:color w:val="FFFFFF"/>
                <w:sz w:val="17"/>
              </w:rPr>
              <w:t>Situación</w:t>
            </w:r>
          </w:p>
        </w:tc>
      </w:tr>
      <w:tr>
        <w:tc>
          <w:tcPr>
            <w:tcW w:type="dxa" w:w="3249"/>
          </w:tcPr>
          <w:p>
            <w:r>
              <w:rPr>
                <w:rFonts w:ascii="Aptos" w:hAnsi="Aptos"/>
                <w:b/>
                <w:sz w:val="16"/>
              </w:rPr>
              <w:t>Registro contable</w:t>
            </w:r>
          </w:p>
        </w:tc>
        <w:tc>
          <w:tcPr>
            <w:tcW w:type="dxa" w:w="3249"/>
          </w:tcPr>
          <w:p>
            <w:r>
              <w:rPr>
                <w:rFonts w:ascii="Aptos" w:hAnsi="Aptos"/>
                <w:sz w:val="16"/>
              </w:rPr>
              <w:t>pAir entrega tanto producción/cobros diarios como facturas y documentos individualizados.</w:t>
            </w:r>
          </w:p>
        </w:tc>
        <w:tc>
          <w:tcPr>
            <w:tcW w:type="dxa" w:w="3249"/>
          </w:tcPr>
          <w:p>
            <w:r>
              <w:rPr>
                <w:rFonts w:ascii="Aptos" w:hAnsi="Aptos"/>
                <w:sz w:val="16"/>
              </w:rPr>
              <w:t>Pendiente elegir qué flujo genera contabilidad. No deben contabilizarse ambos.</w:t>
            </w:r>
          </w:p>
        </w:tc>
      </w:tr>
      <w:tr>
        <w:tc>
          <w:tcPr>
            <w:tcW w:type="dxa" w:w="3249"/>
          </w:tcPr>
          <w:p>
            <w:r>
              <w:rPr>
                <w:rFonts w:ascii="Aptos" w:hAnsi="Aptos"/>
                <w:b/>
                <w:sz w:val="16"/>
              </w:rPr>
              <w:t>Flujo PMS</w:t>
            </w:r>
          </w:p>
        </w:tc>
        <w:tc>
          <w:tcPr>
            <w:tcW w:type="dxa" w:w="3249"/>
          </w:tcPr>
          <w:p>
            <w:r>
              <w:rPr>
                <w:rFonts w:ascii="Aptos" w:hAnsi="Aptos"/>
                <w:sz w:val="16"/>
              </w:rPr>
              <w:t>Existen cargos, pagos, depósitos, crédito, facturas y abonos.</w:t>
            </w:r>
          </w:p>
        </w:tc>
        <w:tc>
          <w:tcPr>
            <w:tcW w:type="dxa" w:w="3249"/>
          </w:tcPr>
          <w:p>
            <w:r>
              <w:rPr>
                <w:rFonts w:ascii="Aptos" w:hAnsi="Aptos"/>
                <w:sz w:val="16"/>
              </w:rPr>
              <w:t>Se observan los casos, pero faltan reglas de ciclo de vida y relación entre flujos.</w:t>
            </w:r>
          </w:p>
        </w:tc>
      </w:tr>
      <w:tr>
        <w:tc>
          <w:tcPr>
            <w:tcW w:type="dxa" w:w="3249"/>
          </w:tcPr>
          <w:p>
            <w:r>
              <w:rPr>
                <w:rFonts w:ascii="Aptos" w:hAnsi="Aptos"/>
                <w:b/>
                <w:sz w:val="16"/>
              </w:rPr>
              <w:t>SII</w:t>
            </w:r>
          </w:p>
        </w:tc>
        <w:tc>
          <w:tcPr>
            <w:tcW w:type="dxa" w:w="3249"/>
          </w:tcPr>
          <w:p>
            <w:r>
              <w:rPr>
                <w:rFonts w:ascii="Aptos" w:hAnsi="Aptos"/>
                <w:sz w:val="16"/>
              </w:rPr>
              <w:t>CORR y sus detalles contienen información fiscal por factura.</w:t>
            </w:r>
          </w:p>
        </w:tc>
        <w:tc>
          <w:tcPr>
            <w:tcW w:type="dxa" w:w="3249"/>
          </w:tcPr>
          <w:p>
            <w:r>
              <w:rPr>
                <w:rFonts w:ascii="Aptos" w:hAnsi="Aptos"/>
                <w:sz w:val="16"/>
              </w:rPr>
              <w:t>Pendiente decidir si envía pAir/Protel o NAV 2017 y validar todos los campos obligatorios.</w:t>
            </w:r>
          </w:p>
        </w:tc>
      </w:tr>
      <w:tr>
        <w:tc>
          <w:tcPr>
            <w:tcW w:type="dxa" w:w="3249"/>
          </w:tcPr>
          <w:p>
            <w:r>
              <w:rPr>
                <w:rFonts w:ascii="Aptos" w:hAnsi="Aptos"/>
                <w:b/>
                <w:sz w:val="16"/>
              </w:rPr>
              <w:t>Transporte</w:t>
            </w:r>
          </w:p>
        </w:tc>
        <w:tc>
          <w:tcPr>
            <w:tcW w:type="dxa" w:w="3249"/>
          </w:tcPr>
          <w:p>
            <w:r>
              <w:rPr>
                <w:rFonts w:ascii="Aptos" w:hAnsi="Aptos"/>
                <w:sz w:val="16"/>
              </w:rPr>
              <w:t>Solo se han recibido ficheros de muestra.</w:t>
            </w:r>
          </w:p>
        </w:tc>
        <w:tc>
          <w:tcPr>
            <w:tcW w:type="dxa" w:w="3249"/>
          </w:tcPr>
          <w:p>
            <w:r>
              <w:rPr>
                <w:rFonts w:ascii="Aptos" w:hAnsi="Aptos"/>
                <w:sz w:val="16"/>
              </w:rPr>
              <w:t>Pendiente definir fichero, API, SFTP/FTP, frecuencia, reintentos y acuse.</w:t>
            </w:r>
          </w:p>
        </w:tc>
      </w:tr>
    </w:tbl>
    <w:p>
      <w:pPr>
        <w:pStyle w:val="Heading2"/>
      </w:pPr>
      <w:r>
        <w:rPr>
          <w:b w:val="0"/>
        </w:rPr>
        <w:t>2.1 Estrategia de registro contable en NAV 2017</w:t>
      </w:r>
    </w:p>
    <w:p>
      <w:pPr/>
      <w:r>
        <w:rPr>
          <w:b w:val="0"/>
        </w:rPr>
        <w:t>El test confirma que pAir puede alimentar los dos enfoques considerados:</w:t>
      </w:r>
    </w:p>
    <w:p>
      <w:pPr>
        <w:pStyle w:val="ListBullet"/>
      </w:pPr>
      <w:r>
        <w:rPr>
          <w:b w:val="0"/>
        </w:rPr>
        <w:t>Enfoque analítico, factura a factura: los registros CORR, RID, PAD y eventualmente PAS permiten reconstruir cada factura o abono con sus datos fiscales, cargos y pagos.</w:t>
      </w:r>
    </w:p>
    <w:p>
      <w:pPr>
        <w:pStyle w:val="ListBullet"/>
      </w:pPr>
      <w:r>
        <w:rPr>
          <w:b w:val="0"/>
        </w:rPr>
        <w:t>Enfoque operativo, resumen diario: los registros CHG y PAY contienen la producción y los cobros del día, y los registros estadísticos pueden aportar controles adicionales.</w:t>
      </w:r>
    </w:p>
    <w:p>
      <w:pPr/>
      <w:r>
        <w:rPr>
          <w:b/>
          <w:color w:val="1F4E79"/>
        </w:rPr>
        <w:t>La decisión continúa pendiente. Los dos flujos no deben generar asientos simultáneamente porque se duplicarían ingresos, IVA y cobros. Si Intercorp mantiene el funcionamiento actual de Suite8, el flujo natural sería el resumen diario CHG/PAY. Si NAV 2017 debe registrar las facturas oficiales y gestionar el SII, será necesario importar CORR y sus documentos factura a factura.</w:t>
      </w:r>
    </w:p>
    <w:p>
      <w:pPr>
        <w:pStyle w:val="Heading2"/>
      </w:pPr>
      <w:r>
        <w:rPr>
          <w:b w:val="0"/>
        </w:rPr>
        <w:t>2.2 Flujo documental y operaciones contables del PMS</w:t>
      </w:r>
    </w:p>
    <w:p>
      <w:pPr>
        <w:pStyle w:val="Heading3"/>
      </w:pPr>
      <w:r>
        <w:rPr>
          <w:b w:val="0"/>
        </w:rPr>
        <w:t>Producción frente a facturación</w:t>
      </w:r>
    </w:p>
    <w:p>
      <w:pPr/>
      <w:r>
        <w:rPr>
          <w:b w:val="0"/>
        </w:rPr>
        <w:t>La muestra contiene simultáneamente CHG/PAY y CORR/RID/PAD, por lo que pAir diferencia producción/cobros de facturación. Sin embargo, el fichero no permite determinar por sí solo si la producción se reconoce en cada Night Audit, si se regulariza al facturar o qué flujo tiene prioridad contable. El proveedor debe facilitar el esquema funcional y los momentos de generación de cada registro.</w:t>
      </w:r>
    </w:p>
    <w:p>
      <w:pPr>
        <w:pStyle w:val="Heading3"/>
      </w:pPr>
      <w:r>
        <w:rPr>
          <w:b w:val="0"/>
        </w:rPr>
        <w:t>Depósitos y anticipos</w:t>
      </w:r>
    </w:p>
    <w:p>
      <w:pPr/>
      <w:r>
        <w:rPr>
          <w:b w:val="0"/>
        </w:rPr>
        <w:t>Se han localizado PAD asociados a depósitos y registros DEP2, DEP3 y DEP4. Esto demuestra que la interfaz transporta el ciclo del depósito, pero no explica qué registro representa recepción, aplicación o cierre fiscal. Además, algunos importes aparecen en PAD y DEP4, con riesgo de doble contabilización. Es necesaria una secuencia funcional completa con ejemplos.</w:t>
      </w:r>
    </w:p>
    <w:p>
      <w:pPr>
        <w:pStyle w:val="Heading3"/>
      </w:pPr>
      <w:r>
        <w:rPr>
          <w:b w:val="0"/>
        </w:rPr>
        <w:t>Crédito a clientes / City Ledger</w:t>
      </w:r>
    </w:p>
    <w:p>
      <w:pPr/>
      <w:r>
        <w:rPr>
          <w:b w:val="0"/>
        </w:rPr>
        <w:t>El documento 12200085 utiliza PAD+ con código 24 y descripción “Crédito” por 0,00. El caso confirma que existe una forma de pago de crédito, pero no demuestra cómo se genera la cuenta a cobrar, qué cliente debe utilizarse ni si el cobro posterior se gestiona exclusivamente en NAV 2017. Esta regla sigue pendiente.</w:t>
      </w:r>
    </w:p>
    <w:p>
      <w:pPr>
        <w:pStyle w:val="Heading2"/>
      </w:pPr>
      <w:r>
        <w:rPr>
          <w:b w:val="0"/>
        </w:rPr>
        <w:t>2.3 Responsabilidad del SII</w:t>
      </w:r>
    </w:p>
    <w:p>
      <w:pPr/>
      <w:r>
        <w:rPr>
          <w:b w:val="0"/>
        </w:rPr>
        <w:t>El test confirma que pAir puede exportar facturas individualizadas mediante CORR y sus líneas RID/PAD, incluyendo número, fecha, bases, cuotas y determinados datos fiscales del cliente. Sin embargo, una muestra correcta no garantiza por sí sola que estén cubiertos todos los escenarios y campos obligatorios del SII.</w:t>
      </w:r>
    </w:p>
    <w:p>
      <w:pPr>
        <w:pStyle w:val="ListBullet"/>
      </w:pPr>
      <w:r>
        <w:rPr>
          <w:b w:val="0"/>
        </w:rPr>
        <w:t>Si pAir/Protel envía al SII: NAV 2017 debería recibir preferentemente el resumen contable o información marcada como ya declarada, evitando volver a registrar/enviar las mismas facturas.</w:t>
      </w:r>
    </w:p>
    <w:p>
      <w:pPr>
        <w:pStyle w:val="ListBullet"/>
      </w:pPr>
      <w:r>
        <w:rPr>
          <w:b w:val="0"/>
        </w:rPr>
        <w:t>Si NAV 2017 envía al SII: deben importarse las facturas oficiales individualmente y validar tipos de factura, identificación fiscal, país y tipo de identificación, fechas de expedición y operación, claves de régimen, causa de exención/no sujeción, rectificaciones y referencias a documentos anulados.</w:t>
      </w:r>
    </w:p>
    <w:p>
      <w:pPr/>
      <w:r>
        <w:rPr>
          <w:b/>
          <w:color w:val="1F4E79"/>
        </w:rPr>
        <w:t>Esta decisión condiciona directamente el enfoque contable del punto 2.1 y debe cerrarse antes del diseño definitivo.</w:t>
      </w:r>
    </w:p>
    <w:p>
      <w:pPr>
        <w:pStyle w:val="Heading2"/>
      </w:pPr>
      <w:r>
        <w:rPr>
          <w:b w:val="0"/>
        </w:rPr>
        <w:t>2.4 Canal de intercambio</w:t>
      </w:r>
    </w:p>
    <w:p>
      <w:pPr/>
      <w:r>
        <w:rPr>
          <w:b w:val="0"/>
        </w:rPr>
        <w:t>Los ficheros de prueba solo permiten validar contenido y estructura; no aportan información sobre el mecanismo de entrega. Debe acordarse si se utilizará intercambio de ficheros, API o SFTP/FTP y definir, como mínimo:</w:t>
      </w:r>
    </w:p>
    <w:p>
      <w:pPr>
        <w:pStyle w:val="ListBullet"/>
      </w:pPr>
      <w:r>
        <w:rPr>
          <w:b w:val="0"/>
        </w:rPr>
        <w:t>Frecuencia y hora de generación, especialmente en relación con el cierre nocturno.</w:t>
      </w:r>
    </w:p>
    <w:p>
      <w:pPr>
        <w:pStyle w:val="ListBullet"/>
      </w:pPr>
      <w:r>
        <w:rPr>
          <w:b w:val="0"/>
        </w:rPr>
        <w:t>Nomenclatura, identificador único del lote y entrega atómica para no leer ficheros incompletos.</w:t>
      </w:r>
    </w:p>
    <w:p>
      <w:pPr>
        <w:pStyle w:val="ListBullet"/>
      </w:pPr>
      <w:r>
        <w:rPr>
          <w:b w:val="0"/>
        </w:rPr>
        <w:t>Autenticación, cifrado y carpeta o endpoint por establecimiento.</w:t>
      </w:r>
    </w:p>
    <w:p>
      <w:pPr>
        <w:pStyle w:val="ListBullet"/>
      </w:pPr>
      <w:r>
        <w:rPr>
          <w:b w:val="0"/>
        </w:rPr>
        <w:t>Política de reintentos, acuse de recepción, rechazo y reproceso.</w:t>
      </w:r>
    </w:p>
    <w:p>
      <w:pPr>
        <w:pStyle w:val="ListBullet"/>
      </w:pPr>
      <w:r>
        <w:rPr>
          <w:b w:val="0"/>
        </w:rPr>
        <w:t>Retención histórica y procedimiento para regenerar un día.</w:t>
      </w:r>
    </w:p>
    <w:p>
      <w:pPr>
        <w:pStyle w:val="Heading1"/>
      </w:pPr>
      <w:r>
        <w:t>3. Conclusión general del test</w:t>
      </w:r>
    </w:p>
    <w:p>
      <w:r>
        <w:t>Los dos ficheros mantienen una estructura procesable: separador “;”, campos vacíos significativos, fechas principalmente en formato AAAAMMGG y decimales con coma. Las familias de registros se pueden reconocer y cargar en una tabla intermedia antes de generar movimientos contables.</w:t>
      </w:r>
    </w:p>
    <w:p>
      <w:r>
        <w:t>No obstante, las muestras no son suficientes para cerrar el desarrollo definitivo. Faltan reglas contractuales sobre determinados signos, depósitos y claves de movimiento; también deben definirse los controles de lote y las equivalencias entre códigos pAir y configuración contable.</w:t>
      </w:r>
    </w:p>
    <w:p>
      <w:pPr>
        <w:pStyle w:val="ListBullet"/>
      </w:pPr>
      <w:r>
        <w:t>El fichero del 21/06 contiene producción/pagos, cabeceras fiscales, detalles de documentos y estadísticas.</w:t>
      </w:r>
    </w:p>
    <w:p>
      <w:pPr>
        <w:pStyle w:val="ListBullet"/>
      </w:pPr>
      <w:r>
        <w:t>El fichero del 22/06 añade depósitos, abonos, documentos a cero y referencias cruzadas.</w:t>
      </w:r>
    </w:p>
    <w:p>
      <w:pPr>
        <w:pStyle w:val="ListBullet"/>
      </w:pPr>
      <w:r>
        <w:t>Todos los registros de las muestras mantienen el número de campos esperado.</w:t>
      </w:r>
    </w:p>
    <w:p>
      <w:pPr>
        <w:pStyle w:val="ListBullet"/>
      </w:pPr>
      <w:r>
        <w:t>La implementación recomendada es: recepción, carga intermedia, validación, cuadre y contabilización posterior.</w:t>
      </w:r>
    </w:p>
    <w:p>
      <w:pPr>
        <w:pStyle w:val="Heading1"/>
      </w:pPr>
      <w:r>
        <w:t>4. Problemas y cuestiones pendientes detectados</w:t>
      </w:r>
    </w:p>
    <w:p>
      <w:pPr>
        <w:pStyle w:val="Heading2"/>
      </w:pPr>
      <w:r>
        <w:t>4.1 Falta de identificador único por movimiento</w:t>
      </w:r>
    </w:p>
    <w:p>
      <w:r>
        <w:t>No se aprecia una clave única e invariable para cada cargo, pago o depósito. Sin ella resulta difícil impedir duplicados, reprocesar parcialmente un lote y localizar una operación concreta. Debe solicitarse un ID de movimiento PMS.</w:t>
      </w:r>
    </w:p>
    <w:p>
      <w:pPr>
        <w:pStyle w:val="Heading2"/>
      </w:pPr>
      <w:r>
        <w:t>4.2 Códigos sin equivalencia contable definida</w:t>
      </w:r>
    </w:p>
    <w:p>
      <w:r>
        <w:t>pAir entrega códigos funcionales —por ejemplo 26 para alojamiento, 33 para depósito, 12 para Mastercard y 13 para VISA—, pero no una cuenta contable. Intercorp deberá disponer de una tabla de mapeo a cuenta, grupo de IVA, contrapartida y dimensiones. El proveedor debe entregar el catálogo oficial y su significado.</w:t>
      </w:r>
    </w:p>
    <w:p>
      <w:pPr>
        <w:pStyle w:val="Heading2"/>
      </w:pPr>
      <w:r>
        <w:t>4.3 Reglas de signos</w:t>
      </w:r>
    </w:p>
    <w:p>
      <w:r>
        <w:t>En CHG, PAY, RID y PAD los importes aparecen como magnitudes positivas y el signo se expresa mediante el sufijo + o −. Sin embargo, la cabecera CORR de un abono contiene importes numéricamente negativos. Debe documentarse la regla por familia para evitar invertir dos veces un importe.</w:t>
      </w:r>
    </w:p>
    <w:p>
      <w:pPr>
        <w:pStyle w:val="Heading2"/>
      </w:pPr>
      <w:r>
        <w:t>4.4 PAS+ y PAS− sin casos de prueba</w:t>
      </w:r>
    </w:p>
    <w:p>
      <w:r>
        <w:t>La especificación contempla PAS+ y PAS−, pero no aparecen en las muestras. Se necesitan ejemplos reales y una explicación de su diferencia respecto de PAD+ y PAD−.</w:t>
      </w:r>
    </w:p>
    <w:p>
      <w:pPr>
        <w:pStyle w:val="Heading2"/>
      </w:pPr>
      <w:r>
        <w:t>4.5 Riesgo de duplicidad en depósitos</w:t>
      </w:r>
    </w:p>
    <w:p>
      <w:r>
        <w:t>La factura 12200080 contiene dos PAD+ asociados a depósitos y el mismo fichero contiene registros DEP4 con los mismos importes y documento. Debe indicarse qué registro genera contabilidad y cuál es solamente informativo.</w:t>
      </w:r>
    </w:p>
    <w:p>
      <w:pPr>
        <w:pStyle w:val="Heading2"/>
      </w:pPr>
      <w:r>
        <w:t>4.6 Abonos y referencias cruzadas</w:t>
      </w:r>
    </w:p>
    <w:p>
      <w:r>
        <w:t>La factura 12200086 y el abono 22200002 contienen referencias a documentos relacionados. Debe definirse cómo se enlazan, cuál anula a cuál y cómo se evita contabilizar dos veces la operación.</w:t>
      </w:r>
    </w:p>
    <w:p>
      <w:pPr>
        <w:pStyle w:val="Heading2"/>
      </w:pPr>
      <w:r>
        <w:t>4.7 Facturas y pagos a cero</w:t>
      </w:r>
    </w:p>
    <w:p>
      <w:r>
        <w:t>La factura 12200085 queda a cero mediante RID+ 24,00 y RID− 24,00, e incluye PAD+ Crédito por 0,00. Debe confirmarse si se importa, se conserva únicamente para auditoría o se descarta.</w:t>
      </w:r>
    </w:p>
    <w:p>
      <w:pPr>
        <w:pStyle w:val="Heading2"/>
      </w:pPr>
      <w:r>
        <w:t>4.8 Estadística RS5 sin segmento</w:t>
      </w:r>
    </w:p>
    <w:p>
      <w:r>
        <w:t>La última línea del fichero del 22/06 es RS5 por 48,18, pero no informa código ni descripción de segmento. Debe aclararse si representa el total general o un dato incompleto.</w:t>
      </w:r>
    </w:p>
    <w:p>
      <w:pPr>
        <w:pStyle w:val="Heading2"/>
      </w:pPr>
      <w:r>
        <w:t>4.9 Ausencia de cabecera y pie de control</w:t>
      </w:r>
    </w:p>
    <w:p>
      <w:r>
        <w:t>No se incluye un identificador de lote, versión de formato, número de registros ni totales de control. Estos datos son necesarios para detectar ficheros incompletos y validar el proceso.</w:t>
      </w:r>
    </w:p>
    <w:p>
      <w:pPr>
        <w:pStyle w:val="Heading2"/>
      </w:pPr>
      <w:r>
        <w:t>4.10 Hotel/empresa y moneda</w:t>
      </w:r>
    </w:p>
    <w:p>
      <w:r>
        <w:t>Las muestras no identifican claramente el establecimiento ni la moneda. Si pueden existir varias empresas, hoteles o monedas, deben incluirse en el fichero o quedar garantizados por un canal de recepción exclusivo.</w:t>
      </w:r>
    </w:p>
    <w:p>
      <w:pPr>
        <w:pStyle w:val="Heading2"/>
      </w:pPr>
      <w:r>
        <w:t>4.11 Delimitador y textos libres</w:t>
      </w:r>
    </w:p>
    <w:p>
      <w:r>
        <w:t>La especificación no define comillas ni escape del punto y coma. Debe garantizarse que los textos nunca contendrán “;” o establecer una norma de escape. También debe impedirse que un salto de línea dentro de un texto genere un registro falso.</w:t>
      </w:r>
    </w:p>
    <w:p>
      <w:pPr>
        <w:pStyle w:val="Heading2"/>
      </w:pPr>
      <w:r>
        <w:t>4.12 Codificación</w:t>
      </w:r>
    </w:p>
    <w:p>
      <w:r>
        <w:t>Los nuevos ejemplos se interpretan como UTF-8 sin BOM, pero la codificación no está formalmente documentada. Debe confirmarse UTF-8 para preservar acentos y caracteres internacionales.</w:t>
      </w:r>
    </w:p>
    <w:p>
      <w:pPr>
        <w:pStyle w:val="Heading2"/>
      </w:pPr>
      <w:r>
        <w:t>4.13 Campos descriptivos con apariencia de fecha</w:t>
      </w:r>
    </w:p>
    <w:p>
      <w:r>
        <w:t>Algunas líneas contienen textos como 23.06.22 o 24.06.22 en un campo descriptivo. No deben convertirse automáticamente en fecha salvo confirmación del proveedor.</w:t>
      </w:r>
    </w:p>
    <w:p>
      <w:pPr>
        <w:pStyle w:val="Heading2"/>
      </w:pPr>
      <w:r>
        <w:t>4.14 Redondeos</w:t>
      </w:r>
    </w:p>
    <w:p>
      <w:r>
        <w:t>Pueden producirse diferencias de céntimos entre cabecera y suma de bases o cuotas. Debe definirse qué importe tiene prioridad y qué tolerancia se admite.</w:t>
      </w:r>
    </w:p>
    <w:p>
      <w:pPr>
        <w:pStyle w:val="Heading1"/>
      </w:pPr>
      <w:r>
        <w:t>5. Ejemplos reales de reglas de signos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En las muestras no aparece un código terminado en “−” acompañado de un importe numéricamente negativo. El código determina el signo de una magnitud positiva. La excepción observada es CORR, donde el abono sí llega con importes negativos.</w:t>
            </w:r>
          </w:p>
        </w:tc>
      </w:tr>
    </w:tbl>
    <w:p>
      <w:pPr>
        <w:pStyle w:val="Heading2"/>
      </w:pPr>
      <w:r>
        <w:t>5.1 Producción CHG+ / CHG−</w:t>
      </w:r>
    </w:p>
    <w:p>
      <w:pPr>
        <w:pStyle w:val="Ejemplotécnico"/>
        <w:spacing w:before="40" w:after="100"/>
        <w:ind w:left="283" w:right="170"/>
        <w:shd w:fill="F2F2F2"/>
      </w:pPr>
      <w:r>
        <w:t>Línea 1 (21/06): ;20220621;;;;Alojamiento;100,00;;;;CHG+;;;;;;;;10,00;26;;;;;;;;0;;;;1;;;;</w:t>
      </w:r>
    </w:p>
    <w:p>
      <w:pPr>
        <w:pStyle w:val="Ejemplotécnico"/>
        <w:spacing w:before="40" w:after="100"/>
        <w:ind w:left="283" w:right="170"/>
        <w:shd w:fill="F2F2F2"/>
      </w:pPr>
      <w:r>
        <w:t>Línea 4 (21/06): ;20220621;;;;Alojamiento;52,00;;;;CHG-;;;;;;;;10,00;26;;;;;;;;0;;;;81;;;;</w:t>
      </w:r>
    </w:p>
    <w:p>
      <w:r>
        <w:t>Resultado esperado: +100,00 de producción y −52,00 de reversión.</w:t>
      </w:r>
    </w:p>
    <w:p>
      <w:pPr>
        <w:pStyle w:val="Heading2"/>
      </w:pPr>
      <w:r>
        <w:t>5.2 Cobros PAY+ / PAY−</w:t>
      </w:r>
    </w:p>
    <w:p>
      <w:pPr>
        <w:pStyle w:val="Ejemplotécnico"/>
        <w:spacing w:before="40" w:after="100"/>
        <w:ind w:left="283" w:right="170"/>
        <w:shd w:fill="F2F2F2"/>
      </w:pPr>
      <w:r>
        <w:t>Línea 42 (22/06): ;20220622;12200084;;;Alvarez Alonso;80,00;;;;PAY+;;;;;;;;;;;;;12;;;1;0;;;;1;;1;;</w:t>
      </w:r>
    </w:p>
    <w:p>
      <w:pPr>
        <w:pStyle w:val="Ejemplotécnico"/>
        <w:spacing w:before="40" w:after="100"/>
        <w:ind w:left="283" w:right="170"/>
        <w:shd w:fill="F2F2F2"/>
      </w:pPr>
      <w:r>
        <w:t>Línea 44 (22/06): ;20220622;22200002;;;Alvarez Alonso;80,00;;;;PAY-;;;;;;;;;;;;;12;;;1;0;;;;1;;1;;</w:t>
      </w:r>
    </w:p>
    <w:p>
      <w:r>
        <w:t>Resultado esperado: PAY+ registra el cobro y PAY− su anulación o devolución; ambos campos de importe contienen 80,00 positivo.</w:t>
      </w:r>
    </w:p>
    <w:p>
      <w:pPr>
        <w:pStyle w:val="Heading2"/>
      </w:pPr>
      <w:r>
        <w:t>5.3 Factura 12200084</w:t>
      </w:r>
    </w:p>
    <w:p>
      <w:pPr>
        <w:pStyle w:val="Ejemplotécnico"/>
        <w:spacing w:before="40" w:after="100"/>
        <w:ind w:left="283" w:right="170"/>
        <w:shd w:fill="F2F2F2"/>
      </w:pPr>
      <w:r>
        <w:t>Línea 93: RID+ 100,00 · código 26 Alojamiento</w:t>
      </w:r>
    </w:p>
    <w:p>
      <w:pPr>
        <w:pStyle w:val="Ejemplotécnico"/>
        <w:spacing w:before="40" w:after="100"/>
        <w:ind w:left="283" w:right="170"/>
        <w:shd w:fill="F2F2F2"/>
      </w:pPr>
      <w:r>
        <w:t>Línea 94: RID− 20,00 · código 33 Depósito 10%</w:t>
      </w:r>
    </w:p>
    <w:p>
      <w:pPr>
        <w:pStyle w:val="Ejemplotécnico"/>
        <w:spacing w:before="40" w:after="100"/>
        <w:ind w:left="283" w:right="170"/>
        <w:shd w:fill="F2F2F2"/>
      </w:pPr>
      <w:r>
        <w:t>Línea 95: PAD+ 80,00 · código 12 Mastercard</w:t>
      </w:r>
    </w:p>
    <w:p>
      <w:r>
        <w:t>Cuadre: 100,00 − 20,00 = 80,00; el PAD+ por 80,00 liquida la factura.</w:t>
      </w:r>
    </w:p>
    <w:p>
      <w:pPr>
        <w:pStyle w:val="Heading2"/>
      </w:pPr>
      <w:r>
        <w:t>5.4 Abono 22200002</w:t>
      </w:r>
    </w:p>
    <w:p>
      <w:pPr>
        <w:pStyle w:val="Ejemplotécnico"/>
        <w:spacing w:before="40" w:after="100"/>
        <w:ind w:left="283" w:right="170"/>
        <w:shd w:fill="F2F2F2"/>
      </w:pPr>
      <w:r>
        <w:t>Línea 54 CORR: bruto −80,00 · base −72,73 · IVA −7,27</w:t>
      </w:r>
    </w:p>
    <w:p>
      <w:pPr>
        <w:pStyle w:val="Ejemplotécnico"/>
        <w:spacing w:before="40" w:after="100"/>
        <w:ind w:left="283" w:right="170"/>
        <w:shd w:fill="F2F2F2"/>
      </w:pPr>
      <w:r>
        <w:t>Línea 102: RID− 100,00 · código 26 Alojamiento</w:t>
      </w:r>
    </w:p>
    <w:p>
      <w:pPr>
        <w:pStyle w:val="Ejemplotécnico"/>
        <w:spacing w:before="40" w:after="100"/>
        <w:ind w:left="283" w:right="170"/>
        <w:shd w:fill="F2F2F2"/>
      </w:pPr>
      <w:r>
        <w:t>Línea 103: RID+ 20,00 · código 33 Depósito 10%</w:t>
      </w:r>
    </w:p>
    <w:p>
      <w:pPr>
        <w:pStyle w:val="Ejemplotécnico"/>
        <w:spacing w:before="40" w:after="100"/>
        <w:ind w:left="283" w:right="170"/>
        <w:shd w:fill="F2F2F2"/>
      </w:pPr>
      <w:r>
        <w:t>Línea 104: PAD− 80,00 · código 12 Mastercard</w:t>
      </w:r>
    </w:p>
    <w:p>
      <w:r>
        <w:t>Cuadre del detalle: −100,00 + 20,00 = −80,00. La cabecera CORR ya contiene −80,00; no debe volver a cambiarse el signo por tratarse de un abono.</w:t>
      </w:r>
    </w:p>
    <w:p>
      <w:pPr>
        <w:pStyle w:val="Heading1"/>
      </w:pPr>
      <w:r>
        <w:t>6. Información que debe solicitarse antes del desarrollo definitivo</w:t>
      </w:r>
    </w:p>
    <w:p>
      <w:pPr>
        <w:pStyle w:val="ListNumber"/>
      </w:pPr>
      <w:r>
        <w:t>Confirmación de si Intercorp desea resumen diario o registro factura a factura.</w:t>
      </w:r>
    </w:p>
    <w:p>
      <w:pPr>
        <w:pStyle w:val="ListNumber"/>
      </w:pPr>
      <w:r>
        <w:t>Confirmación de si el SII lo gestiona pAir/Protel o NAV 2017.</w:t>
      </w:r>
    </w:p>
    <w:p>
      <w:pPr>
        <w:pStyle w:val="ListNumber"/>
      </w:pPr>
      <w:r>
        <w:t>Diagrama funcional del ciclo Night Audit → producción → facturación → cobro → depósito/crédito.</w:t>
      </w:r>
    </w:p>
    <w:p>
      <w:pPr>
        <w:pStyle w:val="ListNumber"/>
      </w:pPr>
      <w:r>
        <w:t>Definición del canal de intercambio y del protocolo operativo de entrega y reproceso.</w:t>
      </w:r>
    </w:p>
    <w:p>
      <w:pPr>
        <w:pStyle w:val="ListNumber"/>
      </w:pPr>
      <w:r>
        <w:t>Matriz oficial de signos para CHG±, PAY±, RID±, PAD± y PAS±.</w:t>
      </w:r>
    </w:p>
    <w:p>
      <w:pPr>
        <w:pStyle w:val="ListNumber"/>
      </w:pPr>
      <w:r>
        <w:t>Ejemplos reales de PAS+ y PAS−.</w:t>
      </w:r>
    </w:p>
    <w:p>
      <w:pPr>
        <w:pStyle w:val="ListNumber"/>
      </w:pPr>
      <w:r>
        <w:t>Identificador único de cada movimiento y de cada lote/fichero.</w:t>
      </w:r>
    </w:p>
    <w:p>
      <w:pPr>
        <w:pStyle w:val="ListNumber"/>
      </w:pPr>
      <w:r>
        <w:t>Catálogo completo de códigos pAir y su significado funcional y fiscal.</w:t>
      </w:r>
    </w:p>
    <w:p>
      <w:pPr>
        <w:pStyle w:val="ListNumber"/>
      </w:pPr>
      <w:r>
        <w:t>Regla de relación entre CORR, RID/PAD/PAS, CHG/PAY y DEP2/DEP3/DEP4.</w:t>
      </w:r>
    </w:p>
    <w:p>
      <w:pPr>
        <w:pStyle w:val="ListNumber"/>
      </w:pPr>
      <w:r>
        <w:t>Tratamiento contable exacto de depósitos y prevención de duplicidades.</w:t>
      </w:r>
    </w:p>
    <w:p>
      <w:pPr>
        <w:pStyle w:val="ListNumber"/>
      </w:pPr>
      <w:r>
        <w:t>Comportamiento esperado para documentos a cero y pagos Crédito por cero.</w:t>
      </w:r>
    </w:p>
    <w:p>
      <w:pPr>
        <w:pStyle w:val="ListNumber"/>
      </w:pPr>
      <w:r>
        <w:t>Identificación del establecimiento, empresa y moneda.</w:t>
      </w:r>
    </w:p>
    <w:p>
      <w:pPr>
        <w:pStyle w:val="ListNumber"/>
      </w:pPr>
      <w:r>
        <w:t>Confirmación de UTF-8 y definición de comillas/escape del delimitador.</w:t>
      </w:r>
    </w:p>
    <w:p>
      <w:pPr>
        <w:pStyle w:val="ListNumber"/>
      </w:pPr>
      <w:r>
        <w:t>Tolerancia de redondeo y criterio de cuadre.</w:t>
      </w:r>
    </w:p>
    <w:p>
      <w:pPr>
        <w:pStyle w:val="ListNumber"/>
      </w:pPr>
      <w:r>
        <w:t>Significado del RS5 sin segmento.</w:t>
      </w:r>
    </w:p>
    <w:p>
      <w:pPr>
        <w:pStyle w:val="ListNumber"/>
      </w:pPr>
      <w:r>
        <w:t>Longitud máxima, obligatoriedad y catálogo de valores de cada campo.</w:t>
      </w:r>
    </w:p>
    <w:p>
      <w:pPr>
        <w:pStyle w:val="Heading2"/>
      </w:pPr>
      <w:r>
        <w:t>Mejoras recomendadas en el fichero</w:t>
      </w:r>
    </w:p>
    <w:p>
      <w:pPr>
        <w:pStyle w:val="ListBullet"/>
      </w:pPr>
      <w:r>
        <w:t>Cabecera con versión, establecimiento, moneda, fecha/hora e ID de lote.</w:t>
      </w:r>
    </w:p>
    <w:p>
      <w:pPr>
        <w:pStyle w:val="ListBullet"/>
      </w:pPr>
      <w:r>
        <w:t>Pie con cantidad de registros por tipo y totales de control.</w:t>
      </w:r>
    </w:p>
    <w:p>
      <w:pPr>
        <w:pStyle w:val="ListBullet"/>
      </w:pPr>
      <w:r>
        <w:t>Número fijo de campos, conservando siempre los delimitadores finales.</w:t>
      </w:r>
    </w:p>
    <w:p>
      <w:pPr>
        <w:pStyle w:val="ListBullet"/>
      </w:pPr>
      <w:r>
        <w:t>Casos de prueba adicionales: abono parcial, devolución, anticipo aplicado, depósito cancelado, varios IVA y caracteres especiales.</w:t>
      </w:r>
    </w:p>
    <w:p>
      <w:pPr>
        <w:pStyle w:val="Heading1"/>
      </w:pPr>
      <w:r>
        <w:t>7. Controles recomendados para la importación</w:t>
      </w:r>
    </w:p>
    <w:p>
      <w:pPr>
        <w:pStyle w:val="ListBullet"/>
      </w:pPr>
      <w:r>
        <w:t>Cargar las líneas en una tabla intermedia antes de contabilizar.</w:t>
      </w:r>
    </w:p>
    <w:p>
      <w:pPr>
        <w:pStyle w:val="ListBullet"/>
      </w:pPr>
      <w:r>
        <w:t>Guardar fichero, lote, número de línea y texto original.</w:t>
      </w:r>
    </w:p>
    <w:p>
      <w:pPr>
        <w:pStyle w:val="ListBullet"/>
      </w:pPr>
      <w:r>
        <w:t>Controlar duplicados por ID de movimiento; provisionalmente, por lote y línea.</w:t>
      </w:r>
    </w:p>
    <w:p>
      <w:pPr>
        <w:pStyle w:val="ListBullet"/>
      </w:pPr>
      <w:r>
        <w:t>Validar número de campos, códigos, fechas, decimales y valores obligatorios.</w:t>
      </w:r>
    </w:p>
    <w:p>
      <w:pPr>
        <w:pStyle w:val="ListBullet"/>
      </w:pPr>
      <w:r>
        <w:t>Cuadrar cada CORR con sus RID/PAD/PAS aplicando el signo del código.</w:t>
      </w:r>
    </w:p>
    <w:p>
      <w:pPr>
        <w:pStyle w:val="ListBullet"/>
      </w:pPr>
      <w:r>
        <w:t>Separar registros contables de depósitos y estadísticas informativas.</w:t>
      </w:r>
    </w:p>
    <w:p>
      <w:pPr>
        <w:pStyle w:val="ListBullet"/>
      </w:pPr>
      <w:r>
        <w:t>Generar un informe de errores y bloquear la contabilización cuando el lote no cuadre.</w:t>
      </w:r>
    </w:p>
    <w:p>
      <w:pPr>
        <w:pStyle w:val="ListBullet"/>
      </w:pPr>
      <w:r>
        <w:t>Permitir reanudar un lote corregido sin repetir movimientos ya aceptados.</w:t>
      </w:r>
    </w:p>
    <w:p>
      <w:pPr>
        <w:pStyle w:val="Heading1"/>
      </w:pPr>
      <w:r>
        <w:t>8. Referencia final respecto de la interfaz anterior Suite8</w:t>
      </w:r>
    </w:p>
    <w:p>
      <w:r>
        <w:t>La comparación con Suite8 se incluye únicamente para que Intercorp identifique las adaptaciones derivadas del cambio de interfaz. No se pretende que pAir replique el diseño anterior.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Suite8</w:t>
            </w:r>
          </w:p>
        </w:tc>
        <w:tc>
          <w:tcPr>
            <w:tcW w:type="dxa" w:w="32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pAir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Organización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Suite8 separaba cabeceras y detalles de producción y transacciones.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pAir combina producción, cobros, documentos, depósitos y estadísticas en un mismo fichero.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Contabilidad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Suite8 entregaba directamente cuentas contables.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pAir entrega códigos funcionales que deben mapearse.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Trazabilidad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Suite8 aportaba un ID individual de movimiento.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 las muestras pAir no se observa una clave equivalente.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Signos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Suite8 combinaba D/H e importes positivos o negativos.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pAir utiliza códigos +/− y, en CORR, importes firmados.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Controles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Suite8 declaraba número de líneas en cabeceras.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pAir no incluye cabecera o pie general de control.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Información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Suite8 era más simple y orientada al asiento.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pAir incorpora más información fiscal, de cliente, reserva, depósito y estadística.</w:t>
            </w:r>
          </w:p>
        </w:tc>
      </w:tr>
    </w:tbl>
    <w:p>
      <w:r>
        <w:rPr>
          <w:b/>
        </w:rPr>
        <w:t xml:space="preserve">Conclusión de la referencia: </w:t>
      </w:r>
      <w:r>
        <w:rPr>
          <w:b/>
          <w:color w:val="1F4E79"/>
        </w:rPr>
        <w:t xml:space="preserve">pAir es más complejo, pero más completo. </w:t>
      </w:r>
      <w:r>
        <w:t>La adaptación no consiste solamente en cambiar columnas: requiere nuevos mapeos, validaciones, reglas de signo y controles de trazabilidad.</w:t>
      </w:r>
    </w:p>
    <w:p>
      <w:pPr>
        <w:pStyle w:val="Heading1"/>
      </w:pPr>
      <w:r>
        <w:t>9. Conclusión para Intercorp</w:t>
      </w:r>
    </w:p>
    <w:p>
      <w:r>
        <w:t>El test demuestra que la importación pAir puede procesarse y que técnicamente ofrece tanto un flujo de resumen diario como otro de factura a factura. Antes de automatizar la contabilización, Intercorp debe decidir cuál de ellos tendrá efecto contable y qué sistema asumirá el SII. A partir de esa decisión podrán cerrarse el tratamiento de depósitos, crédito, signos, equivalencias y controles.</w:t>
      </w:r>
    </w:p>
    <w:p>
      <w:r>
        <w:t>Una vez recibidas estas aclaraciones, la solución deberá incorporar una carga intermedia, controles de estructura y cuadre, prevención de duplicados y trazabilidad completa. Con este enfoque, el mayor nivel de detalle de pAir podrá aprovecharse sin comprometer la seguridad del proceso contable.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Intercorp · Test pAir     </w:t>
    </w: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6"/>
      </w:rPr>
      <w:t>Conclusiones importación test pAir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jemplotécnico">
    <w:name w:val="Ejemplo técnico"/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Conclusiones importación test pAir</dc:title>
  <dc:subject>Cuestiones funcionales, fiscales y técnicas verificadas en el test pAir</dc:subject>
  <dc:creator>Conclusiones técnicas</dc:creator>
  <cp:keywords>pAir, Suite8, Intercorp, importación, PMS, contabilidad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