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11111"/>
          <w:sz w:val="64"/>
          <w:szCs w:val="64"/>
        </w:rPr>
        <w:t xml:space="preserve">SANADI AI</w:t>
      </w:r>
    </w:p>
    <w:p>
      <w:pPr>
        <w:spacing w:after="100" w:before="200"/>
        <w:jc w:val="center"/>
      </w:pPr>
      <w:r>
        <w:rPr>
          <w:rFonts w:ascii="Calibri" w:cs="Calibri" w:eastAsia="Calibri" w:hAnsi="Calibri"/>
          <w:color w:val="111111"/>
          <w:sz w:val="30"/>
          <w:szCs w:val="30"/>
        </w:rPr>
        <w:t xml:space="preserve">Lean Business Plan</w:t>
      </w:r>
    </w:p>
    <w:p>
      <w:pPr>
        <w:spacing w:after="2400"/>
        <w:jc w:val="center"/>
      </w:pPr>
      <w:r>
        <w:rPr>
          <w:rFonts w:ascii="Calibri" w:cs="Calibri" w:eastAsia="Calibri" w:hAnsi="Calibri"/>
          <w:i/>
          <w:iCs/>
          <w:color w:val="555555"/>
          <w:sz w:val="22"/>
          <w:szCs w:val="22"/>
        </w:rPr>
        <w:t xml:space="preserve">The AI coding and research partner for Africa's next generation of developers, students, and researchers.</w:t>
      </w:r>
    </w:p>
    <w:p>
      <w:pPr>
        <w:jc w:val="center"/>
      </w:pPr>
      <w:r>
        <w:rPr>
          <w:rFonts w:ascii="Calibri" w:cs="Calibri" w:eastAsia="Calibri" w:hAnsi="Calibri"/>
          <w:color w:val="111111"/>
          <w:sz w:val="20"/>
          <w:szCs w:val="20"/>
        </w:rPr>
        <w:t xml:space="preserve">Prepared by Omol — Founder</w:t>
      </w:r>
    </w:p>
    <w:p>
      <w:pPr>
        <w:jc w:val="center"/>
      </w:pPr>
      <w:r>
        <w:rPr>
          <w:rFonts w:ascii="Calibri" w:cs="Calibri" w:eastAsia="Calibri" w:hAnsi="Calibri"/>
          <w:color w:val="555555"/>
          <w:sz w:val="20"/>
          <w:szCs w:val="20"/>
        </w:rPr>
        <w:t xml:space="preserve">Juba, South Sudan</w:t>
      </w:r>
    </w:p>
    <w:p>
      <w:r>
        <w:br w:type="page"/>
      </w:r>
    </w:p>
    <w:p>
      <w:pPr>
        <w:pStyle w:val="Heading1"/>
        <w:pBdr>
          <w:bottom w:val="single" w:color="111111" w:sz="4" w:space="4"/>
        </w:pBdr>
        <w:spacing w:after="200" w:before="400"/>
      </w:pPr>
      <w:r>
        <w:rPr>
          <w:rFonts w:ascii="Calibri" w:cs="Calibri" w:eastAsia="Calibri" w:hAnsi="Calibri"/>
          <w:b/>
          <w:bCs/>
          <w:color w:val="111111"/>
          <w:sz w:val="30"/>
          <w:szCs w:val="30"/>
        </w:rPr>
        <w:t xml:space="preserve">1. Executive Summary</w:t>
      </w:r>
    </w:p>
    <w:p>
      <w:pPr>
        <w:spacing w:after="160" w:line="276"/>
      </w:pPr>
      <w:r>
        <w:rPr>
          <w:rFonts w:ascii="Calibri" w:cs="Calibri" w:eastAsia="Calibri" w:hAnsi="Calibri"/>
          <w:color w:val="111111"/>
          <w:sz w:val="21"/>
          <w:szCs w:val="21"/>
        </w:rPr>
        <w:t xml:space="preserve">Sanadi AI is building an AI-powered coding and research assistant designed from the ground up for African developers, students, and researchers — starting in South Sudan. Most AI coding and research tools today are built for reliable broadband, Western academic conventions, and English-only workflows, leaving a large and growing population of African builders underserved. Sanadi AI closes that gap with a lightweight, affordable assistant that works on constrained connectivity and supports Juba Arabic alongside English.</w:t>
      </w:r>
    </w:p>
    <w:p>
      <w:pPr>
        <w:spacing w:after="160" w:line="276"/>
      </w:pPr>
      <w:r>
        <w:rPr>
          <w:rFonts w:ascii="Calibri" w:cs="Calibri" w:eastAsia="Calibri" w:hAnsi="Calibri"/>
          <w:color w:val="111111"/>
          <w:sz w:val="21"/>
          <w:szCs w:val="21"/>
        </w:rPr>
        <w:t xml:space="preserve">The company is founded and led by Omol, who also operates Alole Technologies Limited (a Juba-based software and digital services company with clients including SSRRC and RCCL) and has already built a foundation-model pipeline from scratch, including a 1.28-billion-parameter transformer, a custom SDLC for pretraining and alignment, and production serving infrastructure. Sanadi AI redirects this existing technical capability toward a focused, revenue-generating product: a coding and research assistant for African university students and developers, with a long-term path toward broader AI infrastructure for the region.</w:t>
      </w:r>
    </w:p>
    <w:p>
      <w:pPr>
        <w:spacing w:after="160" w:line="276"/>
      </w:pPr>
      <w:r>
        <w:rPr>
          <w:rFonts w:ascii="Calibri" w:cs="Calibri" w:eastAsia="Calibri" w:hAnsi="Calibri"/>
          <w:color w:val="111111"/>
          <w:sz w:val="21"/>
          <w:szCs w:val="21"/>
        </w:rPr>
        <w:t xml:space="preserve">Phase 1 targets students and developers directly, using an existing base (fine-tuned open-weight coding models) to reach the market quickly, while reserving from-scratch foundation model research as a longer-term differentiator once the company has traction, data, and funding.</w:t>
      </w:r>
    </w:p>
    <w:p>
      <w:pPr>
        <w:pStyle w:val="Heading1"/>
        <w:pBdr>
          <w:bottom w:val="single" w:color="111111" w:sz="4" w:space="4"/>
        </w:pBdr>
        <w:spacing w:after="200" w:before="400"/>
      </w:pPr>
      <w:r>
        <w:rPr>
          <w:rFonts w:ascii="Calibri" w:cs="Calibri" w:eastAsia="Calibri" w:hAnsi="Calibri"/>
          <w:b/>
          <w:bCs/>
          <w:color w:val="111111"/>
          <w:sz w:val="30"/>
          <w:szCs w:val="30"/>
        </w:rPr>
        <w:t xml:space="preserve">2. Problem</w:t>
      </w:r>
    </w:p>
    <w:p>
      <w:pPr>
        <w:pStyle w:val="ListParagraph"/>
        <w:numPr>
          <w:ilvl w:val="0"/>
          <w:numId w:val="2"/>
        </w:numPr>
        <w:spacing w:after="90"/>
      </w:pPr>
      <w:r>
        <w:rPr>
          <w:rFonts w:ascii="Calibri" w:cs="Calibri" w:eastAsia="Calibri" w:hAnsi="Calibri"/>
          <w:color w:val="111111"/>
          <w:sz w:val="21"/>
          <w:szCs w:val="21"/>
        </w:rPr>
        <w:t xml:space="preserve">Leading AI coding and research assistants are priced, trained, and supported for markets with reliable broadband and strong local currencies — subscription costs are steep relative to South Sudanese and broader African incomes.</w:t>
      </w:r>
    </w:p>
    <w:p>
      <w:pPr>
        <w:pStyle w:val="ListParagraph"/>
        <w:numPr>
          <w:ilvl w:val="0"/>
          <w:numId w:val="2"/>
        </w:numPr>
        <w:spacing w:after="90"/>
      </w:pPr>
      <w:r>
        <w:rPr>
          <w:rFonts w:ascii="Calibri" w:cs="Calibri" w:eastAsia="Calibri" w:hAnsi="Calibri"/>
          <w:color w:val="111111"/>
          <w:sz w:val="21"/>
          <w:szCs w:val="21"/>
        </w:rPr>
        <w:t xml:space="preserve">Almost no mainstream AI tool supports Juba Arabic or reflects African academic and development context, leaving students and developers to translate concepts across language and cultural gaps on top of the technical work itself.</w:t>
      </w:r>
    </w:p>
    <w:p>
      <w:pPr>
        <w:pStyle w:val="ListParagraph"/>
        <w:numPr>
          <w:ilvl w:val="0"/>
          <w:numId w:val="2"/>
        </w:numPr>
        <w:spacing w:after="90"/>
      </w:pPr>
      <w:r>
        <w:rPr>
          <w:rFonts w:ascii="Calibri" w:cs="Calibri" w:eastAsia="Calibri" w:hAnsi="Calibri"/>
          <w:color w:val="111111"/>
          <w:sz w:val="21"/>
          <w:szCs w:val="21"/>
        </w:rPr>
        <w:t xml:space="preserve">University students and early-career developers in South Sudan have limited access to mentorship, code review, or research guidance — AI tools could fill this gap but are largely unavailable or unusable locally.</w:t>
      </w:r>
    </w:p>
    <w:p>
      <w:pPr>
        <w:pStyle w:val="ListParagraph"/>
        <w:numPr>
          <w:ilvl w:val="0"/>
          <w:numId w:val="2"/>
        </w:numPr>
        <w:spacing w:after="90"/>
      </w:pPr>
      <w:r>
        <w:rPr>
          <w:rFonts w:ascii="Calibri" w:cs="Calibri" w:eastAsia="Calibri" w:hAnsi="Calibri"/>
          <w:color w:val="111111"/>
          <w:sz w:val="21"/>
          <w:szCs w:val="21"/>
        </w:rPr>
        <w:t xml:space="preserve">Existing tools assume constant high-bandwidth connectivity, which is unreliable across much of South Sudan and the wider region.</w:t>
      </w:r>
    </w:p>
    <w:p>
      <w:pPr>
        <w:pStyle w:val="Heading1"/>
        <w:pBdr>
          <w:bottom w:val="single" w:color="111111" w:sz="4" w:space="4"/>
        </w:pBdr>
        <w:spacing w:after="200" w:before="400"/>
      </w:pPr>
      <w:r>
        <w:rPr>
          <w:rFonts w:ascii="Calibri" w:cs="Calibri" w:eastAsia="Calibri" w:hAnsi="Calibri"/>
          <w:b/>
          <w:bCs/>
          <w:color w:val="111111"/>
          <w:sz w:val="30"/>
          <w:szCs w:val="30"/>
        </w:rPr>
        <w:t xml:space="preserve">3. Solution</w:t>
      </w:r>
    </w:p>
    <w:p>
      <w:pPr>
        <w:spacing w:after="160" w:line="276"/>
      </w:pPr>
      <w:r>
        <w:rPr>
          <w:rFonts w:ascii="Calibri" w:cs="Calibri" w:eastAsia="Calibri" w:hAnsi="Calibri"/>
          <w:color w:val="111111"/>
          <w:sz w:val="21"/>
          <w:szCs w:val="21"/>
        </w:rPr>
        <w:t xml:space="preserve">Sanadi AI provides a coding and research assistant purpose-built for the African context:</w:t>
      </w:r>
    </w:p>
    <w:p>
      <w:pPr>
        <w:pStyle w:val="ListParagraph"/>
        <w:numPr>
          <w:ilvl w:val="0"/>
          <w:numId w:val="2"/>
        </w:numPr>
        <w:spacing w:after="90"/>
      </w:pPr>
      <w:r>
        <w:rPr>
          <w:rFonts w:ascii="Calibri" w:cs="Calibri" w:eastAsia="Calibri" w:hAnsi="Calibri"/>
          <w:color w:val="111111"/>
          <w:sz w:val="21"/>
          <w:szCs w:val="21"/>
        </w:rPr>
        <w:t xml:space="preserve">Coding help: code generation, debugging, and explanation aimed at the level and needs of students and early-career developers.</w:t>
      </w:r>
    </w:p>
    <w:p>
      <w:pPr>
        <w:pStyle w:val="ListParagraph"/>
        <w:numPr>
          <w:ilvl w:val="0"/>
          <w:numId w:val="2"/>
        </w:numPr>
        <w:spacing w:after="90"/>
      </w:pPr>
      <w:r>
        <w:rPr>
          <w:rFonts w:ascii="Calibri" w:cs="Calibri" w:eastAsia="Calibri" w:hAnsi="Calibri"/>
          <w:color w:val="111111"/>
          <w:sz w:val="21"/>
          <w:szCs w:val="21"/>
        </w:rPr>
        <w:t xml:space="preserve">Research support: literature summarization, writing assistance, and structured guidance for academic research and theses.</w:t>
      </w:r>
    </w:p>
    <w:p>
      <w:pPr>
        <w:pStyle w:val="ListParagraph"/>
        <w:numPr>
          <w:ilvl w:val="0"/>
          <w:numId w:val="2"/>
        </w:numPr>
        <w:spacing w:after="90"/>
      </w:pPr>
      <w:r>
        <w:rPr>
          <w:rFonts w:ascii="Calibri" w:cs="Calibri" w:eastAsia="Calibri" w:hAnsi="Calibri"/>
          <w:color w:val="111111"/>
          <w:sz w:val="21"/>
          <w:szCs w:val="21"/>
        </w:rPr>
        <w:t xml:space="preserve">Bilingual by design: Juba Arabic and English support built in from the start, not bolted on.</w:t>
      </w:r>
    </w:p>
    <w:p>
      <w:pPr>
        <w:pStyle w:val="ListParagraph"/>
        <w:numPr>
          <w:ilvl w:val="0"/>
          <w:numId w:val="2"/>
        </w:numPr>
        <w:spacing w:after="90"/>
      </w:pPr>
      <w:r>
        <w:rPr>
          <w:rFonts w:ascii="Calibri" w:cs="Calibri" w:eastAsia="Calibri" w:hAnsi="Calibri"/>
          <w:color w:val="111111"/>
          <w:sz w:val="21"/>
          <w:szCs w:val="21"/>
        </w:rPr>
        <w:t xml:space="preserve">Built for local conditions: a lightweight web interface designed to work acceptably on constrained connectivity, with pricing appropriate to local income levels.</w:t>
      </w:r>
    </w:p>
    <w:p>
      <w:pPr>
        <w:spacing w:after="160" w:line="276"/>
      </w:pPr>
      <w:r>
        <w:rPr>
          <w:rFonts w:ascii="Calibri" w:cs="Calibri" w:eastAsia="Calibri" w:hAnsi="Calibri"/>
          <w:color w:val="111111"/>
          <w:sz w:val="21"/>
          <w:szCs w:val="21"/>
        </w:rPr>
        <w:t xml:space="preserve">The product is powered by Sanadi AI's existing model pipeline, fine-tuned on coding- and research-specific data rather than general-purpose data, with evaluation focused on real classroom and workplace usefulness.</w:t>
      </w:r>
    </w:p>
    <w:p>
      <w:pPr>
        <w:pStyle w:val="Heading1"/>
        <w:pBdr>
          <w:bottom w:val="single" w:color="111111" w:sz="4" w:space="4"/>
        </w:pBdr>
        <w:spacing w:after="200" w:before="400"/>
      </w:pPr>
      <w:r>
        <w:rPr>
          <w:rFonts w:ascii="Calibri" w:cs="Calibri" w:eastAsia="Calibri" w:hAnsi="Calibri"/>
          <w:b/>
          <w:bCs/>
          <w:color w:val="111111"/>
          <w:sz w:val="30"/>
          <w:szCs w:val="30"/>
        </w:rPr>
        <w:t xml:space="preserve">4. Product &amp; Technology</w:t>
      </w:r>
    </w:p>
    <w:p>
      <w:pPr>
        <w:pStyle w:val="Heading2"/>
        <w:spacing w:after="120" w:before="260"/>
      </w:pPr>
      <w:r>
        <w:rPr>
          <w:rFonts w:ascii="Calibri" w:cs="Calibri" w:eastAsia="Calibri" w:hAnsi="Calibri"/>
          <w:b/>
          <w:bCs/>
          <w:color w:val="111111"/>
          <w:sz w:val="24"/>
          <w:szCs w:val="24"/>
        </w:rPr>
        <w:t xml:space="preserve">4.1 Technical approach</w:t>
      </w:r>
    </w:p>
    <w:p>
      <w:pPr>
        <w:pStyle w:val="ListParagraph"/>
        <w:numPr>
          <w:ilvl w:val="0"/>
          <w:numId w:val="2"/>
        </w:numPr>
        <w:spacing w:after="90"/>
      </w:pPr>
      <w:r>
        <w:rPr>
          <w:rFonts w:ascii="Calibri" w:cs="Calibri" w:eastAsia="Calibri" w:hAnsi="Calibri"/>
          <w:color w:val="111111"/>
          <w:sz w:val="21"/>
          <w:szCs w:val="21"/>
        </w:rPr>
        <w:t xml:space="preserve">Base model: fine-tune an existing open-weight coding model (e.g. a small Qwen-Coder, DeepSeek-Coder, or comparable model) rather than training from scratch, to reach a usable product quickly and affordably.</w:t>
      </w:r>
    </w:p>
    <w:p>
      <w:pPr>
        <w:pStyle w:val="ListParagraph"/>
        <w:numPr>
          <w:ilvl w:val="0"/>
          <w:numId w:val="2"/>
        </w:numPr>
        <w:spacing w:after="90"/>
      </w:pPr>
      <w:r>
        <w:rPr>
          <w:rFonts w:ascii="Calibri" w:cs="Calibri" w:eastAsia="Calibri" w:hAnsi="Calibri"/>
          <w:color w:val="111111"/>
          <w:sz w:val="21"/>
          <w:szCs w:val="21"/>
        </w:rPr>
        <w:t xml:space="preserve">Existing infrastructure reused: tokenizer, SFT alignment pipeline, FastAPI serving layer, and Next.js frontend, redirected from the original responsible-reasoning focus to coding and research tasks.</w:t>
      </w:r>
    </w:p>
    <w:p>
      <w:pPr>
        <w:pStyle w:val="ListParagraph"/>
        <w:numPr>
          <w:ilvl w:val="0"/>
          <w:numId w:val="2"/>
        </w:numPr>
        <w:spacing w:after="90"/>
      </w:pPr>
      <w:r>
        <w:rPr>
          <w:rFonts w:ascii="Calibri" w:cs="Calibri" w:eastAsia="Calibri" w:hAnsi="Calibri"/>
          <w:color w:val="111111"/>
          <w:sz w:val="21"/>
          <w:szCs w:val="21"/>
        </w:rPr>
        <w:t xml:space="preserve">Data pipeline: rebuilt around permissively-licensed code repositories, coding Q&amp;A, open-access research papers, and bilingual (Juba Arabic/English) technical content, including synthetically generated bilingual examples where natural data doesn't exist.</w:t>
      </w:r>
    </w:p>
    <w:p>
      <w:pPr>
        <w:pStyle w:val="ListParagraph"/>
        <w:numPr>
          <w:ilvl w:val="0"/>
          <w:numId w:val="2"/>
        </w:numPr>
        <w:spacing w:after="90"/>
      </w:pPr>
      <w:r>
        <w:rPr>
          <w:rFonts w:ascii="Calibri" w:cs="Calibri" w:eastAsia="Calibri" w:hAnsi="Calibri"/>
          <w:color w:val="111111"/>
          <w:sz w:val="21"/>
          <w:szCs w:val="21"/>
        </w:rPr>
        <w:t xml:space="preserve">From-scratch foundation model research continues as a longer-term, better-funded phase-2+ initiative once the product has traction and real usage data to justify the investment.</w:t>
      </w:r>
    </w:p>
    <w:p>
      <w:pPr>
        <w:pStyle w:val="Heading2"/>
        <w:spacing w:after="120" w:before="260"/>
      </w:pPr>
      <w:r>
        <w:rPr>
          <w:rFonts w:ascii="Calibri" w:cs="Calibri" w:eastAsia="Calibri" w:hAnsi="Calibri"/>
          <w:b/>
          <w:bCs/>
          <w:color w:val="111111"/>
          <w:sz w:val="24"/>
          <w:szCs w:val="24"/>
        </w:rPr>
        <w:t xml:space="preserve">4.2 Product surface</w:t>
      </w:r>
    </w:p>
    <w:p>
      <w:pPr>
        <w:spacing w:after="160" w:line="276"/>
      </w:pPr>
      <w:r>
        <w:rPr>
          <w:rFonts w:ascii="Calibri" w:cs="Calibri" w:eastAsia="Calibri" w:hAnsi="Calibri"/>
          <w:color w:val="111111"/>
          <w:sz w:val="21"/>
          <w:szCs w:val="21"/>
        </w:rPr>
        <w:t xml:space="preserve">Phase 1 ships as a web-based chat assistant (building on the existing Next.js frontend), prioritized over an IDE plugin for faster distribution to students and developers who can access it with a single link. A lower-bandwidth access point (e.g. WhatsApp-based tutoring), consistent with the founder's existing work on WhatsApp-native products, is a candidate for a later phase.</w:t>
      </w:r>
    </w:p>
    <w:p>
      <w:pPr>
        <w:pStyle w:val="Heading1"/>
        <w:pBdr>
          <w:bottom w:val="single" w:color="111111" w:sz="4" w:space="4"/>
        </w:pBdr>
        <w:spacing w:after="200" w:before="400"/>
      </w:pPr>
      <w:r>
        <w:rPr>
          <w:rFonts w:ascii="Calibri" w:cs="Calibri" w:eastAsia="Calibri" w:hAnsi="Calibri"/>
          <w:b/>
          <w:bCs/>
          <w:color w:val="111111"/>
          <w:sz w:val="30"/>
          <w:szCs w:val="30"/>
        </w:rPr>
        <w:t xml:space="preserve">5. Target Market &amp; Users</w:t>
      </w:r>
    </w:p>
    <w:p>
      <w:pPr>
        <w:spacing w:after="160" w:line="276"/>
      </w:pPr>
      <w:r>
        <w:rPr>
          <w:rFonts w:ascii="Calibri" w:cs="Calibri" w:eastAsia="Calibri" w:hAnsi="Calibri"/>
          <w:color w:val="111111"/>
          <w:sz w:val="21"/>
          <w:szCs w:val="21"/>
        </w:rPr>
        <w:t xml:space="preserve">Phase 1 focuses narrowly on a reachable, well-defined audience before expanding:</w:t>
      </w:r>
    </w:p>
    <w:p>
      <w:pPr>
        <w:pStyle w:val="ListParagraph"/>
        <w:numPr>
          <w:ilvl w:val="0"/>
          <w:numId w:val="2"/>
        </w:numPr>
        <w:spacing w:after="90"/>
      </w:pPr>
      <w:r>
        <w:rPr>
          <w:rFonts w:ascii="Calibri" w:cs="Calibri" w:eastAsia="Calibri" w:hAnsi="Calibri"/>
          <w:color w:val="111111"/>
          <w:sz w:val="21"/>
          <w:szCs w:val="21"/>
        </w:rPr>
        <w:t xml:space="preserve">Primary: Computer science and STEM students at South Sudanese universities (starting with Starford International University and similar institutions the founder has direct access to).</w:t>
      </w:r>
    </w:p>
    <w:p>
      <w:pPr>
        <w:pStyle w:val="ListParagraph"/>
        <w:numPr>
          <w:ilvl w:val="0"/>
          <w:numId w:val="2"/>
        </w:numPr>
        <w:spacing w:after="90"/>
      </w:pPr>
      <w:r>
        <w:rPr>
          <w:rFonts w:ascii="Calibri" w:cs="Calibri" w:eastAsia="Calibri" w:hAnsi="Calibri"/>
          <w:color w:val="111111"/>
          <w:sz w:val="21"/>
          <w:szCs w:val="21"/>
        </w:rPr>
        <w:t xml:space="preserve">Secondary: Early-career developers and technical staff at South Sudanese companies and NGOs.</w:t>
      </w:r>
    </w:p>
    <w:p>
      <w:pPr>
        <w:pStyle w:val="ListParagraph"/>
        <w:numPr>
          <w:ilvl w:val="0"/>
          <w:numId w:val="2"/>
        </w:numPr>
        <w:spacing w:after="90"/>
      </w:pPr>
      <w:r>
        <w:rPr>
          <w:rFonts w:ascii="Calibri" w:cs="Calibri" w:eastAsia="Calibri" w:hAnsi="Calibri"/>
          <w:color w:val="111111"/>
          <w:sz w:val="21"/>
          <w:szCs w:val="21"/>
        </w:rPr>
        <w:t xml:space="preserve">Tertiary (later phases): Researchers and academic staff across East Africa; broader African developer community.</w:t>
      </w:r>
    </w:p>
    <w:p>
      <w:pPr>
        <w:spacing w:after="160" w:line="276"/>
      </w:pPr>
      <w:r>
        <w:rPr>
          <w:rFonts w:ascii="Calibri" w:cs="Calibri" w:eastAsia="Calibri" w:hAnsi="Calibri"/>
          <w:color w:val="111111"/>
          <w:sz w:val="21"/>
          <w:szCs w:val="21"/>
        </w:rPr>
        <w:t xml:space="preserve">This narrow starting point is deliberate — it allows fast feedback loops and credible early traction before broadening to “African developers” generally.</w:t>
      </w:r>
    </w:p>
    <w:p>
      <w:pPr>
        <w:pStyle w:val="Heading1"/>
        <w:pBdr>
          <w:bottom w:val="single" w:color="111111" w:sz="4" w:space="4"/>
        </w:pBdr>
        <w:spacing w:after="200" w:before="400"/>
      </w:pPr>
      <w:r>
        <w:rPr>
          <w:rFonts w:ascii="Calibri" w:cs="Calibri" w:eastAsia="Calibri" w:hAnsi="Calibri"/>
          <w:b/>
          <w:bCs/>
          <w:color w:val="111111"/>
          <w:sz w:val="30"/>
          <w:szCs w:val="30"/>
        </w:rPr>
        <w:t xml:space="preserve">6. Business Model</w:t>
      </w:r>
    </w:p>
    <w:p>
      <w:pPr>
        <w:pStyle w:val="ListParagraph"/>
        <w:numPr>
          <w:ilvl w:val="0"/>
          <w:numId w:val="2"/>
        </w:numPr>
        <w:spacing w:after="90"/>
      </w:pPr>
      <w:r>
        <w:rPr>
          <w:rFonts w:ascii="Calibri" w:cs="Calibri" w:eastAsia="Calibri" w:hAnsi="Calibri"/>
          <w:color w:val="111111"/>
          <w:sz w:val="21"/>
          <w:szCs w:val="21"/>
        </w:rPr>
        <w:t xml:space="preserve">Freemium subscription: a free tier with usage limits, and an affordable paid tier priced for local purchasing power (well below international AI subscription pricing).</w:t>
      </w:r>
    </w:p>
    <w:p>
      <w:pPr>
        <w:pStyle w:val="ListParagraph"/>
        <w:numPr>
          <w:ilvl w:val="0"/>
          <w:numId w:val="2"/>
        </w:numPr>
        <w:spacing w:after="90"/>
      </w:pPr>
      <w:r>
        <w:rPr>
          <w:rFonts w:ascii="Calibri" w:cs="Calibri" w:eastAsia="Calibri" w:hAnsi="Calibri"/>
          <w:color w:val="111111"/>
          <w:sz w:val="21"/>
          <w:szCs w:val="21"/>
        </w:rPr>
        <w:t xml:space="preserve">Institutional licensing: site licenses for universities and training programs, providing access for all enrolled students under one agreement.</w:t>
      </w:r>
    </w:p>
    <w:p>
      <w:pPr>
        <w:pStyle w:val="ListParagraph"/>
        <w:numPr>
          <w:ilvl w:val="0"/>
          <w:numId w:val="2"/>
        </w:numPr>
        <w:spacing w:after="90"/>
      </w:pPr>
      <w:r>
        <w:rPr>
          <w:rFonts w:ascii="Calibri" w:cs="Calibri" w:eastAsia="Calibri" w:hAnsi="Calibri"/>
          <w:color w:val="111111"/>
          <w:sz w:val="21"/>
          <w:szCs w:val="21"/>
        </w:rPr>
        <w:t xml:space="preserve">NGO / development-sector contracts: customized deployments for organizations already engaging Alole Technologies Limited (e.g. SSRRC, RCCL), extending the founder's existing client relationships.</w:t>
      </w:r>
    </w:p>
    <w:p>
      <w:pPr>
        <w:pStyle w:val="ListParagraph"/>
        <w:numPr>
          <w:ilvl w:val="0"/>
          <w:numId w:val="2"/>
        </w:numPr>
        <w:spacing w:after="90"/>
      </w:pPr>
      <w:r>
        <w:rPr>
          <w:rFonts w:ascii="Calibri" w:cs="Calibri" w:eastAsia="Calibri" w:hAnsi="Calibri"/>
          <w:color w:val="111111"/>
          <w:sz w:val="21"/>
          <w:szCs w:val="21"/>
        </w:rPr>
        <w:t xml:space="preserve">Future infrastructure revenue: API access and hosting/compute services for other regional builders, once phase 1 demonstrates demand.</w:t>
      </w:r>
    </w:p>
    <w:p>
      <w:pPr>
        <w:pStyle w:val="Heading1"/>
        <w:pBdr>
          <w:bottom w:val="single" w:color="111111" w:sz="4" w:space="4"/>
        </w:pBdr>
        <w:spacing w:after="200" w:before="400"/>
      </w:pPr>
      <w:r>
        <w:rPr>
          <w:rFonts w:ascii="Calibri" w:cs="Calibri" w:eastAsia="Calibri" w:hAnsi="Calibri"/>
          <w:b/>
          <w:bCs/>
          <w:color w:val="111111"/>
          <w:sz w:val="30"/>
          <w:szCs w:val="30"/>
        </w:rPr>
        <w:t xml:space="preserve">7. Go-to-Market Strategy</w:t>
      </w:r>
    </w:p>
    <w:p>
      <w:pPr>
        <w:pStyle w:val="ListParagraph"/>
        <w:numPr>
          <w:ilvl w:val="0"/>
          <w:numId w:val="2"/>
        </w:numPr>
        <w:spacing w:after="90"/>
      </w:pPr>
      <w:r>
        <w:rPr>
          <w:rFonts w:ascii="Calibri" w:cs="Calibri" w:eastAsia="Calibri" w:hAnsi="Calibri"/>
          <w:color w:val="111111"/>
          <w:sz w:val="21"/>
          <w:szCs w:val="21"/>
        </w:rPr>
        <w:t xml:space="preserve">Launch at Starford International University and partner institutions through direct relationships, campus demos, and student ambassador outreach.</w:t>
      </w:r>
    </w:p>
    <w:p>
      <w:pPr>
        <w:pStyle w:val="ListParagraph"/>
        <w:numPr>
          <w:ilvl w:val="0"/>
          <w:numId w:val="2"/>
        </w:numPr>
        <w:spacing w:after="90"/>
      </w:pPr>
      <w:r>
        <w:rPr>
          <w:rFonts w:ascii="Calibri" w:cs="Calibri" w:eastAsia="Calibri" w:hAnsi="Calibri"/>
          <w:color w:val="111111"/>
          <w:sz w:val="21"/>
          <w:szCs w:val="21"/>
        </w:rPr>
        <w:t xml:space="preserve">Leverage the founder's existing network across Alole Technologies Limited and prior ventures (Kalam Gadgetz, Nidda AI) for early credibility and warm introductions.</w:t>
      </w:r>
    </w:p>
    <w:p>
      <w:pPr>
        <w:pStyle w:val="ListParagraph"/>
        <w:numPr>
          <w:ilvl w:val="0"/>
          <w:numId w:val="2"/>
        </w:numPr>
        <w:spacing w:after="90"/>
      </w:pPr>
      <w:r>
        <w:rPr>
          <w:rFonts w:ascii="Calibri" w:cs="Calibri" w:eastAsia="Calibri" w:hAnsi="Calibri"/>
          <w:color w:val="111111"/>
          <w:sz w:val="21"/>
          <w:szCs w:val="21"/>
        </w:rPr>
        <w:t xml:space="preserve">Community building: coding workshops, hackathons, and research-writing clinics co-hosted with universities to drive adoption and gather feedback.</w:t>
      </w:r>
    </w:p>
    <w:p>
      <w:pPr>
        <w:pStyle w:val="ListParagraph"/>
        <w:numPr>
          <w:ilvl w:val="0"/>
          <w:numId w:val="2"/>
        </w:numPr>
        <w:spacing w:after="90"/>
      </w:pPr>
      <w:r>
        <w:rPr>
          <w:rFonts w:ascii="Calibri" w:cs="Calibri" w:eastAsia="Calibri" w:hAnsi="Calibri"/>
          <w:color w:val="111111"/>
          <w:sz w:val="21"/>
          <w:szCs w:val="21"/>
        </w:rPr>
        <w:t xml:space="preserve">Word of mouth within student and developer communities, supported by a low or no-cost entry tier to reduce adoption friction.</w:t>
      </w:r>
    </w:p>
    <w:p>
      <w:pPr>
        <w:pStyle w:val="Heading1"/>
        <w:pBdr>
          <w:bottom w:val="single" w:color="111111" w:sz="4" w:space="4"/>
        </w:pBdr>
        <w:spacing w:after="200" w:before="400"/>
      </w:pPr>
      <w:r>
        <w:rPr>
          <w:rFonts w:ascii="Calibri" w:cs="Calibri" w:eastAsia="Calibri" w:hAnsi="Calibri"/>
          <w:b/>
          <w:bCs/>
          <w:color w:val="111111"/>
          <w:sz w:val="30"/>
          <w:szCs w:val="30"/>
        </w:rPr>
        <w:t xml:space="preserve">8. Competitive Landscape</w:t>
      </w:r>
    </w:p>
    <w:p>
      <w:pPr>
        <w:spacing w:after="160" w:line="276"/>
      </w:pPr>
      <w:r>
        <w:rPr>
          <w:rFonts w:ascii="Calibri" w:cs="Calibri" w:eastAsia="Calibri" w:hAnsi="Calibri"/>
          <w:color w:val="111111"/>
          <w:sz w:val="21"/>
          <w:szCs w:val="21"/>
        </w:rPr>
        <w:t xml:space="preserve">Global tools (GitHub Copilot, ChatGPT, Claude, Gemini) are the default competitors by default usage, but none are built for South Sudanese pricing, connectivity, or language context — they compete on raw capability, not local fit. Sanadi AI's defensible position is not out-performing frontier labs on general capability, but being the tool that actually works, is affordable, and is understood locally, with Juba Arabic support as a genuine differentiator no global competitor is building toward.</w:t>
      </w:r>
    </w:p>
    <w:p>
      <w:pPr>
        <w:spacing w:after="160" w:line="276"/>
      </w:pPr>
      <w:r>
        <w:rPr>
          <w:rFonts w:ascii="Calibri" w:cs="Calibri" w:eastAsia="Calibri" w:hAnsi="Calibri"/>
          <w:color w:val="111111"/>
          <w:sz w:val="21"/>
          <w:szCs w:val="21"/>
        </w:rPr>
        <w:t xml:space="preserve">Regional AI efforts remain sparse; Sanadi AI's existing technical foundation (a working trained model and pipeline, not just a plan) is a meaningful head start against other early-stage regional competitors.</w:t>
      </w:r>
    </w:p>
    <w:p>
      <w:pPr>
        <w:pStyle w:val="Heading1"/>
        <w:pBdr>
          <w:bottom w:val="single" w:color="111111" w:sz="4" w:space="4"/>
        </w:pBdr>
        <w:spacing w:after="200" w:before="400"/>
      </w:pPr>
      <w:r>
        <w:rPr>
          <w:rFonts w:ascii="Calibri" w:cs="Calibri" w:eastAsia="Calibri" w:hAnsi="Calibri"/>
          <w:b/>
          <w:bCs/>
          <w:color w:val="111111"/>
          <w:sz w:val="30"/>
          <w:szCs w:val="30"/>
        </w:rPr>
        <w:t xml:space="preserve">9. Traction &amp; Team</w:t>
      </w:r>
    </w:p>
    <w:p>
      <w:pPr>
        <w:pStyle w:val="Heading2"/>
        <w:spacing w:after="120" w:before="260"/>
      </w:pPr>
      <w:r>
        <w:rPr>
          <w:rFonts w:ascii="Calibri" w:cs="Calibri" w:eastAsia="Calibri" w:hAnsi="Calibri"/>
          <w:b/>
          <w:bCs/>
          <w:color w:val="111111"/>
          <w:sz w:val="24"/>
          <w:szCs w:val="24"/>
        </w:rPr>
        <w:t xml:space="preserve">9.1 Founder</w:t>
      </w:r>
    </w:p>
    <w:p>
      <w:pPr>
        <w:spacing w:after="160" w:line="276"/>
      </w:pPr>
      <w:r>
        <w:rPr>
          <w:rFonts w:ascii="Calibri" w:cs="Calibri" w:eastAsia="Calibri" w:hAnsi="Calibri"/>
          <w:color w:val="111111"/>
          <w:sz w:val="21"/>
          <w:szCs w:val="21"/>
        </w:rPr>
        <w:t xml:space="preserve">Omol — Founder. Computer science student at Starford International University, South Sudan, with strong self-taught AI/ML expertise. Founder/operator of Alole Technologies Limited (IT/software services, clients including SSRRC and RCCL). Built Sanadi AI's foundation-model pipeline from scratch, including a 1.28-billion-parameter transformer trained on RunPod, a custom tokenizer, and an 8-stage SDLC covering data ingestion through evaluation.</w:t>
      </w:r>
    </w:p>
    <w:p>
      <w:pPr>
        <w:pStyle w:val="Heading2"/>
        <w:spacing w:after="120" w:before="260"/>
      </w:pPr>
      <w:r>
        <w:rPr>
          <w:rFonts w:ascii="Calibri" w:cs="Calibri" w:eastAsia="Calibri" w:hAnsi="Calibri"/>
          <w:b/>
          <w:bCs/>
          <w:color w:val="111111"/>
          <w:sz w:val="24"/>
          <w:szCs w:val="24"/>
        </w:rPr>
        <w:t xml:space="preserve">9.2 Existing technical traction</w:t>
      </w:r>
    </w:p>
    <w:p>
      <w:pPr>
        <w:pStyle w:val="ListParagraph"/>
        <w:numPr>
          <w:ilvl w:val="0"/>
          <w:numId w:val="2"/>
        </w:numPr>
        <w:spacing w:after="90"/>
      </w:pPr>
      <w:r>
        <w:rPr>
          <w:rFonts w:ascii="Calibri" w:cs="Calibri" w:eastAsia="Calibri" w:hAnsi="Calibri"/>
          <w:color w:val="111111"/>
          <w:sz w:val="21"/>
          <w:szCs w:val="21"/>
        </w:rPr>
        <w:t xml:space="preserve">A working, from-scratch-trained 1.28B-parameter transformer with RoPE, RMSNorm, and SwiGLU architecture.</w:t>
      </w:r>
    </w:p>
    <w:p>
      <w:pPr>
        <w:pStyle w:val="ListParagraph"/>
        <w:numPr>
          <w:ilvl w:val="0"/>
          <w:numId w:val="2"/>
        </w:numPr>
        <w:spacing w:after="90"/>
      </w:pPr>
      <w:r>
        <w:rPr>
          <w:rFonts w:ascii="Calibri" w:cs="Calibri" w:eastAsia="Calibri" w:hAnsi="Calibri"/>
          <w:color w:val="111111"/>
          <w:sz w:val="21"/>
          <w:szCs w:val="21"/>
        </w:rPr>
        <w:t xml:space="preserve">A complete SDLC pipeline: data ingestion, BPE tokenizer, pretraining, SFT alignment, FastAPI serving, and a Next.js chat frontend.</w:t>
      </w:r>
    </w:p>
    <w:p>
      <w:pPr>
        <w:pStyle w:val="ListParagraph"/>
        <w:numPr>
          <w:ilvl w:val="0"/>
          <w:numId w:val="2"/>
        </w:numPr>
        <w:spacing w:after="90"/>
      </w:pPr>
      <w:r>
        <w:rPr>
          <w:rFonts w:ascii="Calibri" w:cs="Calibri" w:eastAsia="Calibri" w:hAnsi="Calibri"/>
          <w:color w:val="111111"/>
          <w:sz w:val="21"/>
          <w:szCs w:val="21"/>
        </w:rPr>
        <w:t xml:space="preserve">An established brand system (cream/white/black/burgundy palette) ready to extend to the new product direction.</w:t>
      </w:r>
    </w:p>
    <w:p>
      <w:pPr>
        <w:pStyle w:val="Heading2"/>
        <w:spacing w:after="120" w:before="260"/>
      </w:pPr>
      <w:r>
        <w:rPr>
          <w:rFonts w:ascii="Calibri" w:cs="Calibri" w:eastAsia="Calibri" w:hAnsi="Calibri"/>
          <w:b/>
          <w:bCs/>
          <w:color w:val="111111"/>
          <w:sz w:val="24"/>
          <w:szCs w:val="24"/>
        </w:rPr>
        <w:t xml:space="preserve">9.3 Business traction</w:t>
      </w:r>
    </w:p>
    <w:p>
      <w:pPr>
        <w:pStyle w:val="ListParagraph"/>
        <w:numPr>
          <w:ilvl w:val="0"/>
          <w:numId w:val="2"/>
        </w:numPr>
        <w:spacing w:after="90"/>
      </w:pPr>
      <w:r>
        <w:rPr>
          <w:rFonts w:ascii="Calibri" w:cs="Calibri" w:eastAsia="Calibri" w:hAnsi="Calibri"/>
          <w:color w:val="111111"/>
          <w:sz w:val="21"/>
          <w:szCs w:val="21"/>
        </w:rPr>
        <w:t xml:space="preserve">Alole Technologies Limited already serves institutional clients (SSRRC, RCCL), demonstrating the founder's ability to deliver and maintain client relationships in South Sudan.</w:t>
      </w:r>
    </w:p>
    <w:p>
      <w:pPr>
        <w:pStyle w:val="ListParagraph"/>
        <w:numPr>
          <w:ilvl w:val="0"/>
          <w:numId w:val="2"/>
        </w:numPr>
        <w:spacing w:after="90"/>
      </w:pPr>
      <w:r>
        <w:rPr>
          <w:rFonts w:ascii="Calibri" w:cs="Calibri" w:eastAsia="Calibri" w:hAnsi="Calibri"/>
          <w:color w:val="111111"/>
          <w:sz w:val="21"/>
          <w:szCs w:val="21"/>
        </w:rPr>
        <w:t xml:space="preserve">Dala (formerly Sanadi Pay), a WhatsApp-native payments platform connecting to bank rails and telecom APIs, is in active development — evidence of the founder's ability to ship fintech-grade infrastructure in the South Sudanese market.</w:t>
      </w:r>
    </w:p>
    <w:p>
      <w:pPr>
        <w:pStyle w:val="Heading1"/>
        <w:pBdr>
          <w:bottom w:val="single" w:color="111111" w:sz="4" w:space="4"/>
        </w:pBdr>
        <w:spacing w:after="200" w:before="400"/>
      </w:pPr>
      <w:r>
        <w:rPr>
          <w:rFonts w:ascii="Calibri" w:cs="Calibri" w:eastAsia="Calibri" w:hAnsi="Calibri"/>
          <w:b/>
          <w:bCs/>
          <w:color w:val="111111"/>
          <w:sz w:val="30"/>
          <w:szCs w:val="30"/>
        </w:rPr>
        <w:t xml:space="preserve">10.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50"/>
      </w:tblGrid>
      <w:tr>
        <w:trPr>
          <w:tblHeader/>
        </w:trPr>
        <w:tc>
          <w:tcPr>
            <w:tcW w:type="dxa" w:w="1600"/>
            <w:shd w:fill="111111" w:val="clear"/>
            <w:tcMar>
              <w:top w:type="dxa" w:w="100"/>
              <w:left w:type="dxa" w:w="120"/>
              <w:bottom w:type="dxa" w:w="100"/>
              <w:right w:type="dxa" w:w="120"/>
            </w:tcMar>
          </w:tcPr>
          <w:p>
            <w:r>
              <w:rPr>
                <w:rFonts w:ascii="Calibri" w:cs="Calibri" w:eastAsia="Calibri" w:hAnsi="Calibri"/>
                <w:b/>
                <w:bCs/>
                <w:color w:val="FFFFFF"/>
                <w:sz w:val="19"/>
                <w:szCs w:val="19"/>
              </w:rPr>
              <w:t xml:space="preserve">Phase</w:t>
            </w:r>
          </w:p>
        </w:tc>
        <w:tc>
          <w:tcPr>
            <w:tcW w:type="dxa" w:w="3700"/>
            <w:shd w:fill="111111" w:val="clear"/>
            <w:tcMar>
              <w:top w:type="dxa" w:w="100"/>
              <w:left w:type="dxa" w:w="120"/>
              <w:bottom w:type="dxa" w:w="100"/>
              <w:right w:type="dxa" w:w="120"/>
            </w:tcMar>
          </w:tcPr>
          <w:p>
            <w:r>
              <w:rPr>
                <w:rFonts w:ascii="Calibri" w:cs="Calibri" w:eastAsia="Calibri" w:hAnsi="Calibri"/>
                <w:b/>
                <w:bCs/>
                <w:color w:val="FFFFFF"/>
                <w:sz w:val="19"/>
                <w:szCs w:val="19"/>
              </w:rPr>
              <w:t xml:space="preserve">Focus</w:t>
            </w:r>
          </w:p>
        </w:tc>
        <w:tc>
          <w:tcPr>
            <w:tcW w:type="dxa" w:w="4050"/>
            <w:shd w:fill="111111" w:val="clear"/>
            <w:tcMar>
              <w:top w:type="dxa" w:w="100"/>
              <w:left w:type="dxa" w:w="120"/>
              <w:bottom w:type="dxa" w:w="100"/>
              <w:right w:type="dxa" w:w="120"/>
            </w:tcMar>
          </w:tcPr>
          <w:p>
            <w:r>
              <w:rPr>
                <w:rFonts w:ascii="Calibri" w:cs="Calibri" w:eastAsia="Calibri" w:hAnsi="Calibri"/>
                <w:b/>
                <w:bCs/>
                <w:color w:val="FFFFFF"/>
                <w:sz w:val="19"/>
                <w:szCs w:val="19"/>
              </w:rPr>
              <w:t xml:space="preserve">Key milestones</w:t>
            </w:r>
          </w:p>
        </w:tc>
      </w:tr>
      <w:tr>
        <w:tc>
          <w:tcPr>
            <w:tcW w:type="dxa" w:w="1600"/>
            <w:tcMar>
              <w:top w:type="dxa" w:w="100"/>
              <w:left w:type="dxa" w:w="120"/>
              <w:bottom w:type="dxa" w:w="100"/>
              <w:right w:type="dxa" w:w="120"/>
            </w:tcMar>
          </w:tcPr>
          <w:p>
            <w:r>
              <w:rPr>
                <w:rFonts w:ascii="Calibri" w:cs="Calibri" w:eastAsia="Calibri" w:hAnsi="Calibri"/>
                <w:b w:val="false"/>
                <w:bCs w:val="false"/>
                <w:color w:val="111111"/>
                <w:sz w:val="19"/>
                <w:szCs w:val="19"/>
              </w:rPr>
              <w:t xml:space="preserve">Phase 1</w:t>
            </w:r>
          </w:p>
        </w:tc>
        <w:tc>
          <w:tcPr>
            <w:tcW w:type="dxa" w:w="3700"/>
            <w:tcMar>
              <w:top w:type="dxa" w:w="100"/>
              <w:left w:type="dxa" w:w="120"/>
              <w:bottom w:type="dxa" w:w="100"/>
              <w:right w:type="dxa" w:w="120"/>
            </w:tcMar>
          </w:tcPr>
          <w:p>
            <w:r>
              <w:rPr>
                <w:rFonts w:ascii="Calibri" w:cs="Calibri" w:eastAsia="Calibri" w:hAnsi="Calibri"/>
                <w:b w:val="false"/>
                <w:bCs w:val="false"/>
                <w:color w:val="111111"/>
                <w:sz w:val="19"/>
                <w:szCs w:val="19"/>
              </w:rPr>
              <w:t xml:space="preserve">Coding &amp; research assistant for South Sudanese students and developers</w:t>
            </w:r>
          </w:p>
        </w:tc>
        <w:tc>
          <w:tcPr>
            <w:tcW w:type="dxa" w:w="4050"/>
            <w:tcMar>
              <w:top w:type="dxa" w:w="100"/>
              <w:left w:type="dxa" w:w="120"/>
              <w:bottom w:type="dxa" w:w="100"/>
              <w:right w:type="dxa" w:w="120"/>
            </w:tcMar>
          </w:tcPr>
          <w:p>
            <w:r>
              <w:rPr>
                <w:rFonts w:ascii="Calibri" w:cs="Calibri" w:eastAsia="Calibri" w:hAnsi="Calibri"/>
                <w:b w:val="false"/>
                <w:bCs w:val="false"/>
                <w:color w:val="111111"/>
                <w:sz w:val="19"/>
                <w:szCs w:val="19"/>
              </w:rPr>
              <w:t xml:space="preserve">Fine-tune base model on coding/research data; launch web assistant at Starford; first 500–1,000 active users</w:t>
            </w:r>
          </w:p>
        </w:tc>
      </w:tr>
      <w:tr>
        <w:tc>
          <w:tcPr>
            <w:tcW w:type="dxa" w:w="1600"/>
            <w:tcMar>
              <w:top w:type="dxa" w:w="100"/>
              <w:left w:type="dxa" w:w="120"/>
              <w:bottom w:type="dxa" w:w="100"/>
              <w:right w:type="dxa" w:w="120"/>
            </w:tcMar>
          </w:tcPr>
          <w:p>
            <w:r>
              <w:rPr>
                <w:rFonts w:ascii="Calibri" w:cs="Calibri" w:eastAsia="Calibri" w:hAnsi="Calibri"/>
                <w:b w:val="false"/>
                <w:bCs w:val="false"/>
                <w:color w:val="111111"/>
                <w:sz w:val="19"/>
                <w:szCs w:val="19"/>
              </w:rPr>
              <w:t xml:space="preserve">Phase 2</w:t>
            </w:r>
          </w:p>
        </w:tc>
        <w:tc>
          <w:tcPr>
            <w:tcW w:type="dxa" w:w="3700"/>
            <w:tcMar>
              <w:top w:type="dxa" w:w="100"/>
              <w:left w:type="dxa" w:w="120"/>
              <w:bottom w:type="dxa" w:w="100"/>
              <w:right w:type="dxa" w:w="120"/>
            </w:tcMar>
          </w:tcPr>
          <w:p>
            <w:r>
              <w:rPr>
                <w:rFonts w:ascii="Calibri" w:cs="Calibri" w:eastAsia="Calibri" w:hAnsi="Calibri"/>
                <w:b w:val="false"/>
                <w:bCs w:val="false"/>
                <w:color w:val="111111"/>
                <w:sz w:val="19"/>
                <w:szCs w:val="19"/>
              </w:rPr>
              <w:t xml:space="preserve">Regional expansion</w:t>
            </w:r>
          </w:p>
        </w:tc>
        <w:tc>
          <w:tcPr>
            <w:tcW w:type="dxa" w:w="4050"/>
            <w:tcMar>
              <w:top w:type="dxa" w:w="100"/>
              <w:left w:type="dxa" w:w="120"/>
              <w:bottom w:type="dxa" w:w="100"/>
              <w:right w:type="dxa" w:w="120"/>
            </w:tcMar>
          </w:tcPr>
          <w:p>
            <w:r>
              <w:rPr>
                <w:rFonts w:ascii="Calibri" w:cs="Calibri" w:eastAsia="Calibri" w:hAnsi="Calibri"/>
                <w:b w:val="false"/>
                <w:bCs w:val="false"/>
                <w:color w:val="111111"/>
                <w:sz w:val="19"/>
                <w:szCs w:val="19"/>
              </w:rPr>
              <w:t xml:space="preserve">Institutional licensing with additional universities and NGOs; expand across East Africa; introduce WhatsApp access point</w:t>
            </w:r>
          </w:p>
        </w:tc>
      </w:tr>
      <w:tr>
        <w:tc>
          <w:tcPr>
            <w:tcW w:type="dxa" w:w="1600"/>
            <w:tcMar>
              <w:top w:type="dxa" w:w="100"/>
              <w:left w:type="dxa" w:w="120"/>
              <w:bottom w:type="dxa" w:w="100"/>
              <w:right w:type="dxa" w:w="120"/>
            </w:tcMar>
          </w:tcPr>
          <w:p>
            <w:r>
              <w:rPr>
                <w:rFonts w:ascii="Calibri" w:cs="Calibri" w:eastAsia="Calibri" w:hAnsi="Calibri"/>
                <w:b w:val="false"/>
                <w:bCs w:val="false"/>
                <w:color w:val="111111"/>
                <w:sz w:val="19"/>
                <w:szCs w:val="19"/>
              </w:rPr>
              <w:t xml:space="preserve">Phase 3</w:t>
            </w:r>
          </w:p>
        </w:tc>
        <w:tc>
          <w:tcPr>
            <w:tcW w:type="dxa" w:w="3700"/>
            <w:tcMar>
              <w:top w:type="dxa" w:w="100"/>
              <w:left w:type="dxa" w:w="120"/>
              <w:bottom w:type="dxa" w:w="100"/>
              <w:right w:type="dxa" w:w="120"/>
            </w:tcMar>
          </w:tcPr>
          <w:p>
            <w:r>
              <w:rPr>
                <w:rFonts w:ascii="Calibri" w:cs="Calibri" w:eastAsia="Calibri" w:hAnsi="Calibri"/>
                <w:b w:val="false"/>
                <w:bCs w:val="false"/>
                <w:color w:val="111111"/>
                <w:sz w:val="19"/>
                <w:szCs w:val="19"/>
              </w:rPr>
              <w:t xml:space="preserve">Infrastructure &amp; foundation model research</w:t>
            </w:r>
          </w:p>
        </w:tc>
        <w:tc>
          <w:tcPr>
            <w:tcW w:type="dxa" w:w="4050"/>
            <w:tcMar>
              <w:top w:type="dxa" w:w="100"/>
              <w:left w:type="dxa" w:w="120"/>
              <w:bottom w:type="dxa" w:w="100"/>
              <w:right w:type="dxa" w:w="120"/>
            </w:tcMar>
          </w:tcPr>
          <w:p>
            <w:r>
              <w:rPr>
                <w:rFonts w:ascii="Calibri" w:cs="Calibri" w:eastAsia="Calibri" w:hAnsi="Calibri"/>
                <w:b w:val="false"/>
                <w:bCs w:val="false"/>
                <w:color w:val="111111"/>
                <w:sz w:val="19"/>
                <w:szCs w:val="19"/>
              </w:rPr>
              <w:t xml:space="preserve">API/compute access for regional builders; resume from-scratch foundation-model research with real usage data and funding</w:t>
            </w:r>
          </w:p>
        </w:tc>
      </w:tr>
    </w:tbl>
    <w:p>
      <w:pPr>
        <w:spacing w:before="200"/>
      </w:pPr>
    </w:p>
    <w:p>
      <w:pPr>
        <w:pStyle w:val="Heading1"/>
        <w:pBdr>
          <w:bottom w:val="single" w:color="111111" w:sz="4" w:space="4"/>
        </w:pBdr>
        <w:spacing w:after="200" w:before="400"/>
      </w:pPr>
      <w:r>
        <w:rPr>
          <w:rFonts w:ascii="Calibri" w:cs="Calibri" w:eastAsia="Calibri" w:hAnsi="Calibri"/>
          <w:b/>
          <w:bCs/>
          <w:color w:val="111111"/>
          <w:sz w:val="30"/>
          <w:szCs w:val="30"/>
        </w:rPr>
        <w:t xml:space="preserve">11. Financial Overview &amp; Ask</w:t>
      </w:r>
    </w:p>
    <w:p>
      <w:pPr>
        <w:spacing w:after="160" w:line="276"/>
      </w:pPr>
      <w:r>
        <w:rPr>
          <w:rFonts w:ascii="Calibri" w:cs="Calibri" w:eastAsia="Calibri" w:hAnsi="Calibri"/>
          <w:i/>
          <w:iCs/>
          <w:color w:val="555555"/>
          <w:sz w:val="21"/>
          <w:szCs w:val="21"/>
        </w:rPr>
        <w:t xml:space="preserve">The figures below are an initial framework for planning and investor conversations, not final projections — they should be refined with real cost data (compute, hosting, salaries) before being presented externally.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11111" w:val="clear"/>
            <w:tcMar>
              <w:top w:type="dxa" w:w="100"/>
              <w:left w:type="dxa" w:w="120"/>
              <w:bottom w:type="dxa" w:w="100"/>
              <w:right w:type="dxa" w:w="120"/>
            </w:tcMar>
          </w:tcPr>
          <w:p>
            <w:r>
              <w:rPr>
                <w:rFonts w:ascii="Calibri" w:cs="Calibri" w:eastAsia="Calibri" w:hAnsi="Calibri"/>
                <w:b/>
                <w:bCs/>
                <w:color w:val="FFFFFF"/>
                <w:sz w:val="19"/>
                <w:szCs w:val="19"/>
              </w:rPr>
              <w:t xml:space="preserve">Use of funds</w:t>
            </w:r>
          </w:p>
        </w:tc>
        <w:tc>
          <w:tcPr>
            <w:tcW w:type="dxa" w:w="4675"/>
            <w:shd w:fill="111111" w:val="clear"/>
            <w:tcMar>
              <w:top w:type="dxa" w:w="100"/>
              <w:left w:type="dxa" w:w="120"/>
              <w:bottom w:type="dxa" w:w="100"/>
              <w:right w:type="dxa" w:w="120"/>
            </w:tcMar>
          </w:tcPr>
          <w:p>
            <w:r>
              <w:rPr>
                <w:rFonts w:ascii="Calibri" w:cs="Calibri" w:eastAsia="Calibri" w:hAnsi="Calibri"/>
                <w:b/>
                <w:bCs/>
                <w:color w:val="FFFFFF"/>
                <w:sz w:val="19"/>
                <w:szCs w:val="19"/>
              </w:rPr>
              <w:t xml:space="preserve">Illustrative allocation</w:t>
            </w:r>
          </w:p>
        </w:tc>
      </w:tr>
      <w:tr>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Compute (fine-tuning, inference hosting)</w:t>
            </w:r>
          </w:p>
        </w:tc>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~35%</w:t>
            </w:r>
          </w:p>
        </w:tc>
      </w:tr>
      <w:tr>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Product &amp; engineering (core team)</w:t>
            </w:r>
          </w:p>
        </w:tc>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~30%</w:t>
            </w:r>
          </w:p>
        </w:tc>
      </w:tr>
      <w:tr>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Go-to-market (campus partnerships, community programs)</w:t>
            </w:r>
          </w:p>
        </w:tc>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~20%</w:t>
            </w:r>
          </w:p>
        </w:tc>
      </w:tr>
      <w:tr>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Operations &amp; legal (registration, compliance, admin)</w:t>
            </w:r>
          </w:p>
        </w:tc>
        <w:tc>
          <w:tcPr>
            <w:tcW w:type="dxa" w:w="4675"/>
            <w:tcMar>
              <w:top w:type="dxa" w:w="100"/>
              <w:left w:type="dxa" w:w="120"/>
              <w:bottom w:type="dxa" w:w="100"/>
              <w:right w:type="dxa" w:w="120"/>
            </w:tcMar>
          </w:tcPr>
          <w:p>
            <w:r>
              <w:rPr>
                <w:rFonts w:ascii="Calibri" w:cs="Calibri" w:eastAsia="Calibri" w:hAnsi="Calibri"/>
                <w:b w:val="false"/>
                <w:bCs w:val="false"/>
                <w:color w:val="111111"/>
                <w:sz w:val="19"/>
                <w:szCs w:val="19"/>
              </w:rPr>
              <w:t xml:space="preserve">~15%</w:t>
            </w:r>
          </w:p>
        </w:tc>
      </w:tr>
    </w:tbl>
    <w:p>
      <w:pPr>
        <w:spacing w:after="160" w:before="200"/>
      </w:pPr>
      <w:r>
        <w:rPr>
          <w:rFonts w:ascii="Calibri" w:cs="Calibri" w:eastAsia="Calibri" w:hAnsi="Calibri"/>
          <w:b/>
          <w:bCs/>
          <w:color w:val="111111"/>
          <w:sz w:val="21"/>
          <w:szCs w:val="21"/>
        </w:rPr>
        <w:t xml:space="preserve">Recommended next step: </w:t>
      </w:r>
      <w:r>
        <w:rPr>
          <w:rFonts w:ascii="Calibri" w:cs="Calibri" w:eastAsia="Calibri" w:hAnsi="Calibri"/>
          <w:color w:val="111111"/>
          <w:sz w:val="21"/>
          <w:szCs w:val="21"/>
        </w:rPr>
        <w:t xml:space="preserve">build a bottom-up 12–18 month budget (compute costs from actual provider quotes, salaries at South Sudan/regional market rates, and a realistic user-growth model) before finalizing a specific funding ask amount.</w:t>
      </w:r>
    </w:p>
    <w:p>
      <w:pPr>
        <w:pStyle w:val="Heading1"/>
        <w:pBdr>
          <w:bottom w:val="single" w:color="111111" w:sz="4" w:space="4"/>
        </w:pBdr>
        <w:spacing w:after="200" w:before="400"/>
      </w:pPr>
      <w:r>
        <w:rPr>
          <w:rFonts w:ascii="Calibri" w:cs="Calibri" w:eastAsia="Calibri" w:hAnsi="Calibri"/>
          <w:b/>
          <w:bCs/>
          <w:color w:val="111111"/>
          <w:sz w:val="30"/>
          <w:szCs w:val="30"/>
        </w:rPr>
        <w:t xml:space="preserve">12. Legal &amp; Launch Requirements — South Sudan</w:t>
      </w:r>
    </w:p>
    <w:p>
      <w:pPr>
        <w:spacing w:after="160" w:line="276"/>
      </w:pPr>
      <w:r>
        <w:rPr>
          <w:rFonts w:ascii="Calibri" w:cs="Calibri" w:eastAsia="Calibri" w:hAnsi="Calibri"/>
          <w:i/>
          <w:iCs/>
          <w:color w:val="555555"/>
          <w:sz w:val="21"/>
          <w:szCs w:val="21"/>
        </w:rPr>
        <w:t xml:space="preserve">Summary of the formal steps to establish and operate an AI startup in South Sudan. This is a planning reference, not legal advice — confirm current procedure and fees with a South Sudanese corporate lawyer before filing.</w:t>
      </w:r>
    </w:p>
    <w:p>
      <w:pPr>
        <w:pStyle w:val="Heading2"/>
        <w:spacing w:after="120" w:before="260"/>
      </w:pPr>
      <w:r>
        <w:rPr>
          <w:rFonts w:ascii="Calibri" w:cs="Calibri" w:eastAsia="Calibri" w:hAnsi="Calibri"/>
          <w:b/>
          <w:bCs/>
          <w:color w:val="111111"/>
          <w:sz w:val="24"/>
          <w:szCs w:val="24"/>
        </w:rPr>
        <w:t xml:space="preserve">12.1 Company registration</w:t>
      </w:r>
    </w:p>
    <w:p>
      <w:pPr>
        <w:pStyle w:val="ListParagraph"/>
        <w:numPr>
          <w:ilvl w:val="0"/>
          <w:numId w:val="2"/>
        </w:numPr>
        <w:spacing w:after="90"/>
      </w:pPr>
      <w:r>
        <w:rPr>
          <w:rFonts w:ascii="Calibri" w:cs="Calibri" w:eastAsia="Calibri" w:hAnsi="Calibri"/>
          <w:color w:val="111111"/>
          <w:sz w:val="21"/>
          <w:szCs w:val="21"/>
        </w:rPr>
        <w:t xml:space="preserve">Governed by the Companies Act, 2012, administered by the Business Registry at the Ministry of Justice and Constitutional Affairs.</w:t>
      </w:r>
    </w:p>
    <w:p>
      <w:pPr>
        <w:pStyle w:val="ListParagraph"/>
        <w:numPr>
          <w:ilvl w:val="0"/>
          <w:numId w:val="2"/>
        </w:numPr>
        <w:spacing w:after="90"/>
      </w:pPr>
      <w:r>
        <w:rPr>
          <w:rFonts w:ascii="Calibri" w:cs="Calibri" w:eastAsia="Calibri" w:hAnsi="Calibri"/>
          <w:color w:val="111111"/>
          <w:sz w:val="21"/>
          <w:szCs w:val="21"/>
        </w:rPr>
        <w:t xml:space="preserve">Step 1: Reserve the company name at the Business Registry.</w:t>
      </w:r>
    </w:p>
    <w:p>
      <w:pPr>
        <w:pStyle w:val="ListParagraph"/>
        <w:numPr>
          <w:ilvl w:val="0"/>
          <w:numId w:val="2"/>
        </w:numPr>
        <w:spacing w:after="90"/>
      </w:pPr>
      <w:r>
        <w:rPr>
          <w:rFonts w:ascii="Calibri" w:cs="Calibri" w:eastAsia="Calibri" w:hAnsi="Calibri"/>
          <w:color w:val="111111"/>
          <w:sz w:val="21"/>
          <w:szCs w:val="21"/>
        </w:rPr>
        <w:t xml:space="preserve">Step 2: Prepare constitutional documents — Memorandum and Articles of Association, identification documents for all directors/shareholders (minimum two of each), and any required board resolutions.</w:t>
      </w:r>
    </w:p>
    <w:p>
      <w:pPr>
        <w:pStyle w:val="ListParagraph"/>
        <w:numPr>
          <w:ilvl w:val="0"/>
          <w:numId w:val="2"/>
        </w:numPr>
        <w:spacing w:after="90"/>
      </w:pPr>
      <w:r>
        <w:rPr>
          <w:rFonts w:ascii="Calibri" w:cs="Calibri" w:eastAsia="Calibri" w:hAnsi="Calibri"/>
          <w:color w:val="111111"/>
          <w:sz w:val="21"/>
          <w:szCs w:val="21"/>
        </w:rPr>
        <w:t xml:space="preserve">Step 3: Submit documents to the Business Registry; if approved, receive a Certificate of Incorporation.</w:t>
      </w:r>
    </w:p>
    <w:p>
      <w:pPr>
        <w:pStyle w:val="ListParagraph"/>
        <w:numPr>
          <w:ilvl w:val="0"/>
          <w:numId w:val="2"/>
        </w:numPr>
        <w:spacing w:after="90"/>
      </w:pPr>
      <w:r>
        <w:rPr>
          <w:rFonts w:ascii="Calibri" w:cs="Calibri" w:eastAsia="Calibri" w:hAnsi="Calibri"/>
          <w:color w:val="111111"/>
          <w:sz w:val="21"/>
          <w:szCs w:val="21"/>
        </w:rPr>
        <w:t xml:space="preserve">Most private technology companies register as a private company limited by shares.</w:t>
      </w:r>
    </w:p>
    <w:p>
      <w:pPr>
        <w:pStyle w:val="Heading2"/>
        <w:spacing w:after="120" w:before="260"/>
      </w:pPr>
      <w:r>
        <w:rPr>
          <w:rFonts w:ascii="Calibri" w:cs="Calibri" w:eastAsia="Calibri" w:hAnsi="Calibri"/>
          <w:b/>
          <w:bCs/>
          <w:color w:val="111111"/>
          <w:sz w:val="24"/>
          <w:szCs w:val="24"/>
        </w:rPr>
        <w:t xml:space="preserve">12.2 Tax registration</w:t>
      </w:r>
    </w:p>
    <w:p>
      <w:pPr>
        <w:pStyle w:val="ListParagraph"/>
        <w:numPr>
          <w:ilvl w:val="0"/>
          <w:numId w:val="2"/>
        </w:numPr>
        <w:spacing w:after="90"/>
      </w:pPr>
      <w:r>
        <w:rPr>
          <w:rFonts w:ascii="Calibri" w:cs="Calibri" w:eastAsia="Calibri" w:hAnsi="Calibri"/>
          <w:color w:val="111111"/>
          <w:sz w:val="21"/>
          <w:szCs w:val="21"/>
        </w:rPr>
        <w:t xml:space="preserve">Register with the South Sudan Revenue Authority (formerly National Revenue Authority) for a Taxpayer Identification Number (TIN), obtainable at incorporation.</w:t>
      </w:r>
    </w:p>
    <w:p>
      <w:pPr>
        <w:pStyle w:val="ListParagraph"/>
        <w:numPr>
          <w:ilvl w:val="0"/>
          <w:numId w:val="2"/>
        </w:numPr>
        <w:spacing w:after="90"/>
      </w:pPr>
      <w:r>
        <w:rPr>
          <w:rFonts w:ascii="Calibri" w:cs="Calibri" w:eastAsia="Calibri" w:hAnsi="Calibri"/>
          <w:color w:val="111111"/>
          <w:sz w:val="21"/>
          <w:szCs w:val="21"/>
        </w:rPr>
        <w:t xml:space="preserve">Governed by the Taxation Act, 2009. Dividends, interest, and royalties are subject to a 10% withholding tax; liberal depreciation rules apply to equipment and other assets.</w:t>
      </w:r>
    </w:p>
    <w:p>
      <w:pPr>
        <w:pStyle w:val="Heading2"/>
        <w:spacing w:after="120" w:before="260"/>
      </w:pPr>
      <w:r>
        <w:rPr>
          <w:rFonts w:ascii="Calibri" w:cs="Calibri" w:eastAsia="Calibri" w:hAnsi="Calibri"/>
          <w:b/>
          <w:bCs/>
          <w:color w:val="111111"/>
          <w:sz w:val="24"/>
          <w:szCs w:val="24"/>
        </w:rPr>
        <w:t xml:space="preserve">12.3 Operating licenses</w:t>
      </w:r>
    </w:p>
    <w:p>
      <w:pPr>
        <w:pStyle w:val="ListParagraph"/>
        <w:numPr>
          <w:ilvl w:val="0"/>
          <w:numId w:val="2"/>
        </w:numPr>
        <w:spacing w:after="90"/>
      </w:pPr>
      <w:r>
        <w:rPr>
          <w:rFonts w:ascii="Calibri" w:cs="Calibri" w:eastAsia="Calibri" w:hAnsi="Calibri"/>
          <w:color w:val="111111"/>
          <w:sz w:val="21"/>
          <w:szCs w:val="21"/>
        </w:rPr>
        <w:t xml:space="preserve">Obtain an Operation License from the relevant state/local Ministry of Trade (e.g. Central Equatoria State for a Juba-based operation) — required by banks, government institutions, and many enterprise/NGO clients as proof of legal operation.</w:t>
      </w:r>
    </w:p>
    <w:p>
      <w:pPr>
        <w:pStyle w:val="ListParagraph"/>
        <w:numPr>
          <w:ilvl w:val="0"/>
          <w:numId w:val="2"/>
        </w:numPr>
        <w:spacing w:after="90"/>
      </w:pPr>
      <w:r>
        <w:rPr>
          <w:rFonts w:ascii="Calibri" w:cs="Calibri" w:eastAsia="Calibri" w:hAnsi="Calibri"/>
          <w:color w:val="111111"/>
          <w:sz w:val="21"/>
          <w:szCs w:val="21"/>
        </w:rPr>
        <w:t xml:space="preserve">Obtain Chamber of Commerce membership — commonly requested for vendor registration, tender submissions, and bank account opening.</w:t>
      </w:r>
    </w:p>
    <w:p>
      <w:pPr>
        <w:pStyle w:val="Heading2"/>
        <w:spacing w:after="120" w:before="260"/>
      </w:pPr>
      <w:r>
        <w:rPr>
          <w:rFonts w:ascii="Calibri" w:cs="Calibri" w:eastAsia="Calibri" w:hAnsi="Calibri"/>
          <w:b/>
          <w:bCs/>
          <w:color w:val="111111"/>
          <w:sz w:val="24"/>
          <w:szCs w:val="24"/>
        </w:rPr>
        <w:t xml:space="preserve">12.4 Investment incentives (if seeking foreign investment or formal investor backing)</w:t>
      </w:r>
    </w:p>
    <w:p>
      <w:pPr>
        <w:pStyle w:val="ListParagraph"/>
        <w:numPr>
          <w:ilvl w:val="0"/>
          <w:numId w:val="2"/>
        </w:numPr>
        <w:spacing w:after="90"/>
      </w:pPr>
      <w:r>
        <w:rPr>
          <w:rFonts w:ascii="Calibri" w:cs="Calibri" w:eastAsia="Calibri" w:hAnsi="Calibri"/>
          <w:color w:val="111111"/>
          <w:sz w:val="21"/>
          <w:szCs w:val="21"/>
        </w:rPr>
        <w:t xml:space="preserve">The South Sudan Investment Authority (SSIA) administers the Investment Promotion Act, 2009, which provides for investment certificates and tax/duty incentives for qualifying investments, including special incentives for projects designated “strategic or transformational” — a category an AI/education-technology venture may be able to apply under.</w:t>
      </w:r>
    </w:p>
    <w:p>
      <w:pPr>
        <w:pStyle w:val="ListParagraph"/>
        <w:numPr>
          <w:ilvl w:val="0"/>
          <w:numId w:val="2"/>
        </w:numPr>
        <w:spacing w:after="90"/>
      </w:pPr>
      <w:r>
        <w:rPr>
          <w:rFonts w:ascii="Calibri" w:cs="Calibri" w:eastAsia="Calibri" w:hAnsi="Calibri"/>
          <w:color w:val="111111"/>
          <w:sz w:val="21"/>
          <w:szCs w:val="21"/>
        </w:rPr>
        <w:t xml:space="preserve">Incentives under the Act include tax deductions of 20–100% of qualifying research and capital expenditure and depreciation incentives of 8–10% on certain assets, though the guide notes that in practice enforcement of these provisions is inconsistent — confirm current administration with SSIA directly.</w:t>
      </w:r>
    </w:p>
    <w:p>
      <w:pPr>
        <w:pStyle w:val="Heading2"/>
        <w:spacing w:after="120" w:before="260"/>
      </w:pPr>
      <w:r>
        <w:rPr>
          <w:rFonts w:ascii="Calibri" w:cs="Calibri" w:eastAsia="Calibri" w:hAnsi="Calibri"/>
          <w:b/>
          <w:bCs/>
          <w:color w:val="111111"/>
          <w:sz w:val="24"/>
          <w:szCs w:val="24"/>
        </w:rPr>
        <w:t xml:space="preserve">12.5 Banking &amp; payments</w:t>
      </w:r>
    </w:p>
    <w:p>
      <w:pPr>
        <w:pStyle w:val="ListParagraph"/>
        <w:numPr>
          <w:ilvl w:val="0"/>
          <w:numId w:val="2"/>
        </w:numPr>
        <w:spacing w:after="90"/>
      </w:pPr>
      <w:r>
        <w:rPr>
          <w:rFonts w:ascii="Calibri" w:cs="Calibri" w:eastAsia="Calibri" w:hAnsi="Calibri"/>
          <w:color w:val="111111"/>
          <w:sz w:val="21"/>
          <w:szCs w:val="21"/>
        </w:rPr>
        <w:t xml:space="preserve">Open a corporate bank account (requires the Certificate of Incorporation, Operation License, and TIN).</w:t>
      </w:r>
    </w:p>
    <w:p>
      <w:pPr>
        <w:pStyle w:val="ListParagraph"/>
        <w:numPr>
          <w:ilvl w:val="0"/>
          <w:numId w:val="2"/>
        </w:numPr>
        <w:spacing w:after="90"/>
      </w:pPr>
      <w:r>
        <w:rPr>
          <w:rFonts w:ascii="Calibri" w:cs="Calibri" w:eastAsia="Calibri" w:hAnsi="Calibri"/>
          <w:color w:val="111111"/>
          <w:sz w:val="21"/>
          <w:szCs w:val="21"/>
        </w:rPr>
        <w:t xml:space="preserve">Given the founder's existing work on Dala/Sanadi Pay, banking-rail and mobile-money integration experience (e.g. MTN MoMo, Afriland First Bank) is already in place and can be reused for handling subscription payments domestically.</w:t>
      </w:r>
    </w:p>
    <w:p>
      <w:pPr>
        <w:pStyle w:val="Heading2"/>
        <w:spacing w:after="120" w:before="260"/>
      </w:pPr>
      <w:r>
        <w:rPr>
          <w:rFonts w:ascii="Calibri" w:cs="Calibri" w:eastAsia="Calibri" w:hAnsi="Calibri"/>
          <w:b/>
          <w:bCs/>
          <w:color w:val="111111"/>
          <w:sz w:val="24"/>
          <w:szCs w:val="24"/>
        </w:rPr>
        <w:t xml:space="preserve">12.6 Practical recommendation</w:t>
      </w:r>
    </w:p>
    <w:p>
      <w:pPr>
        <w:spacing w:after="160" w:line="276"/>
      </w:pPr>
      <w:r>
        <w:rPr>
          <w:rFonts w:ascii="Calibri" w:cs="Calibri" w:eastAsia="Calibri" w:hAnsi="Calibri"/>
          <w:color w:val="111111"/>
          <w:sz w:val="21"/>
          <w:szCs w:val="21"/>
        </w:rPr>
        <w:t xml:space="preserve">Engage a South Sudanese corporate/commercial lawyer early (several firms in Juba, including Legalline Law Chambers, specialize in this process) to confirm current fees, processing times, and any sector-specific requirements for AI/software companies, since public guidance is general and processes can change.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2026-08-25T09:24:55.277Z</dcterms:created>
  <dcterms:modified xsi:type="dcterms:W3CDTF">2026-08-25T09:24:55.277Z</dcterms:modified>
</cp:coreProperties>
</file>

<file path=docProps/custom.xml><?xml version="1.0" encoding="utf-8"?>
<Properties xmlns="http://schemas.openxmlformats.org/officeDocument/2006/custom-properties" xmlns:vt="http://schemas.openxmlformats.org/officeDocument/2006/docPropsVTypes"/>
</file>