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ADD3E" w14:textId="77777777" w:rsidR="003C0B25" w:rsidRPr="003C0B25" w:rsidRDefault="003C0B25" w:rsidP="00CF2A51">
      <w:pPr>
        <w:adjustRightInd w:val="0"/>
        <w:contextualSpacing/>
        <w:jc w:val="both"/>
        <w:rPr>
          <w:rFonts w:ascii="Arial" w:hAnsi="Arial" w:cs="Arial"/>
          <w:b/>
          <w:sz w:val="22"/>
          <w:szCs w:val="22"/>
        </w:rPr>
      </w:pPr>
    </w:p>
    <w:p w14:paraId="76B664F8" w14:textId="77777777" w:rsidR="003C0B25" w:rsidRPr="003C0B25" w:rsidRDefault="003C0B25" w:rsidP="00CF2A51">
      <w:pPr>
        <w:adjustRightInd w:val="0"/>
        <w:contextualSpacing/>
        <w:jc w:val="both"/>
        <w:rPr>
          <w:rFonts w:ascii="Arial" w:hAnsi="Arial" w:cs="Arial"/>
          <w:b/>
          <w:sz w:val="22"/>
          <w:szCs w:val="22"/>
        </w:rPr>
      </w:pPr>
    </w:p>
    <w:p w14:paraId="7514808A" w14:textId="77777777" w:rsidR="003C0B25" w:rsidRPr="003C04D4" w:rsidRDefault="003C0B25" w:rsidP="00CF2A51">
      <w:pPr>
        <w:adjustRightInd w:val="0"/>
        <w:contextualSpacing/>
        <w:jc w:val="center"/>
        <w:rPr>
          <w:rFonts w:ascii="Arial" w:hAnsi="Arial" w:cs="Arial"/>
          <w:b/>
          <w:bCs/>
          <w:sz w:val="32"/>
          <w:szCs w:val="32"/>
        </w:rPr>
      </w:pPr>
      <w:r>
        <w:rPr>
          <w:rFonts w:ascii="Arial" w:hAnsi="Arial" w:cs="Arial"/>
          <w:b/>
          <w:bCs/>
          <w:sz w:val="32"/>
          <w:szCs w:val="32"/>
        </w:rPr>
        <w:t>Proximal charge effects on guest binding to a non-polar pocket</w:t>
      </w:r>
      <w:r w:rsidRPr="001C3DB3">
        <w:rPr>
          <w:rFonts w:ascii="Arial" w:hAnsi="Arial" w:cs="Arial"/>
          <w:sz w:val="32"/>
          <w:szCs w:val="32"/>
          <w:vertAlign w:val="superscript"/>
        </w:rPr>
        <w:t>† ‡</w:t>
      </w:r>
    </w:p>
    <w:p w14:paraId="2E942BF0" w14:textId="77777777" w:rsidR="003C0B25" w:rsidRPr="007D4111" w:rsidRDefault="003C0B25" w:rsidP="00CF2A51">
      <w:pPr>
        <w:adjustRightInd w:val="0"/>
        <w:contextualSpacing/>
        <w:rPr>
          <w:rFonts w:ascii="Arial" w:hAnsi="Arial" w:cs="Arial"/>
          <w:sz w:val="22"/>
          <w:szCs w:val="22"/>
        </w:rPr>
      </w:pPr>
    </w:p>
    <w:p w14:paraId="53B7D9A5" w14:textId="77777777" w:rsidR="003C0B25" w:rsidRDefault="003C0B25" w:rsidP="00CF2A51">
      <w:pPr>
        <w:adjustRightInd w:val="0"/>
        <w:contextualSpacing/>
        <w:jc w:val="center"/>
        <w:rPr>
          <w:rFonts w:ascii="Arial" w:hAnsi="Arial" w:cs="Arial"/>
          <w:sz w:val="22"/>
          <w:szCs w:val="22"/>
        </w:rPr>
      </w:pPr>
    </w:p>
    <w:p w14:paraId="05666F22" w14:textId="689FC0E4" w:rsidR="003C0B25" w:rsidRPr="007D4111" w:rsidRDefault="003C0B25" w:rsidP="00CF2A51">
      <w:pPr>
        <w:adjustRightInd w:val="0"/>
        <w:contextualSpacing/>
        <w:jc w:val="center"/>
        <w:rPr>
          <w:rFonts w:ascii="Arial" w:hAnsi="Arial" w:cs="Arial"/>
          <w:sz w:val="22"/>
          <w:szCs w:val="22"/>
        </w:rPr>
      </w:pPr>
      <w:r w:rsidRPr="007D4111">
        <w:rPr>
          <w:rFonts w:ascii="Arial" w:hAnsi="Arial" w:cs="Arial"/>
          <w:sz w:val="22"/>
          <w:szCs w:val="22"/>
        </w:rPr>
        <w:t>Paolo Suating,</w:t>
      </w:r>
      <w:r w:rsidRPr="003C04D4">
        <w:rPr>
          <w:rFonts w:ascii="Arial" w:hAnsi="Arial" w:cs="Arial"/>
          <w:sz w:val="22"/>
          <w:szCs w:val="22"/>
          <w:vertAlign w:val="superscript"/>
        </w:rPr>
        <w:t>1</w:t>
      </w:r>
      <w:r w:rsidRPr="007D4111">
        <w:rPr>
          <w:rFonts w:ascii="Arial" w:hAnsi="Arial" w:cs="Arial"/>
          <w:sz w:val="22"/>
          <w:szCs w:val="22"/>
        </w:rPr>
        <w:t xml:space="preserve"> </w:t>
      </w:r>
      <w:r>
        <w:rPr>
          <w:rFonts w:ascii="Arial" w:hAnsi="Arial" w:cs="Arial"/>
          <w:sz w:val="22"/>
          <w:szCs w:val="22"/>
        </w:rPr>
        <w:t>Thong T. Nguyen,</w:t>
      </w:r>
      <w:r>
        <w:rPr>
          <w:rFonts w:ascii="Arial" w:hAnsi="Arial" w:cs="Arial"/>
          <w:sz w:val="22"/>
          <w:szCs w:val="22"/>
          <w:vertAlign w:val="superscript"/>
        </w:rPr>
        <w:t>2</w:t>
      </w:r>
      <w:r>
        <w:rPr>
          <w:rFonts w:ascii="Arial" w:hAnsi="Arial" w:cs="Arial"/>
          <w:sz w:val="22"/>
          <w:szCs w:val="22"/>
        </w:rPr>
        <w:t xml:space="preserve"> </w:t>
      </w:r>
      <w:r w:rsidRPr="007D4111">
        <w:rPr>
          <w:rFonts w:ascii="Arial" w:hAnsi="Arial" w:cs="Arial"/>
          <w:sz w:val="22"/>
          <w:szCs w:val="22"/>
        </w:rPr>
        <w:t>Nicholas E. Ernst,</w:t>
      </w:r>
      <w:r w:rsidRPr="003C04D4">
        <w:rPr>
          <w:rFonts w:ascii="Arial" w:hAnsi="Arial" w:cs="Arial"/>
          <w:sz w:val="22"/>
          <w:szCs w:val="22"/>
          <w:vertAlign w:val="superscript"/>
        </w:rPr>
        <w:t>1</w:t>
      </w:r>
      <w:r w:rsidRPr="007D4111">
        <w:rPr>
          <w:rFonts w:ascii="Arial" w:hAnsi="Arial" w:cs="Arial"/>
          <w:sz w:val="22"/>
          <w:szCs w:val="22"/>
        </w:rPr>
        <w:t xml:space="preserve"> </w:t>
      </w:r>
      <w:r>
        <w:rPr>
          <w:rFonts w:ascii="Arial" w:hAnsi="Arial" w:cs="Arial"/>
          <w:sz w:val="22"/>
          <w:szCs w:val="22"/>
        </w:rPr>
        <w:t>Wang, Y.,</w:t>
      </w:r>
      <w:r w:rsidRPr="00B8699B">
        <w:rPr>
          <w:rFonts w:ascii="Arial" w:hAnsi="Arial" w:cs="Arial"/>
          <w:sz w:val="22"/>
          <w:szCs w:val="22"/>
          <w:vertAlign w:val="superscript"/>
        </w:rPr>
        <w:t xml:space="preserve"> </w:t>
      </w:r>
      <w:r>
        <w:rPr>
          <w:rFonts w:ascii="Arial" w:hAnsi="Arial" w:cs="Arial"/>
          <w:sz w:val="22"/>
          <w:szCs w:val="22"/>
          <w:vertAlign w:val="superscript"/>
        </w:rPr>
        <w:t>3</w:t>
      </w:r>
      <w:r>
        <w:rPr>
          <w:rFonts w:ascii="Arial" w:hAnsi="Arial" w:cs="Arial"/>
          <w:sz w:val="22"/>
          <w:szCs w:val="22"/>
        </w:rPr>
        <w:t xml:space="preserve"> Jacobs H. Jordan,</w:t>
      </w:r>
      <w:r>
        <w:rPr>
          <w:rFonts w:ascii="Arial" w:hAnsi="Arial" w:cs="Arial"/>
          <w:sz w:val="22"/>
          <w:szCs w:val="22"/>
          <w:vertAlign w:val="superscript"/>
        </w:rPr>
        <w:t>4</w:t>
      </w:r>
      <w:r>
        <w:rPr>
          <w:rFonts w:ascii="Arial" w:hAnsi="Arial" w:cs="Arial"/>
          <w:sz w:val="22"/>
          <w:szCs w:val="22"/>
        </w:rPr>
        <w:t xml:space="preserve"> Corinne L.D. Gibb,</w:t>
      </w:r>
      <w:r>
        <w:rPr>
          <w:rFonts w:ascii="Arial" w:hAnsi="Arial" w:cs="Arial"/>
          <w:sz w:val="22"/>
          <w:szCs w:val="22"/>
          <w:vertAlign w:val="superscript"/>
        </w:rPr>
        <w:t>1</w:t>
      </w:r>
      <w:r>
        <w:rPr>
          <w:rFonts w:ascii="Arial" w:hAnsi="Arial" w:cs="Arial"/>
          <w:sz w:val="22"/>
          <w:szCs w:val="22"/>
        </w:rPr>
        <w:t xml:space="preserve"> Henry S Ashbaugh,</w:t>
      </w:r>
      <w:r>
        <w:rPr>
          <w:rFonts w:ascii="Arial" w:hAnsi="Arial" w:cs="Arial"/>
          <w:sz w:val="22"/>
          <w:szCs w:val="22"/>
          <w:vertAlign w:val="superscript"/>
        </w:rPr>
        <w:t>3</w:t>
      </w:r>
      <w:r>
        <w:rPr>
          <w:rFonts w:ascii="Arial" w:hAnsi="Arial" w:cs="Arial"/>
          <w:sz w:val="22"/>
          <w:szCs w:val="22"/>
        </w:rPr>
        <w:t xml:space="preserve"> </w:t>
      </w:r>
      <w:r w:rsidRPr="007D4111">
        <w:rPr>
          <w:rFonts w:ascii="Arial" w:hAnsi="Arial" w:cs="Arial"/>
          <w:sz w:val="22"/>
          <w:szCs w:val="22"/>
        </w:rPr>
        <w:t>and Bruce C. Gibb</w:t>
      </w:r>
      <w:r w:rsidRPr="003C04D4">
        <w:rPr>
          <w:rFonts w:ascii="Arial" w:hAnsi="Arial" w:cs="Arial"/>
          <w:sz w:val="22"/>
          <w:szCs w:val="22"/>
          <w:vertAlign w:val="superscript"/>
        </w:rPr>
        <w:t>1</w:t>
      </w:r>
      <w:r w:rsidRPr="008F1056">
        <w:rPr>
          <w:rFonts w:ascii="Arial" w:hAnsi="Arial" w:cs="Arial"/>
          <w:sz w:val="22"/>
          <w:szCs w:val="22"/>
        </w:rPr>
        <w:t>*</w:t>
      </w:r>
    </w:p>
    <w:p w14:paraId="45C20FC4" w14:textId="77777777" w:rsidR="003C0B25" w:rsidRDefault="003C0B25" w:rsidP="00CF2A51">
      <w:pPr>
        <w:adjustRightInd w:val="0"/>
        <w:contextualSpacing/>
        <w:jc w:val="center"/>
        <w:rPr>
          <w:rFonts w:ascii="Arial" w:hAnsi="Arial" w:cs="Arial"/>
          <w:sz w:val="22"/>
          <w:szCs w:val="22"/>
        </w:rPr>
      </w:pPr>
    </w:p>
    <w:p w14:paraId="40E3B6AF" w14:textId="77777777" w:rsidR="003C0B25" w:rsidRPr="007D4111" w:rsidRDefault="003C0B25" w:rsidP="00CF2A51">
      <w:pPr>
        <w:adjustRightInd w:val="0"/>
        <w:contextualSpacing/>
        <w:jc w:val="center"/>
        <w:rPr>
          <w:rFonts w:ascii="Arial" w:hAnsi="Arial" w:cs="Arial"/>
          <w:sz w:val="22"/>
          <w:szCs w:val="22"/>
        </w:rPr>
      </w:pPr>
    </w:p>
    <w:p w14:paraId="7AE4214D" w14:textId="77777777" w:rsidR="003C0B25" w:rsidRPr="007D4111" w:rsidRDefault="003C0B25" w:rsidP="00CF2A51">
      <w:pPr>
        <w:adjustRightInd w:val="0"/>
        <w:contextualSpacing/>
        <w:jc w:val="center"/>
        <w:rPr>
          <w:rFonts w:ascii="Arial" w:hAnsi="Arial" w:cs="Arial"/>
          <w:sz w:val="22"/>
          <w:szCs w:val="22"/>
        </w:rPr>
      </w:pPr>
    </w:p>
    <w:p w14:paraId="4F61E7B8" w14:textId="77777777" w:rsidR="003C0B25" w:rsidRDefault="003C0B25" w:rsidP="00CF2A51">
      <w:pPr>
        <w:adjustRightInd w:val="0"/>
        <w:contextualSpacing/>
        <w:jc w:val="center"/>
        <w:rPr>
          <w:rFonts w:ascii="Arial" w:hAnsi="Arial" w:cs="Arial"/>
          <w:sz w:val="22"/>
          <w:szCs w:val="22"/>
        </w:rPr>
      </w:pPr>
      <w:r w:rsidRPr="00B85EC4">
        <w:rPr>
          <w:rFonts w:ascii="Arial" w:hAnsi="Arial" w:cs="Arial"/>
          <w:sz w:val="22"/>
          <w:szCs w:val="22"/>
          <w:vertAlign w:val="superscript"/>
        </w:rPr>
        <w:t>1</w:t>
      </w:r>
      <w:r w:rsidRPr="00B85EC4">
        <w:rPr>
          <w:rFonts w:ascii="Arial" w:hAnsi="Arial" w:cs="Arial"/>
          <w:sz w:val="22"/>
          <w:szCs w:val="22"/>
        </w:rPr>
        <w:t xml:space="preserve"> Department of Chemistry, Tulane University, New Orleans, LA 70118, USA</w:t>
      </w:r>
    </w:p>
    <w:p w14:paraId="7A035AE7" w14:textId="77777777" w:rsidR="003C0B25" w:rsidRDefault="003C0B25" w:rsidP="00CF2A51">
      <w:pPr>
        <w:adjustRightInd w:val="0"/>
        <w:contextualSpacing/>
        <w:jc w:val="center"/>
        <w:rPr>
          <w:rFonts w:ascii="Arial" w:hAnsi="Arial" w:cs="Arial"/>
          <w:sz w:val="22"/>
          <w:szCs w:val="22"/>
        </w:rPr>
      </w:pPr>
    </w:p>
    <w:p w14:paraId="6DC340AF" w14:textId="77777777" w:rsidR="003C0B25" w:rsidRDefault="003C0B25" w:rsidP="00CF2A51">
      <w:pPr>
        <w:adjustRightInd w:val="0"/>
        <w:contextualSpacing/>
        <w:jc w:val="center"/>
        <w:rPr>
          <w:rFonts w:ascii="Arial" w:hAnsi="Arial" w:cs="Arial"/>
          <w:sz w:val="22"/>
          <w:szCs w:val="22"/>
        </w:rPr>
      </w:pPr>
      <w:r w:rsidRPr="00D11C48">
        <w:rPr>
          <w:rFonts w:ascii="Arial" w:hAnsi="Arial" w:cs="Arial"/>
          <w:sz w:val="22"/>
          <w:szCs w:val="22"/>
          <w:vertAlign w:val="superscript"/>
        </w:rPr>
        <w:t xml:space="preserve">2 </w:t>
      </w:r>
      <w:r>
        <w:rPr>
          <w:rFonts w:ascii="Arial" w:hAnsi="Arial" w:cs="Arial"/>
          <w:sz w:val="22"/>
          <w:szCs w:val="22"/>
        </w:rPr>
        <w:t xml:space="preserve">Current address, </w:t>
      </w:r>
      <w:r w:rsidRPr="00D11C48">
        <w:rPr>
          <w:rFonts w:ascii="Arial" w:hAnsi="Arial" w:cs="Arial"/>
          <w:sz w:val="22"/>
          <w:szCs w:val="22"/>
        </w:rPr>
        <w:t>Winder Laboratories, LLC</w:t>
      </w:r>
      <w:r>
        <w:rPr>
          <w:rFonts w:ascii="Arial" w:hAnsi="Arial" w:cs="Arial"/>
          <w:sz w:val="22"/>
          <w:szCs w:val="22"/>
        </w:rPr>
        <w:t xml:space="preserve">, </w:t>
      </w:r>
      <w:r w:rsidRPr="00D11C48">
        <w:rPr>
          <w:rFonts w:ascii="Arial" w:hAnsi="Arial" w:cs="Arial"/>
          <w:sz w:val="22"/>
          <w:szCs w:val="22"/>
        </w:rPr>
        <w:t>716 Patrick Industrial Ln, Winder, GA 30680</w:t>
      </w:r>
      <w:r>
        <w:rPr>
          <w:rFonts w:ascii="Arial" w:hAnsi="Arial" w:cs="Arial"/>
          <w:sz w:val="22"/>
          <w:szCs w:val="22"/>
        </w:rPr>
        <w:t>, USA</w:t>
      </w:r>
    </w:p>
    <w:p w14:paraId="769561A6" w14:textId="77777777" w:rsidR="003C0B25" w:rsidRPr="00B85EC4" w:rsidRDefault="003C0B25" w:rsidP="00CF2A51">
      <w:pPr>
        <w:adjustRightInd w:val="0"/>
        <w:contextualSpacing/>
        <w:jc w:val="center"/>
        <w:rPr>
          <w:rFonts w:ascii="Arial" w:hAnsi="Arial" w:cs="Arial"/>
          <w:sz w:val="22"/>
          <w:szCs w:val="22"/>
        </w:rPr>
      </w:pPr>
    </w:p>
    <w:p w14:paraId="5BD002AE" w14:textId="77777777" w:rsidR="003C0B25" w:rsidRPr="00B85EC4" w:rsidRDefault="003C0B25" w:rsidP="00CF2A51">
      <w:pPr>
        <w:adjustRightInd w:val="0"/>
        <w:contextualSpacing/>
        <w:jc w:val="center"/>
        <w:rPr>
          <w:rFonts w:ascii="Arial" w:hAnsi="Arial" w:cs="Arial"/>
          <w:sz w:val="22"/>
          <w:szCs w:val="22"/>
        </w:rPr>
      </w:pPr>
      <w:r>
        <w:rPr>
          <w:rFonts w:ascii="Arial" w:hAnsi="Arial" w:cs="Arial"/>
          <w:sz w:val="22"/>
          <w:szCs w:val="22"/>
          <w:vertAlign w:val="superscript"/>
        </w:rPr>
        <w:t>3</w:t>
      </w:r>
      <w:r w:rsidRPr="00B85EC4">
        <w:rPr>
          <w:rFonts w:ascii="Arial" w:hAnsi="Arial" w:cs="Arial"/>
          <w:sz w:val="22"/>
          <w:szCs w:val="22"/>
        </w:rPr>
        <w:t xml:space="preserve"> Department of Chemical and Biomolecular Engineering, Tulane University, New Orleans, LA 70118, USA</w:t>
      </w:r>
    </w:p>
    <w:p w14:paraId="5603C445" w14:textId="77777777" w:rsidR="003C0B25" w:rsidRPr="00B85EC4" w:rsidRDefault="003C0B25" w:rsidP="00CF2A51">
      <w:pPr>
        <w:pStyle w:val="CommentText"/>
        <w:adjustRightInd w:val="0"/>
        <w:contextualSpacing/>
        <w:jc w:val="center"/>
        <w:rPr>
          <w:sz w:val="22"/>
          <w:szCs w:val="22"/>
        </w:rPr>
      </w:pPr>
      <w:r>
        <w:rPr>
          <w:sz w:val="22"/>
          <w:szCs w:val="22"/>
          <w:vertAlign w:val="superscript"/>
        </w:rPr>
        <w:t xml:space="preserve">4 </w:t>
      </w:r>
      <w:r w:rsidRPr="00B85EC4">
        <w:rPr>
          <w:sz w:val="22"/>
          <w:szCs w:val="22"/>
        </w:rPr>
        <w:t>Current address, the Southern Regional Research Center Agricultural Research Service,</w:t>
      </w:r>
      <w:r>
        <w:rPr>
          <w:sz w:val="22"/>
          <w:szCs w:val="22"/>
        </w:rPr>
        <w:t xml:space="preserve"> </w:t>
      </w:r>
      <w:r w:rsidRPr="00B85EC4">
        <w:rPr>
          <w:sz w:val="22"/>
          <w:szCs w:val="22"/>
        </w:rPr>
        <w:t>USDA, 1100 Robert E. Lee Blvd, New Orleans, LA 70124</w:t>
      </w:r>
      <w:r>
        <w:rPr>
          <w:sz w:val="22"/>
          <w:szCs w:val="22"/>
        </w:rPr>
        <w:t>, USA</w:t>
      </w:r>
    </w:p>
    <w:p w14:paraId="608A51B4" w14:textId="77777777" w:rsidR="003C0B25" w:rsidRDefault="003C0B25" w:rsidP="00CF2A51">
      <w:pPr>
        <w:pStyle w:val="CommentText"/>
        <w:adjustRightInd w:val="0"/>
        <w:contextualSpacing/>
      </w:pPr>
    </w:p>
    <w:p w14:paraId="356D4361" w14:textId="77777777" w:rsidR="003C0B25" w:rsidRDefault="003C0B25" w:rsidP="00CF2A51">
      <w:pPr>
        <w:adjustRightInd w:val="0"/>
        <w:contextualSpacing/>
        <w:jc w:val="center"/>
        <w:rPr>
          <w:rFonts w:ascii="Arial" w:hAnsi="Arial" w:cs="Arial"/>
          <w:sz w:val="22"/>
          <w:szCs w:val="22"/>
        </w:rPr>
      </w:pPr>
    </w:p>
    <w:p w14:paraId="3BBEA3AD" w14:textId="77777777" w:rsidR="003C0B25" w:rsidRDefault="003C0B25" w:rsidP="00CF2A51">
      <w:pPr>
        <w:adjustRightInd w:val="0"/>
        <w:contextualSpacing/>
        <w:jc w:val="center"/>
        <w:rPr>
          <w:rFonts w:ascii="Arial" w:hAnsi="Arial" w:cs="Arial"/>
          <w:sz w:val="22"/>
          <w:szCs w:val="22"/>
        </w:rPr>
      </w:pPr>
    </w:p>
    <w:p w14:paraId="1B99E99C" w14:textId="77777777" w:rsidR="003C0B25" w:rsidRDefault="003C0B25" w:rsidP="00CF2A51">
      <w:pPr>
        <w:adjustRightInd w:val="0"/>
        <w:contextualSpacing/>
        <w:jc w:val="center"/>
        <w:rPr>
          <w:rFonts w:ascii="Arial" w:hAnsi="Arial" w:cs="Arial"/>
          <w:sz w:val="22"/>
          <w:szCs w:val="22"/>
        </w:rPr>
      </w:pPr>
    </w:p>
    <w:p w14:paraId="7AA3BD44" w14:textId="77777777" w:rsidR="003C0B25" w:rsidRDefault="003C0B25" w:rsidP="00CF2A51">
      <w:pPr>
        <w:adjustRightInd w:val="0"/>
        <w:contextualSpacing/>
        <w:jc w:val="center"/>
        <w:rPr>
          <w:rFonts w:ascii="Arial" w:hAnsi="Arial" w:cs="Arial"/>
          <w:sz w:val="22"/>
          <w:szCs w:val="22"/>
        </w:rPr>
      </w:pPr>
    </w:p>
    <w:p w14:paraId="76A0D15C" w14:textId="77777777" w:rsidR="003C0B25" w:rsidRDefault="003C0B25" w:rsidP="00CF2A51">
      <w:pPr>
        <w:adjustRightInd w:val="0"/>
        <w:contextualSpacing/>
        <w:jc w:val="center"/>
        <w:rPr>
          <w:rFonts w:ascii="Arial" w:hAnsi="Arial" w:cs="Arial"/>
          <w:sz w:val="22"/>
          <w:szCs w:val="22"/>
        </w:rPr>
      </w:pPr>
    </w:p>
    <w:p w14:paraId="128CB9C6" w14:textId="77777777" w:rsidR="003C0B25" w:rsidRDefault="003C0B25" w:rsidP="00CF2A51">
      <w:pPr>
        <w:adjustRightInd w:val="0"/>
        <w:contextualSpacing/>
        <w:jc w:val="center"/>
        <w:rPr>
          <w:rFonts w:ascii="Arial" w:hAnsi="Arial" w:cs="Arial"/>
          <w:sz w:val="22"/>
          <w:szCs w:val="22"/>
        </w:rPr>
      </w:pPr>
    </w:p>
    <w:p w14:paraId="3BBFA471" w14:textId="77777777" w:rsidR="003C0B25" w:rsidRDefault="003C0B25" w:rsidP="00CF2A51">
      <w:pPr>
        <w:adjustRightInd w:val="0"/>
        <w:contextualSpacing/>
        <w:jc w:val="center"/>
        <w:rPr>
          <w:rFonts w:ascii="Arial" w:hAnsi="Arial" w:cs="Arial"/>
          <w:sz w:val="22"/>
          <w:szCs w:val="22"/>
        </w:rPr>
      </w:pPr>
    </w:p>
    <w:p w14:paraId="42144FC7" w14:textId="77777777" w:rsidR="003C0B25" w:rsidRDefault="003C0B25" w:rsidP="00CF2A51">
      <w:pPr>
        <w:adjustRightInd w:val="0"/>
        <w:contextualSpacing/>
        <w:jc w:val="center"/>
        <w:rPr>
          <w:rFonts w:ascii="Arial" w:hAnsi="Arial" w:cs="Arial"/>
          <w:sz w:val="22"/>
          <w:szCs w:val="22"/>
        </w:rPr>
      </w:pPr>
    </w:p>
    <w:p w14:paraId="20455F22" w14:textId="77777777" w:rsidR="003C0B25" w:rsidRDefault="003C0B25" w:rsidP="00CF2A51">
      <w:pPr>
        <w:adjustRightInd w:val="0"/>
        <w:contextualSpacing/>
        <w:jc w:val="center"/>
        <w:rPr>
          <w:rFonts w:ascii="Arial" w:hAnsi="Arial" w:cs="Arial"/>
          <w:sz w:val="22"/>
          <w:szCs w:val="22"/>
        </w:rPr>
      </w:pPr>
    </w:p>
    <w:p w14:paraId="205F6D07" w14:textId="77777777" w:rsidR="003C0B25" w:rsidRDefault="003C0B25" w:rsidP="00CF2A51">
      <w:pPr>
        <w:adjustRightInd w:val="0"/>
        <w:contextualSpacing/>
        <w:jc w:val="center"/>
        <w:rPr>
          <w:rFonts w:ascii="Arial" w:hAnsi="Arial" w:cs="Arial"/>
          <w:sz w:val="22"/>
          <w:szCs w:val="22"/>
        </w:rPr>
      </w:pPr>
    </w:p>
    <w:p w14:paraId="07E65893" w14:textId="77777777" w:rsidR="003C0B25" w:rsidRDefault="003C0B25" w:rsidP="00CF2A51">
      <w:pPr>
        <w:adjustRightInd w:val="0"/>
        <w:contextualSpacing/>
        <w:jc w:val="center"/>
        <w:rPr>
          <w:rFonts w:ascii="Arial" w:hAnsi="Arial" w:cs="Arial"/>
          <w:sz w:val="22"/>
          <w:szCs w:val="22"/>
        </w:rPr>
      </w:pPr>
    </w:p>
    <w:p w14:paraId="2AE0A744" w14:textId="77777777" w:rsidR="003C0B25" w:rsidRDefault="003C0B25" w:rsidP="00CF2A51">
      <w:pPr>
        <w:adjustRightInd w:val="0"/>
        <w:contextualSpacing/>
        <w:jc w:val="center"/>
        <w:rPr>
          <w:rFonts w:ascii="Arial" w:hAnsi="Arial" w:cs="Arial"/>
          <w:sz w:val="22"/>
          <w:szCs w:val="22"/>
        </w:rPr>
      </w:pPr>
    </w:p>
    <w:p w14:paraId="077DA776" w14:textId="77777777" w:rsidR="003C0B25" w:rsidRDefault="003C0B25" w:rsidP="00CF2A51">
      <w:pPr>
        <w:adjustRightInd w:val="0"/>
        <w:contextualSpacing/>
        <w:jc w:val="center"/>
        <w:rPr>
          <w:rFonts w:ascii="Arial" w:hAnsi="Arial" w:cs="Arial"/>
          <w:sz w:val="22"/>
          <w:szCs w:val="22"/>
        </w:rPr>
      </w:pPr>
    </w:p>
    <w:p w14:paraId="7A8DFF7A" w14:textId="77777777" w:rsidR="003C0B25" w:rsidRDefault="003C0B25" w:rsidP="00CF2A51">
      <w:pPr>
        <w:adjustRightInd w:val="0"/>
        <w:contextualSpacing/>
        <w:jc w:val="center"/>
        <w:rPr>
          <w:rFonts w:ascii="Arial" w:hAnsi="Arial" w:cs="Arial"/>
          <w:sz w:val="22"/>
          <w:szCs w:val="22"/>
        </w:rPr>
      </w:pPr>
    </w:p>
    <w:p w14:paraId="348EF291" w14:textId="77777777" w:rsidR="003C0B25" w:rsidRDefault="003C0B25" w:rsidP="00CF2A51">
      <w:pPr>
        <w:adjustRightInd w:val="0"/>
        <w:contextualSpacing/>
        <w:jc w:val="center"/>
        <w:rPr>
          <w:rFonts w:ascii="Arial" w:hAnsi="Arial" w:cs="Arial"/>
          <w:sz w:val="22"/>
          <w:szCs w:val="22"/>
        </w:rPr>
      </w:pPr>
    </w:p>
    <w:p w14:paraId="6AFC7944" w14:textId="77777777" w:rsidR="003C0B25" w:rsidRDefault="003C0B25" w:rsidP="00CF2A51">
      <w:pPr>
        <w:adjustRightInd w:val="0"/>
        <w:contextualSpacing/>
        <w:jc w:val="center"/>
        <w:rPr>
          <w:rFonts w:ascii="Arial" w:hAnsi="Arial" w:cs="Arial"/>
          <w:sz w:val="22"/>
          <w:szCs w:val="22"/>
        </w:rPr>
      </w:pPr>
    </w:p>
    <w:p w14:paraId="72C528AD" w14:textId="77777777" w:rsidR="003C0B25" w:rsidRDefault="003C0B25" w:rsidP="00CF2A51">
      <w:pPr>
        <w:adjustRightInd w:val="0"/>
        <w:contextualSpacing/>
        <w:jc w:val="center"/>
        <w:rPr>
          <w:rFonts w:ascii="Arial" w:hAnsi="Arial" w:cs="Arial"/>
          <w:sz w:val="22"/>
          <w:szCs w:val="22"/>
        </w:rPr>
      </w:pPr>
    </w:p>
    <w:p w14:paraId="10B6622C" w14:textId="77777777" w:rsidR="003C0B25" w:rsidRDefault="003C0B25" w:rsidP="00CF2A51">
      <w:pPr>
        <w:adjustRightInd w:val="0"/>
        <w:contextualSpacing/>
        <w:jc w:val="center"/>
        <w:rPr>
          <w:rFonts w:ascii="Arial" w:hAnsi="Arial" w:cs="Arial"/>
          <w:sz w:val="22"/>
          <w:szCs w:val="22"/>
        </w:rPr>
      </w:pPr>
    </w:p>
    <w:p w14:paraId="3FE0E60F" w14:textId="77777777" w:rsidR="003C0B25" w:rsidRDefault="003C0B25" w:rsidP="00CF2A51">
      <w:pPr>
        <w:adjustRightInd w:val="0"/>
        <w:contextualSpacing/>
        <w:jc w:val="center"/>
        <w:rPr>
          <w:rFonts w:ascii="Arial" w:hAnsi="Arial" w:cs="Arial"/>
          <w:sz w:val="22"/>
          <w:szCs w:val="22"/>
        </w:rPr>
      </w:pPr>
    </w:p>
    <w:p w14:paraId="31E6B081" w14:textId="77777777" w:rsidR="003C0B25" w:rsidRDefault="003C0B25" w:rsidP="00CF2A51">
      <w:pPr>
        <w:adjustRightInd w:val="0"/>
        <w:contextualSpacing/>
        <w:jc w:val="center"/>
        <w:rPr>
          <w:rFonts w:ascii="Arial" w:hAnsi="Arial" w:cs="Arial"/>
          <w:sz w:val="22"/>
          <w:szCs w:val="22"/>
        </w:rPr>
      </w:pPr>
    </w:p>
    <w:p w14:paraId="7A0E23A5" w14:textId="77777777" w:rsidR="003C0B25" w:rsidRDefault="003C0B25" w:rsidP="00CF2A51">
      <w:pPr>
        <w:adjustRightInd w:val="0"/>
        <w:contextualSpacing/>
        <w:jc w:val="center"/>
        <w:rPr>
          <w:rFonts w:ascii="Arial" w:hAnsi="Arial" w:cs="Arial"/>
          <w:sz w:val="22"/>
          <w:szCs w:val="22"/>
        </w:rPr>
      </w:pPr>
    </w:p>
    <w:p w14:paraId="0B7A6888" w14:textId="77777777" w:rsidR="003C0B25" w:rsidRDefault="003C0B25" w:rsidP="00CF2A51">
      <w:pPr>
        <w:adjustRightInd w:val="0"/>
        <w:contextualSpacing/>
        <w:jc w:val="center"/>
        <w:rPr>
          <w:rFonts w:ascii="Arial" w:hAnsi="Arial" w:cs="Arial"/>
          <w:sz w:val="22"/>
          <w:szCs w:val="22"/>
        </w:rPr>
      </w:pPr>
    </w:p>
    <w:p w14:paraId="7208D8FC" w14:textId="77777777" w:rsidR="003C0B25" w:rsidRDefault="003C0B25" w:rsidP="00CF2A51">
      <w:pPr>
        <w:adjustRightInd w:val="0"/>
        <w:contextualSpacing/>
        <w:rPr>
          <w:rFonts w:ascii="Arial" w:hAnsi="Arial" w:cs="Arial"/>
          <w:sz w:val="22"/>
          <w:szCs w:val="22"/>
        </w:rPr>
      </w:pPr>
    </w:p>
    <w:p w14:paraId="5879227F" w14:textId="77777777" w:rsidR="003C0B25" w:rsidRPr="007D4111" w:rsidRDefault="003C0B25" w:rsidP="00CF2A51">
      <w:pPr>
        <w:adjustRightInd w:val="0"/>
        <w:contextualSpacing/>
        <w:rPr>
          <w:rFonts w:ascii="Arial" w:hAnsi="Arial" w:cs="Arial"/>
          <w:sz w:val="22"/>
          <w:szCs w:val="22"/>
        </w:rPr>
      </w:pPr>
    </w:p>
    <w:p w14:paraId="3A2D5228" w14:textId="77777777" w:rsidR="003C0B25" w:rsidRDefault="003C0B25" w:rsidP="00CF2A51">
      <w:pPr>
        <w:adjustRightInd w:val="0"/>
        <w:contextualSpacing/>
        <w:jc w:val="both"/>
        <w:rPr>
          <w:rFonts w:ascii="Arial" w:hAnsi="Arial" w:cs="Arial"/>
          <w:sz w:val="22"/>
          <w:szCs w:val="22"/>
        </w:rPr>
      </w:pPr>
      <w:r w:rsidRPr="00B77CD7">
        <w:rPr>
          <w:rFonts w:ascii="Arial" w:hAnsi="Arial" w:cs="Arial"/>
          <w:b/>
          <w:bCs/>
          <w:sz w:val="22"/>
          <w:szCs w:val="22"/>
          <w:vertAlign w:val="superscript"/>
        </w:rPr>
        <w:t>†</w:t>
      </w:r>
      <w:r>
        <w:rPr>
          <w:rFonts w:ascii="Arial" w:hAnsi="Arial" w:cs="Arial"/>
          <w:b/>
          <w:bCs/>
          <w:sz w:val="22"/>
          <w:szCs w:val="22"/>
          <w:vertAlign w:val="superscript"/>
        </w:rPr>
        <w:t xml:space="preserve"> </w:t>
      </w:r>
      <w:r w:rsidRPr="00B77CD7">
        <w:rPr>
          <w:rFonts w:ascii="Arial" w:hAnsi="Arial" w:cs="Arial"/>
          <w:sz w:val="22"/>
          <w:szCs w:val="22"/>
        </w:rPr>
        <w:t>A contribution of reference data</w:t>
      </w:r>
      <w:r>
        <w:rPr>
          <w:rFonts w:ascii="Arial" w:hAnsi="Arial" w:cs="Arial"/>
          <w:sz w:val="22"/>
          <w:szCs w:val="22"/>
        </w:rPr>
        <w:t xml:space="preserve"> </w:t>
      </w:r>
      <w:r w:rsidRPr="00B77CD7">
        <w:rPr>
          <w:rFonts w:ascii="Arial" w:hAnsi="Arial" w:cs="Arial"/>
          <w:sz w:val="22"/>
          <w:szCs w:val="22"/>
        </w:rPr>
        <w:t>for the seventh statistical assessment of modeling of proteins and ligands (SAMPL7)</w:t>
      </w:r>
    </w:p>
    <w:p w14:paraId="77B59135" w14:textId="77777777" w:rsidR="003C0B25" w:rsidRDefault="003C0B25" w:rsidP="00CF2A51">
      <w:pPr>
        <w:adjustRightInd w:val="0"/>
        <w:contextualSpacing/>
        <w:jc w:val="both"/>
        <w:rPr>
          <w:rFonts w:ascii="Arial" w:hAnsi="Arial" w:cs="Arial"/>
          <w:sz w:val="22"/>
          <w:szCs w:val="22"/>
        </w:rPr>
      </w:pPr>
    </w:p>
    <w:p w14:paraId="0B90A5CD" w14:textId="77777777" w:rsidR="003C0B25" w:rsidRPr="00B85EC4" w:rsidRDefault="003C0B25" w:rsidP="00CF2A51">
      <w:pPr>
        <w:adjustRightInd w:val="0"/>
        <w:contextualSpacing/>
        <w:jc w:val="both"/>
        <w:rPr>
          <w:rFonts w:ascii="Arial" w:hAnsi="Arial" w:cs="Arial"/>
          <w:sz w:val="22"/>
          <w:szCs w:val="22"/>
        </w:rPr>
      </w:pPr>
      <w:r w:rsidRPr="00B77CD7">
        <w:rPr>
          <w:rFonts w:ascii="Arial" w:hAnsi="Arial" w:cs="Arial"/>
          <w:b/>
          <w:bCs/>
          <w:sz w:val="22"/>
          <w:szCs w:val="22"/>
          <w:vertAlign w:val="superscript"/>
        </w:rPr>
        <w:t>‡</w:t>
      </w:r>
      <w:r>
        <w:rPr>
          <w:rFonts w:ascii="Arial" w:hAnsi="Arial" w:cs="Arial"/>
          <w:b/>
          <w:bCs/>
          <w:sz w:val="22"/>
          <w:szCs w:val="22"/>
          <w:vertAlign w:val="superscript"/>
        </w:rPr>
        <w:t xml:space="preserve"> </w:t>
      </w:r>
      <w:r w:rsidRPr="00B77CD7">
        <w:rPr>
          <w:rFonts w:ascii="Arial" w:hAnsi="Arial" w:cs="Arial"/>
          <w:sz w:val="22"/>
          <w:szCs w:val="22"/>
        </w:rPr>
        <w:t xml:space="preserve">Dedicated </w:t>
      </w:r>
      <w:r>
        <w:rPr>
          <w:rFonts w:ascii="Arial" w:hAnsi="Arial" w:cs="Arial"/>
          <w:sz w:val="22"/>
          <w:szCs w:val="22"/>
        </w:rPr>
        <w:t>to Eric V Anslyn on the imminent arrival of his 60</w:t>
      </w:r>
      <w:r w:rsidRPr="00B77CD7">
        <w:rPr>
          <w:rFonts w:ascii="Arial" w:hAnsi="Arial" w:cs="Arial"/>
          <w:sz w:val="22"/>
          <w:szCs w:val="22"/>
          <w:vertAlign w:val="superscript"/>
        </w:rPr>
        <w:t>th</w:t>
      </w:r>
      <w:r>
        <w:rPr>
          <w:rFonts w:ascii="Arial" w:hAnsi="Arial" w:cs="Arial"/>
          <w:sz w:val="22"/>
          <w:szCs w:val="22"/>
        </w:rPr>
        <w:t xml:space="preserve"> birthday.</w:t>
      </w:r>
    </w:p>
    <w:p w14:paraId="14ADE11B" w14:textId="7F708A8C" w:rsidR="00E774A4" w:rsidRDefault="003F4B28" w:rsidP="00CF2A51">
      <w:pPr>
        <w:adjustRightInd w:val="0"/>
        <w:spacing w:line="360" w:lineRule="auto"/>
        <w:contextualSpacing/>
        <w:jc w:val="both"/>
        <w:rPr>
          <w:rFonts w:ascii="Arial" w:hAnsi="Arial" w:cs="Arial"/>
          <w:sz w:val="22"/>
          <w:szCs w:val="22"/>
        </w:rPr>
      </w:pPr>
      <w:r>
        <w:rPr>
          <w:rFonts w:ascii="Arial" w:hAnsi="Arial" w:cs="Arial"/>
          <w:b/>
          <w:sz w:val="22"/>
          <w:szCs w:val="22"/>
        </w:rPr>
        <w:lastRenderedPageBreak/>
        <w:t>The Hosts</w:t>
      </w:r>
    </w:p>
    <w:p w14:paraId="6B236068" w14:textId="3337AF93" w:rsidR="00E774A4" w:rsidRDefault="00314C35" w:rsidP="00CF2A51">
      <w:pPr>
        <w:adjustRightInd w:val="0"/>
        <w:spacing w:line="360" w:lineRule="auto"/>
        <w:contextualSpacing/>
        <w:jc w:val="center"/>
        <w:rPr>
          <w:rFonts w:ascii="Arial" w:hAnsi="Arial" w:cs="Arial"/>
          <w:sz w:val="22"/>
          <w:szCs w:val="22"/>
        </w:rPr>
      </w:pPr>
      <w:r>
        <w:rPr>
          <w:rFonts w:ascii="Arial" w:hAnsi="Arial" w:cs="Arial"/>
          <w:noProof/>
          <w:sz w:val="22"/>
          <w:szCs w:val="22"/>
        </w:rPr>
        <w:drawing>
          <wp:inline distT="0" distB="0" distL="0" distR="0" wp14:anchorId="7A577570" wp14:editId="5CF66CA4">
            <wp:extent cx="4394835" cy="29270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1.jpg"/>
                    <pic:cNvPicPr/>
                  </pic:nvPicPr>
                  <pic:blipFill>
                    <a:blip r:embed="rId8"/>
                    <a:stretch>
                      <a:fillRect/>
                    </a:stretch>
                  </pic:blipFill>
                  <pic:spPr>
                    <a:xfrm>
                      <a:off x="0" y="0"/>
                      <a:ext cx="4435419" cy="2954103"/>
                    </a:xfrm>
                    <a:prstGeom prst="rect">
                      <a:avLst/>
                    </a:prstGeom>
                  </pic:spPr>
                </pic:pic>
              </a:graphicData>
            </a:graphic>
          </wp:inline>
        </w:drawing>
      </w:r>
    </w:p>
    <w:p w14:paraId="3A849FB2" w14:textId="3BE87EDE" w:rsidR="00E774A4" w:rsidRPr="0095670A" w:rsidRDefault="00E774A4" w:rsidP="00CF2A51">
      <w:pPr>
        <w:adjustRightInd w:val="0"/>
        <w:spacing w:line="360" w:lineRule="auto"/>
        <w:contextualSpacing/>
        <w:jc w:val="center"/>
        <w:rPr>
          <w:rFonts w:ascii="Arial" w:hAnsi="Arial" w:cs="Arial"/>
          <w:sz w:val="18"/>
          <w:szCs w:val="18"/>
        </w:rPr>
      </w:pPr>
      <w:r w:rsidRPr="00E774A4">
        <w:rPr>
          <w:rFonts w:ascii="Arial" w:hAnsi="Arial" w:cs="Arial"/>
          <w:b/>
          <w:bCs/>
          <w:sz w:val="18"/>
          <w:szCs w:val="18"/>
        </w:rPr>
        <w:t>Figure 1:</w:t>
      </w:r>
      <w:r w:rsidRPr="00E774A4">
        <w:rPr>
          <w:rFonts w:ascii="Arial" w:hAnsi="Arial" w:cs="Arial"/>
          <w:sz w:val="18"/>
          <w:szCs w:val="18"/>
        </w:rPr>
        <w:t xml:space="preserve"> </w:t>
      </w:r>
      <w:r>
        <w:rPr>
          <w:rFonts w:ascii="Arial" w:hAnsi="Arial" w:cs="Arial"/>
          <w:sz w:val="18"/>
          <w:szCs w:val="18"/>
        </w:rPr>
        <w:t>S</w:t>
      </w:r>
      <w:r w:rsidRPr="00E774A4">
        <w:rPr>
          <w:rFonts w:ascii="Arial" w:hAnsi="Arial" w:cs="Arial"/>
          <w:sz w:val="18"/>
          <w:szCs w:val="18"/>
        </w:rPr>
        <w:t>tructures and space-filling models of the two hosts in this study: octa-acid (</w:t>
      </w:r>
      <w:r w:rsidRPr="00E774A4">
        <w:rPr>
          <w:rFonts w:ascii="Arial" w:hAnsi="Arial" w:cs="Arial"/>
          <w:b/>
          <w:bCs/>
          <w:sz w:val="18"/>
          <w:szCs w:val="18"/>
        </w:rPr>
        <w:t>1</w:t>
      </w:r>
      <w:r w:rsidRPr="00E774A4">
        <w:rPr>
          <w:rFonts w:ascii="Arial" w:hAnsi="Arial" w:cs="Arial"/>
          <w:sz w:val="18"/>
          <w:szCs w:val="18"/>
        </w:rPr>
        <w:t xml:space="preserve">) and </w:t>
      </w:r>
      <w:r w:rsidRPr="00E774A4">
        <w:rPr>
          <w:rFonts w:ascii="Arial" w:hAnsi="Arial" w:cs="Arial"/>
          <w:i/>
          <w:iCs/>
          <w:sz w:val="18"/>
          <w:szCs w:val="18"/>
        </w:rPr>
        <w:t>exo</w:t>
      </w:r>
      <w:r w:rsidRPr="00E774A4">
        <w:rPr>
          <w:rFonts w:ascii="Arial" w:hAnsi="Arial" w:cs="Arial"/>
          <w:sz w:val="18"/>
          <w:szCs w:val="18"/>
        </w:rPr>
        <w:t>-octa-acid (</w:t>
      </w:r>
      <w:r w:rsidRPr="00E774A4">
        <w:rPr>
          <w:rFonts w:ascii="Arial" w:hAnsi="Arial" w:cs="Arial"/>
          <w:b/>
          <w:bCs/>
          <w:sz w:val="18"/>
          <w:szCs w:val="18"/>
        </w:rPr>
        <w:t>2</w:t>
      </w:r>
      <w:r w:rsidRPr="00E774A4">
        <w:rPr>
          <w:rFonts w:ascii="Arial" w:hAnsi="Arial" w:cs="Arial"/>
          <w:sz w:val="18"/>
          <w:szCs w:val="18"/>
        </w:rPr>
        <w:t>).</w:t>
      </w:r>
    </w:p>
    <w:p w14:paraId="1D2900BC" w14:textId="7CC9EECA" w:rsidR="00C74F60" w:rsidRDefault="00C74F60" w:rsidP="00CF2A51">
      <w:pPr>
        <w:adjustRightInd w:val="0"/>
        <w:spacing w:line="360" w:lineRule="auto"/>
        <w:contextualSpacing/>
        <w:jc w:val="both"/>
        <w:rPr>
          <w:rFonts w:ascii="Arial" w:hAnsi="Arial" w:cs="Arial"/>
          <w:sz w:val="22"/>
          <w:szCs w:val="22"/>
        </w:rPr>
      </w:pPr>
    </w:p>
    <w:p w14:paraId="07505173" w14:textId="687FAA80" w:rsidR="007C3C5E" w:rsidRDefault="003F4B28" w:rsidP="00CF2A51">
      <w:pPr>
        <w:adjustRightInd w:val="0"/>
        <w:spacing w:line="360" w:lineRule="auto"/>
        <w:contextualSpacing/>
        <w:jc w:val="both"/>
        <w:rPr>
          <w:rFonts w:ascii="Arial" w:hAnsi="Arial" w:cs="Arial"/>
          <w:sz w:val="22"/>
          <w:szCs w:val="22"/>
        </w:rPr>
      </w:pPr>
      <w:r>
        <w:rPr>
          <w:rFonts w:ascii="Arial" w:hAnsi="Arial" w:cs="Arial"/>
          <w:b/>
          <w:bCs/>
          <w:sz w:val="22"/>
          <w:szCs w:val="22"/>
        </w:rPr>
        <w:t>The guests</w:t>
      </w:r>
      <w:r w:rsidR="00C820DA">
        <w:rPr>
          <w:rFonts w:ascii="Arial" w:hAnsi="Arial" w:cs="Arial"/>
          <w:sz w:val="22"/>
          <w:szCs w:val="22"/>
        </w:rPr>
        <w:t xml:space="preserve"> </w:t>
      </w:r>
    </w:p>
    <w:p w14:paraId="5FF3B3C8" w14:textId="77777777" w:rsidR="007C3C5E" w:rsidRDefault="007C3C5E" w:rsidP="00CF2A51">
      <w:pPr>
        <w:adjustRightInd w:val="0"/>
        <w:spacing w:line="360" w:lineRule="auto"/>
        <w:contextualSpacing/>
        <w:jc w:val="both"/>
        <w:rPr>
          <w:rFonts w:ascii="Arial" w:hAnsi="Arial" w:cs="Arial"/>
          <w:sz w:val="22"/>
          <w:szCs w:val="22"/>
        </w:rPr>
      </w:pPr>
    </w:p>
    <w:p w14:paraId="6FCBEE1E" w14:textId="4AB42167" w:rsidR="007C3C5E" w:rsidRDefault="00E73D26" w:rsidP="00CF2A51">
      <w:pPr>
        <w:adjustRightInd w:val="0"/>
        <w:spacing w:line="360" w:lineRule="auto"/>
        <w:contextualSpacing/>
        <w:jc w:val="center"/>
        <w:rPr>
          <w:rFonts w:ascii="Arial" w:hAnsi="Arial" w:cs="Arial"/>
          <w:sz w:val="22"/>
          <w:szCs w:val="22"/>
        </w:rPr>
      </w:pPr>
      <w:r w:rsidRPr="00E73D26">
        <w:rPr>
          <w:rFonts w:ascii="Arial" w:hAnsi="Arial" w:cs="Arial"/>
          <w:noProof/>
          <w:sz w:val="22"/>
          <w:szCs w:val="22"/>
        </w:rPr>
        <w:drawing>
          <wp:inline distT="0" distB="0" distL="0" distR="0" wp14:anchorId="7B72446B" wp14:editId="6C105D9A">
            <wp:extent cx="4263390" cy="1815128"/>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964" cy="1828996"/>
                    </a:xfrm>
                    <a:prstGeom prst="rect">
                      <a:avLst/>
                    </a:prstGeom>
                  </pic:spPr>
                </pic:pic>
              </a:graphicData>
            </a:graphic>
          </wp:inline>
        </w:drawing>
      </w:r>
    </w:p>
    <w:p w14:paraId="641353CF" w14:textId="1732D576" w:rsidR="007C3C5E" w:rsidRPr="007C3C5E" w:rsidRDefault="007C3C5E" w:rsidP="00CF2A51">
      <w:pPr>
        <w:adjustRightInd w:val="0"/>
        <w:spacing w:line="360" w:lineRule="auto"/>
        <w:contextualSpacing/>
        <w:jc w:val="center"/>
        <w:rPr>
          <w:rFonts w:ascii="Arial" w:hAnsi="Arial" w:cs="Arial"/>
          <w:sz w:val="18"/>
          <w:szCs w:val="18"/>
        </w:rPr>
      </w:pPr>
      <w:r w:rsidRPr="007C3C5E">
        <w:rPr>
          <w:rFonts w:ascii="Arial" w:hAnsi="Arial" w:cs="Arial"/>
          <w:b/>
          <w:bCs/>
          <w:sz w:val="18"/>
          <w:szCs w:val="18"/>
        </w:rPr>
        <w:t>Figure 2</w:t>
      </w:r>
      <w:r w:rsidRPr="007C3C5E">
        <w:rPr>
          <w:rFonts w:ascii="Arial" w:hAnsi="Arial" w:cs="Arial"/>
          <w:sz w:val="18"/>
          <w:szCs w:val="18"/>
        </w:rPr>
        <w:t>: Guests used in this study.</w:t>
      </w:r>
      <w:r w:rsidR="004F5355">
        <w:rPr>
          <w:rFonts w:ascii="Arial" w:hAnsi="Arial" w:cs="Arial"/>
          <w:sz w:val="18"/>
          <w:szCs w:val="18"/>
        </w:rPr>
        <w:t xml:space="preserve">  Guests </w:t>
      </w:r>
      <w:r w:rsidR="004F5355" w:rsidRPr="004F5355">
        <w:rPr>
          <w:rFonts w:ascii="Arial" w:hAnsi="Arial" w:cs="Arial"/>
          <w:b/>
          <w:bCs/>
          <w:sz w:val="18"/>
          <w:szCs w:val="18"/>
        </w:rPr>
        <w:t>G4</w:t>
      </w:r>
      <w:r w:rsidR="004F5355">
        <w:rPr>
          <w:rFonts w:ascii="Arial" w:hAnsi="Arial" w:cs="Arial"/>
          <w:sz w:val="18"/>
          <w:szCs w:val="18"/>
        </w:rPr>
        <w:t>-</w:t>
      </w:r>
      <w:r w:rsidR="004F5355" w:rsidRPr="004F5355">
        <w:rPr>
          <w:rFonts w:ascii="Arial" w:hAnsi="Arial" w:cs="Arial"/>
          <w:b/>
          <w:bCs/>
          <w:sz w:val="18"/>
          <w:szCs w:val="18"/>
        </w:rPr>
        <w:t>G7</w:t>
      </w:r>
      <w:r w:rsidR="004F5355">
        <w:rPr>
          <w:rFonts w:ascii="Arial" w:hAnsi="Arial" w:cs="Arial"/>
          <w:sz w:val="18"/>
          <w:szCs w:val="18"/>
        </w:rPr>
        <w:t xml:space="preserve"> were used as their chloride salts.</w:t>
      </w:r>
    </w:p>
    <w:p w14:paraId="44E138E5" w14:textId="3086C073" w:rsidR="007C3C5E" w:rsidRDefault="007C3C5E" w:rsidP="00CF2A51">
      <w:pPr>
        <w:adjustRightInd w:val="0"/>
        <w:spacing w:line="360" w:lineRule="auto"/>
        <w:contextualSpacing/>
        <w:rPr>
          <w:rFonts w:ascii="Arial" w:hAnsi="Arial" w:cs="Arial"/>
          <w:sz w:val="22"/>
          <w:szCs w:val="22"/>
        </w:rPr>
      </w:pPr>
    </w:p>
    <w:p w14:paraId="7BB15C96" w14:textId="77777777" w:rsidR="003F4B28" w:rsidRDefault="003F4B28" w:rsidP="00CF2A51">
      <w:pPr>
        <w:adjustRightInd w:val="0"/>
        <w:spacing w:line="360" w:lineRule="auto"/>
        <w:contextualSpacing/>
        <w:rPr>
          <w:rFonts w:ascii="Arial" w:hAnsi="Arial" w:cs="Arial"/>
          <w:b/>
          <w:bCs/>
          <w:sz w:val="22"/>
          <w:szCs w:val="22"/>
        </w:rPr>
      </w:pPr>
    </w:p>
    <w:p w14:paraId="6CBEBEB8" w14:textId="77777777" w:rsidR="003F4B28" w:rsidRDefault="003F4B28" w:rsidP="00CF2A51">
      <w:pPr>
        <w:adjustRightInd w:val="0"/>
        <w:spacing w:line="360" w:lineRule="auto"/>
        <w:contextualSpacing/>
        <w:rPr>
          <w:rFonts w:ascii="Arial" w:hAnsi="Arial" w:cs="Arial"/>
          <w:b/>
          <w:bCs/>
          <w:sz w:val="22"/>
          <w:szCs w:val="22"/>
        </w:rPr>
      </w:pPr>
    </w:p>
    <w:p w14:paraId="71C4746A" w14:textId="77777777" w:rsidR="003F4B28" w:rsidRDefault="003F4B28" w:rsidP="00CF2A51">
      <w:pPr>
        <w:adjustRightInd w:val="0"/>
        <w:spacing w:line="360" w:lineRule="auto"/>
        <w:contextualSpacing/>
        <w:rPr>
          <w:rFonts w:ascii="Arial" w:hAnsi="Arial" w:cs="Arial"/>
          <w:b/>
          <w:bCs/>
          <w:sz w:val="22"/>
          <w:szCs w:val="22"/>
        </w:rPr>
      </w:pPr>
    </w:p>
    <w:p w14:paraId="26DBC874" w14:textId="77777777" w:rsidR="003F4B28" w:rsidRDefault="003F4B28" w:rsidP="00CF2A51">
      <w:pPr>
        <w:adjustRightInd w:val="0"/>
        <w:spacing w:line="360" w:lineRule="auto"/>
        <w:contextualSpacing/>
        <w:rPr>
          <w:rFonts w:ascii="Arial" w:hAnsi="Arial" w:cs="Arial"/>
          <w:b/>
          <w:bCs/>
          <w:sz w:val="22"/>
          <w:szCs w:val="22"/>
        </w:rPr>
      </w:pPr>
    </w:p>
    <w:p w14:paraId="6B3CB2FD" w14:textId="77777777" w:rsidR="003F4B28" w:rsidRDefault="003F4B28" w:rsidP="00CF2A51">
      <w:pPr>
        <w:adjustRightInd w:val="0"/>
        <w:spacing w:line="360" w:lineRule="auto"/>
        <w:contextualSpacing/>
        <w:rPr>
          <w:rFonts w:ascii="Arial" w:hAnsi="Arial" w:cs="Arial"/>
          <w:b/>
          <w:bCs/>
          <w:sz w:val="22"/>
          <w:szCs w:val="22"/>
        </w:rPr>
      </w:pPr>
    </w:p>
    <w:p w14:paraId="43FEF706" w14:textId="3EDEEC51" w:rsidR="003A49CE" w:rsidRPr="003F4B28" w:rsidRDefault="003F4B28" w:rsidP="003F4B28">
      <w:pPr>
        <w:adjustRightInd w:val="0"/>
        <w:spacing w:line="360" w:lineRule="auto"/>
        <w:contextualSpacing/>
        <w:rPr>
          <w:rFonts w:ascii="Arial" w:hAnsi="Arial" w:cs="Arial"/>
          <w:b/>
          <w:bCs/>
          <w:sz w:val="22"/>
          <w:szCs w:val="22"/>
        </w:rPr>
      </w:pPr>
      <w:r>
        <w:rPr>
          <w:rFonts w:ascii="Arial" w:hAnsi="Arial" w:cs="Arial"/>
          <w:b/>
          <w:bCs/>
          <w:sz w:val="22"/>
          <w:szCs w:val="22"/>
        </w:rPr>
        <w:t>The data</w:t>
      </w:r>
    </w:p>
    <w:p w14:paraId="367EAC5B" w14:textId="77777777" w:rsidR="00B26DCB" w:rsidRDefault="00B26DCB" w:rsidP="00B26DCB">
      <w:pPr>
        <w:adjustRightInd w:val="0"/>
        <w:spacing w:line="360" w:lineRule="auto"/>
        <w:contextualSpacing/>
        <w:rPr>
          <w:rFonts w:ascii="Arial" w:hAnsi="Arial" w:cs="Arial"/>
          <w:sz w:val="22"/>
          <w:szCs w:val="22"/>
        </w:rPr>
      </w:pPr>
    </w:p>
    <w:p w14:paraId="34A6ECC3" w14:textId="77777777" w:rsidR="00B26DCB" w:rsidRPr="003A49CE" w:rsidRDefault="00B26DCB" w:rsidP="00B26DCB">
      <w:pPr>
        <w:contextualSpacing/>
        <w:mirrorIndents/>
        <w:jc w:val="center"/>
        <w:rPr>
          <w:rFonts w:ascii="Arial" w:hAnsi="Arial" w:cs="Arial"/>
          <w:sz w:val="18"/>
          <w:szCs w:val="18"/>
        </w:rPr>
      </w:pPr>
      <w:r w:rsidRPr="003A49CE">
        <w:rPr>
          <w:rFonts w:ascii="Arial" w:hAnsi="Arial" w:cs="Arial"/>
          <w:b/>
          <w:bCs/>
          <w:sz w:val="18"/>
          <w:szCs w:val="18"/>
        </w:rPr>
        <w:lastRenderedPageBreak/>
        <w:t>Table 1</w:t>
      </w:r>
      <w:r w:rsidRPr="003A49CE">
        <w:rPr>
          <w:rFonts w:ascii="Arial" w:hAnsi="Arial" w:cs="Arial"/>
          <w:sz w:val="18"/>
          <w:szCs w:val="18"/>
        </w:rPr>
        <w:t xml:space="preserve">: Thermodynamic data </w:t>
      </w:r>
      <w:r>
        <w:rPr>
          <w:rFonts w:ascii="Arial" w:hAnsi="Arial" w:cs="Arial"/>
          <w:sz w:val="18"/>
          <w:szCs w:val="18"/>
        </w:rPr>
        <w:t xml:space="preserve">from ITC </w:t>
      </w:r>
      <w:r w:rsidRPr="003A49CE">
        <w:rPr>
          <w:rFonts w:ascii="Arial" w:hAnsi="Arial" w:cs="Arial"/>
          <w:sz w:val="18"/>
          <w:szCs w:val="18"/>
        </w:rPr>
        <w:t xml:space="preserve">for the binding of guests G0-G7 with hosts OA and </w:t>
      </w:r>
      <w:r w:rsidRPr="00FE28AB">
        <w:rPr>
          <w:rFonts w:ascii="Arial" w:hAnsi="Arial" w:cs="Arial"/>
          <w:i/>
          <w:iCs/>
          <w:sz w:val="18"/>
          <w:szCs w:val="18"/>
        </w:rPr>
        <w:t>Exo</w:t>
      </w:r>
      <w:r>
        <w:rPr>
          <w:rFonts w:ascii="Arial" w:hAnsi="Arial" w:cs="Arial"/>
          <w:sz w:val="18"/>
          <w:szCs w:val="18"/>
        </w:rPr>
        <w:t>-</w:t>
      </w:r>
      <w:proofErr w:type="spellStart"/>
      <w:r w:rsidRPr="003A49CE">
        <w:rPr>
          <w:rFonts w:ascii="Arial" w:hAnsi="Arial" w:cs="Arial"/>
          <w:sz w:val="18"/>
          <w:szCs w:val="18"/>
        </w:rPr>
        <w:t>OA.</w:t>
      </w:r>
      <w:r w:rsidRPr="00167C03">
        <w:rPr>
          <w:rFonts w:ascii="Arial" w:hAnsi="Arial" w:cs="Arial"/>
          <w:sz w:val="18"/>
          <w:szCs w:val="18"/>
          <w:vertAlign w:val="superscript"/>
        </w:rPr>
        <w:t>a</w:t>
      </w:r>
      <w:proofErr w:type="spellEnd"/>
    </w:p>
    <w:p w14:paraId="02D5B62E" w14:textId="77777777" w:rsidR="00B26DCB" w:rsidRDefault="00B26DCB" w:rsidP="00B26DCB">
      <w:pPr>
        <w:adjustRightInd w:val="0"/>
        <w:spacing w:line="360" w:lineRule="auto"/>
        <w:contextualSpacing/>
        <w:rPr>
          <w:rFonts w:ascii="Arial" w:hAnsi="Arial" w:cs="Arial"/>
          <w:sz w:val="22"/>
          <w:szCs w:val="22"/>
        </w:rPr>
      </w:pPr>
    </w:p>
    <w:tbl>
      <w:tblPr>
        <w:tblStyle w:val="TableGrid"/>
        <w:tblW w:w="8080" w:type="dxa"/>
        <w:tblInd w:w="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1309"/>
        <w:gridCol w:w="1276"/>
        <w:gridCol w:w="1134"/>
        <w:gridCol w:w="1134"/>
        <w:gridCol w:w="1213"/>
        <w:gridCol w:w="1197"/>
      </w:tblGrid>
      <w:tr w:rsidR="00B26DCB" w14:paraId="7FC96B62" w14:textId="77777777" w:rsidTr="00B26DCB">
        <w:tc>
          <w:tcPr>
            <w:tcW w:w="817" w:type="dxa"/>
            <w:tcBorders>
              <w:bottom w:val="single" w:sz="4" w:space="0" w:color="auto"/>
              <w:right w:val="single" w:sz="4" w:space="0" w:color="auto"/>
            </w:tcBorders>
            <w:shd w:val="clear" w:color="auto" w:fill="D9D9D9" w:themeFill="background1" w:themeFillShade="D9"/>
          </w:tcPr>
          <w:p w14:paraId="5BBAC52C" w14:textId="77777777" w:rsidR="00B26DCB" w:rsidRPr="006C3C9D" w:rsidRDefault="00B26DCB" w:rsidP="00376528">
            <w:pPr>
              <w:adjustRightInd w:val="0"/>
              <w:spacing w:line="360" w:lineRule="auto"/>
              <w:contextualSpacing/>
              <w:jc w:val="center"/>
              <w:rPr>
                <w:rFonts w:ascii="Arial" w:hAnsi="Arial" w:cs="Arial"/>
                <w:b/>
                <w:bCs/>
                <w:sz w:val="18"/>
                <w:szCs w:val="18"/>
              </w:rPr>
            </w:pPr>
            <w:r w:rsidRPr="006C3C9D">
              <w:rPr>
                <w:rFonts w:ascii="Arial" w:hAnsi="Arial" w:cs="Arial"/>
                <w:b/>
                <w:bCs/>
                <w:sz w:val="18"/>
                <w:szCs w:val="18"/>
              </w:rPr>
              <w:t>Guest</w:t>
            </w:r>
          </w:p>
        </w:tc>
        <w:tc>
          <w:tcPr>
            <w:tcW w:w="3719" w:type="dxa"/>
            <w:gridSpan w:val="3"/>
            <w:tcBorders>
              <w:left w:val="single" w:sz="4" w:space="0" w:color="auto"/>
              <w:bottom w:val="single" w:sz="4" w:space="0" w:color="auto"/>
              <w:right w:val="single" w:sz="4" w:space="0" w:color="auto"/>
            </w:tcBorders>
            <w:shd w:val="clear" w:color="auto" w:fill="D9D9D9" w:themeFill="background1" w:themeFillShade="D9"/>
          </w:tcPr>
          <w:p w14:paraId="272B0740" w14:textId="77777777" w:rsidR="00B26DCB" w:rsidRPr="00C87130" w:rsidRDefault="00B26DCB" w:rsidP="00376528">
            <w:pPr>
              <w:contextualSpacing/>
              <w:mirrorIndents/>
              <w:jc w:val="center"/>
              <w:rPr>
                <w:rFonts w:ascii="Arial" w:hAnsi="Arial" w:cs="Arial"/>
                <w:b/>
                <w:bCs/>
                <w:sz w:val="18"/>
                <w:szCs w:val="18"/>
                <w:lang w:val="nb-NO"/>
              </w:rPr>
            </w:pPr>
            <w:r>
              <w:rPr>
                <w:rFonts w:ascii="Arial" w:hAnsi="Arial" w:cs="Arial"/>
                <w:b/>
                <w:bCs/>
                <w:sz w:val="18"/>
                <w:szCs w:val="18"/>
                <w:lang w:val="nb-NO"/>
              </w:rPr>
              <w:t>Octa acid 1</w:t>
            </w:r>
          </w:p>
        </w:tc>
        <w:tc>
          <w:tcPr>
            <w:tcW w:w="3544" w:type="dxa"/>
            <w:gridSpan w:val="3"/>
            <w:tcBorders>
              <w:left w:val="single" w:sz="4" w:space="0" w:color="auto"/>
              <w:bottom w:val="single" w:sz="4" w:space="0" w:color="auto"/>
            </w:tcBorders>
            <w:shd w:val="clear" w:color="auto" w:fill="D9D9D9" w:themeFill="background1" w:themeFillShade="D9"/>
          </w:tcPr>
          <w:p w14:paraId="38C1D9B3" w14:textId="77777777" w:rsidR="00B26DCB" w:rsidRPr="00C87130" w:rsidRDefault="00B26DCB" w:rsidP="00376528">
            <w:pPr>
              <w:contextualSpacing/>
              <w:mirrorIndents/>
              <w:jc w:val="center"/>
              <w:rPr>
                <w:rFonts w:ascii="Arial" w:hAnsi="Arial" w:cs="Arial"/>
                <w:b/>
                <w:bCs/>
                <w:sz w:val="18"/>
                <w:szCs w:val="18"/>
                <w:lang w:val="nb-NO"/>
              </w:rPr>
            </w:pPr>
            <w:r>
              <w:rPr>
                <w:rFonts w:ascii="Arial" w:hAnsi="Arial" w:cs="Arial"/>
                <w:b/>
                <w:bCs/>
                <w:sz w:val="18"/>
                <w:szCs w:val="18"/>
                <w:lang w:val="nb-NO"/>
              </w:rPr>
              <w:t>Exo-Octa acid 2</w:t>
            </w:r>
          </w:p>
        </w:tc>
      </w:tr>
      <w:tr w:rsidR="00B26DCB" w14:paraId="779D96D9" w14:textId="77777777" w:rsidTr="00B26DCB">
        <w:tc>
          <w:tcPr>
            <w:tcW w:w="817" w:type="dxa"/>
            <w:tcBorders>
              <w:bottom w:val="single" w:sz="4" w:space="0" w:color="auto"/>
              <w:right w:val="single" w:sz="4" w:space="0" w:color="auto"/>
            </w:tcBorders>
          </w:tcPr>
          <w:p w14:paraId="6D299A1E" w14:textId="77777777" w:rsidR="00B26DCB" w:rsidRPr="00C87130" w:rsidRDefault="00B26DCB" w:rsidP="00376528">
            <w:pPr>
              <w:adjustRightInd w:val="0"/>
              <w:spacing w:line="360" w:lineRule="auto"/>
              <w:contextualSpacing/>
              <w:jc w:val="center"/>
              <w:rPr>
                <w:rFonts w:ascii="Arial" w:hAnsi="Arial" w:cs="Arial"/>
                <w:sz w:val="18"/>
                <w:szCs w:val="18"/>
              </w:rPr>
            </w:pPr>
          </w:p>
        </w:tc>
        <w:tc>
          <w:tcPr>
            <w:tcW w:w="1309" w:type="dxa"/>
            <w:tcBorders>
              <w:left w:val="single" w:sz="4" w:space="0" w:color="auto"/>
              <w:bottom w:val="single" w:sz="4" w:space="0" w:color="auto"/>
            </w:tcBorders>
          </w:tcPr>
          <w:p w14:paraId="700A5320" w14:textId="77777777" w:rsidR="00B26DCB" w:rsidRPr="00C87130" w:rsidRDefault="00B26DCB" w:rsidP="00376528">
            <w:pPr>
              <w:contextualSpacing/>
              <w:mirrorIndents/>
              <w:jc w:val="center"/>
              <w:rPr>
                <w:rFonts w:ascii="Arial" w:hAnsi="Arial" w:cs="Arial"/>
                <w:b/>
                <w:bCs/>
                <w:sz w:val="18"/>
                <w:szCs w:val="18"/>
                <w:lang w:val="nb-NO"/>
              </w:rPr>
            </w:pPr>
            <w:r w:rsidRPr="00C87130">
              <w:rPr>
                <w:rFonts w:ascii="Arial" w:hAnsi="Arial" w:cs="Arial"/>
                <w:b/>
                <w:bCs/>
                <w:sz w:val="18"/>
                <w:szCs w:val="18"/>
                <w:lang w:val="nb-NO"/>
              </w:rPr>
              <w:t>Δ</w:t>
            </w:r>
            <w:r w:rsidRPr="00C87130">
              <w:rPr>
                <w:rFonts w:ascii="Arial" w:hAnsi="Arial" w:cs="Arial"/>
                <w:b/>
                <w:bCs/>
                <w:i/>
                <w:iCs/>
                <w:sz w:val="18"/>
                <w:szCs w:val="18"/>
                <w:lang w:val="nb-NO"/>
              </w:rPr>
              <w:t>G</w:t>
            </w:r>
          </w:p>
          <w:p w14:paraId="5723F7EC" w14:textId="77777777" w:rsidR="00B26DCB" w:rsidRPr="00C87130" w:rsidRDefault="00B26DCB" w:rsidP="00376528">
            <w:pPr>
              <w:adjustRightInd w:val="0"/>
              <w:spacing w:line="360" w:lineRule="auto"/>
              <w:contextualSpacing/>
              <w:jc w:val="center"/>
              <w:rPr>
                <w:rFonts w:ascii="Arial" w:hAnsi="Arial" w:cs="Arial"/>
                <w:sz w:val="18"/>
                <w:szCs w:val="18"/>
              </w:rPr>
            </w:pPr>
            <w:r w:rsidRPr="00C87130">
              <w:rPr>
                <w:rFonts w:ascii="Arial" w:hAnsi="Arial" w:cs="Arial"/>
                <w:b/>
                <w:bCs/>
                <w:sz w:val="18"/>
                <w:szCs w:val="18"/>
                <w:lang w:val="nb-NO"/>
              </w:rPr>
              <w:t>(</w:t>
            </w:r>
            <w:proofErr w:type="spellStart"/>
            <w:r w:rsidRPr="00C87130">
              <w:rPr>
                <w:rFonts w:ascii="Arial" w:hAnsi="Arial" w:cs="Arial"/>
                <w:b/>
                <w:bCs/>
                <w:sz w:val="18"/>
                <w:szCs w:val="18"/>
                <w:lang w:val="nb-NO"/>
              </w:rPr>
              <w:t>kJ</w:t>
            </w:r>
            <w:proofErr w:type="spellEnd"/>
            <w:r w:rsidRPr="00C87130">
              <w:rPr>
                <w:rFonts w:ascii="Arial" w:hAnsi="Arial" w:cs="Arial"/>
                <w:b/>
                <w:bCs/>
                <w:sz w:val="18"/>
                <w:szCs w:val="18"/>
                <w:lang w:val="nb-NO"/>
              </w:rPr>
              <w:t xml:space="preserve"> mol</w:t>
            </w:r>
            <w:r w:rsidRPr="00C87130">
              <w:rPr>
                <w:rFonts w:ascii="Arial" w:hAnsi="Arial" w:cs="Arial"/>
                <w:b/>
                <w:bCs/>
                <w:sz w:val="18"/>
                <w:szCs w:val="18"/>
                <w:vertAlign w:val="superscript"/>
                <w:lang w:val="nb-NO"/>
              </w:rPr>
              <w:t>–1</w:t>
            </w:r>
            <w:r w:rsidRPr="00C87130">
              <w:rPr>
                <w:rFonts w:ascii="Arial" w:hAnsi="Arial" w:cs="Arial"/>
                <w:b/>
                <w:bCs/>
                <w:sz w:val="18"/>
                <w:szCs w:val="18"/>
                <w:lang w:val="nb-NO"/>
              </w:rPr>
              <w:t>)</w:t>
            </w:r>
          </w:p>
        </w:tc>
        <w:tc>
          <w:tcPr>
            <w:tcW w:w="1276" w:type="dxa"/>
            <w:tcBorders>
              <w:bottom w:val="single" w:sz="4" w:space="0" w:color="auto"/>
            </w:tcBorders>
          </w:tcPr>
          <w:p w14:paraId="19EAF7F9" w14:textId="77777777" w:rsidR="00B26DCB" w:rsidRPr="00C87130" w:rsidRDefault="00B26DCB" w:rsidP="00376528">
            <w:pPr>
              <w:contextualSpacing/>
              <w:mirrorIndents/>
              <w:jc w:val="center"/>
              <w:rPr>
                <w:rFonts w:ascii="Arial" w:hAnsi="Arial" w:cs="Arial"/>
                <w:b/>
                <w:bCs/>
                <w:sz w:val="18"/>
                <w:szCs w:val="18"/>
                <w:lang w:val="nb-NO"/>
              </w:rPr>
            </w:pPr>
            <w:r w:rsidRPr="00C87130">
              <w:rPr>
                <w:rFonts w:ascii="Arial" w:hAnsi="Arial" w:cs="Arial"/>
                <w:b/>
                <w:bCs/>
                <w:sz w:val="18"/>
                <w:szCs w:val="18"/>
                <w:lang w:val="nb-NO"/>
              </w:rPr>
              <w:t>Δ</w:t>
            </w:r>
            <w:r w:rsidRPr="00C87130">
              <w:rPr>
                <w:rFonts w:ascii="Arial" w:hAnsi="Arial" w:cs="Arial"/>
                <w:b/>
                <w:bCs/>
                <w:i/>
                <w:iCs/>
                <w:sz w:val="18"/>
                <w:szCs w:val="18"/>
                <w:lang w:val="nb-NO"/>
              </w:rPr>
              <w:t>H</w:t>
            </w:r>
          </w:p>
          <w:p w14:paraId="6637B9C3" w14:textId="77777777" w:rsidR="00B26DCB" w:rsidRPr="00C87130" w:rsidRDefault="00B26DCB" w:rsidP="00376528">
            <w:pPr>
              <w:adjustRightInd w:val="0"/>
              <w:spacing w:line="360" w:lineRule="auto"/>
              <w:contextualSpacing/>
              <w:jc w:val="center"/>
              <w:rPr>
                <w:rFonts w:ascii="Arial" w:hAnsi="Arial" w:cs="Arial"/>
                <w:sz w:val="18"/>
                <w:szCs w:val="18"/>
              </w:rPr>
            </w:pPr>
            <w:r w:rsidRPr="00C87130">
              <w:rPr>
                <w:rFonts w:ascii="Arial" w:hAnsi="Arial" w:cs="Arial"/>
                <w:b/>
                <w:bCs/>
                <w:sz w:val="18"/>
                <w:szCs w:val="18"/>
                <w:lang w:val="nb-NO"/>
              </w:rPr>
              <w:t>(</w:t>
            </w:r>
            <w:proofErr w:type="spellStart"/>
            <w:r w:rsidRPr="00C87130">
              <w:rPr>
                <w:rFonts w:ascii="Arial" w:hAnsi="Arial" w:cs="Arial"/>
                <w:b/>
                <w:bCs/>
                <w:sz w:val="18"/>
                <w:szCs w:val="18"/>
                <w:lang w:val="nb-NO"/>
              </w:rPr>
              <w:t>kJ</w:t>
            </w:r>
            <w:proofErr w:type="spellEnd"/>
            <w:r w:rsidRPr="00C87130">
              <w:rPr>
                <w:rFonts w:ascii="Arial" w:hAnsi="Arial" w:cs="Arial"/>
                <w:b/>
                <w:bCs/>
                <w:sz w:val="18"/>
                <w:szCs w:val="18"/>
                <w:lang w:val="nb-NO"/>
              </w:rPr>
              <w:t xml:space="preserve"> mol</w:t>
            </w:r>
            <w:r w:rsidRPr="00C87130">
              <w:rPr>
                <w:rFonts w:ascii="Arial" w:hAnsi="Arial" w:cs="Arial"/>
                <w:b/>
                <w:bCs/>
                <w:sz w:val="18"/>
                <w:szCs w:val="18"/>
                <w:vertAlign w:val="superscript"/>
                <w:lang w:val="nb-NO"/>
              </w:rPr>
              <w:t>–1</w:t>
            </w:r>
            <w:r w:rsidRPr="00C87130">
              <w:rPr>
                <w:rFonts w:ascii="Arial" w:hAnsi="Arial" w:cs="Arial"/>
                <w:b/>
                <w:bCs/>
                <w:sz w:val="18"/>
                <w:szCs w:val="18"/>
                <w:lang w:val="nb-NO"/>
              </w:rPr>
              <w:t>)</w:t>
            </w:r>
          </w:p>
        </w:tc>
        <w:tc>
          <w:tcPr>
            <w:tcW w:w="1134" w:type="dxa"/>
            <w:tcBorders>
              <w:bottom w:val="single" w:sz="4" w:space="0" w:color="auto"/>
              <w:right w:val="single" w:sz="4" w:space="0" w:color="auto"/>
            </w:tcBorders>
          </w:tcPr>
          <w:p w14:paraId="02DE516C" w14:textId="77777777" w:rsidR="00B26DCB" w:rsidRPr="00C87130" w:rsidRDefault="00B26DCB" w:rsidP="00376528">
            <w:pPr>
              <w:contextualSpacing/>
              <w:mirrorIndents/>
              <w:jc w:val="center"/>
              <w:rPr>
                <w:rFonts w:ascii="Arial" w:hAnsi="Arial" w:cs="Arial"/>
                <w:b/>
                <w:bCs/>
                <w:sz w:val="18"/>
                <w:szCs w:val="18"/>
                <w:lang w:val="nb-NO"/>
              </w:rPr>
            </w:pPr>
            <w:r w:rsidRPr="00C87130">
              <w:rPr>
                <w:rFonts w:ascii="Arial" w:hAnsi="Arial" w:cs="Arial"/>
                <w:b/>
                <w:bCs/>
                <w:sz w:val="18"/>
                <w:szCs w:val="18"/>
                <w:lang w:val="nb-NO"/>
              </w:rPr>
              <w:t>–</w:t>
            </w:r>
            <w:r w:rsidRPr="00C87130">
              <w:rPr>
                <w:rFonts w:ascii="Arial" w:hAnsi="Arial" w:cs="Arial"/>
                <w:b/>
                <w:bCs/>
                <w:i/>
                <w:iCs/>
                <w:sz w:val="18"/>
                <w:szCs w:val="18"/>
                <w:lang w:val="nb-NO"/>
              </w:rPr>
              <w:t>T</w:t>
            </w:r>
            <w:r w:rsidRPr="00C87130">
              <w:rPr>
                <w:rFonts w:ascii="Arial" w:hAnsi="Arial" w:cs="Arial"/>
                <w:b/>
                <w:bCs/>
                <w:sz w:val="18"/>
                <w:szCs w:val="18"/>
                <w:lang w:val="nb-NO"/>
              </w:rPr>
              <w:t>Δ</w:t>
            </w:r>
            <w:r w:rsidRPr="00C87130">
              <w:rPr>
                <w:rFonts w:ascii="Arial" w:hAnsi="Arial" w:cs="Arial"/>
                <w:b/>
                <w:bCs/>
                <w:i/>
                <w:iCs/>
                <w:sz w:val="18"/>
                <w:szCs w:val="18"/>
                <w:lang w:val="nb-NO"/>
              </w:rPr>
              <w:t>S</w:t>
            </w:r>
          </w:p>
          <w:p w14:paraId="25E65F13" w14:textId="77777777" w:rsidR="00B26DCB" w:rsidRPr="00C87130" w:rsidRDefault="00B26DCB" w:rsidP="00376528">
            <w:pPr>
              <w:adjustRightInd w:val="0"/>
              <w:spacing w:line="360" w:lineRule="auto"/>
              <w:contextualSpacing/>
              <w:jc w:val="center"/>
              <w:rPr>
                <w:rFonts w:ascii="Arial" w:hAnsi="Arial" w:cs="Arial"/>
                <w:sz w:val="18"/>
                <w:szCs w:val="18"/>
              </w:rPr>
            </w:pPr>
            <w:r w:rsidRPr="00C87130">
              <w:rPr>
                <w:rFonts w:ascii="Arial" w:hAnsi="Arial" w:cs="Arial"/>
                <w:b/>
                <w:bCs/>
                <w:sz w:val="18"/>
                <w:szCs w:val="18"/>
                <w:lang w:val="nb-NO"/>
              </w:rPr>
              <w:t>(</w:t>
            </w:r>
            <w:proofErr w:type="spellStart"/>
            <w:r w:rsidRPr="00C87130">
              <w:rPr>
                <w:rFonts w:ascii="Arial" w:hAnsi="Arial" w:cs="Arial"/>
                <w:b/>
                <w:bCs/>
                <w:sz w:val="18"/>
                <w:szCs w:val="18"/>
                <w:lang w:val="nb-NO"/>
              </w:rPr>
              <w:t>kJ</w:t>
            </w:r>
            <w:proofErr w:type="spellEnd"/>
            <w:r w:rsidRPr="00C87130">
              <w:rPr>
                <w:rFonts w:ascii="Arial" w:hAnsi="Arial" w:cs="Arial"/>
                <w:b/>
                <w:bCs/>
                <w:sz w:val="18"/>
                <w:szCs w:val="18"/>
                <w:lang w:val="nb-NO"/>
              </w:rPr>
              <w:t xml:space="preserve"> mol</w:t>
            </w:r>
            <w:r w:rsidRPr="00C87130">
              <w:rPr>
                <w:rFonts w:ascii="Arial" w:hAnsi="Arial" w:cs="Arial"/>
                <w:b/>
                <w:bCs/>
                <w:sz w:val="18"/>
                <w:szCs w:val="18"/>
                <w:vertAlign w:val="superscript"/>
                <w:lang w:val="nb-NO"/>
              </w:rPr>
              <w:t>–1</w:t>
            </w:r>
            <w:r w:rsidRPr="00C87130">
              <w:rPr>
                <w:rFonts w:ascii="Arial" w:hAnsi="Arial" w:cs="Arial"/>
                <w:b/>
                <w:bCs/>
                <w:sz w:val="18"/>
                <w:szCs w:val="18"/>
                <w:lang w:val="nb-NO"/>
              </w:rPr>
              <w:t>)</w:t>
            </w:r>
          </w:p>
        </w:tc>
        <w:tc>
          <w:tcPr>
            <w:tcW w:w="1134" w:type="dxa"/>
            <w:tcBorders>
              <w:left w:val="single" w:sz="4" w:space="0" w:color="auto"/>
              <w:bottom w:val="single" w:sz="4" w:space="0" w:color="auto"/>
            </w:tcBorders>
          </w:tcPr>
          <w:p w14:paraId="11DA1048" w14:textId="77777777" w:rsidR="00B26DCB" w:rsidRPr="00C87130" w:rsidRDefault="00B26DCB" w:rsidP="00376528">
            <w:pPr>
              <w:contextualSpacing/>
              <w:mirrorIndents/>
              <w:jc w:val="center"/>
              <w:rPr>
                <w:rFonts w:ascii="Arial" w:hAnsi="Arial" w:cs="Arial"/>
                <w:b/>
                <w:bCs/>
                <w:sz w:val="18"/>
                <w:szCs w:val="18"/>
                <w:lang w:val="nb-NO"/>
              </w:rPr>
            </w:pPr>
            <w:r w:rsidRPr="00C87130">
              <w:rPr>
                <w:rFonts w:ascii="Arial" w:hAnsi="Arial" w:cs="Arial"/>
                <w:b/>
                <w:bCs/>
                <w:sz w:val="18"/>
                <w:szCs w:val="18"/>
                <w:lang w:val="nb-NO"/>
              </w:rPr>
              <w:t>Δ</w:t>
            </w:r>
            <w:r w:rsidRPr="00C87130">
              <w:rPr>
                <w:rFonts w:ascii="Arial" w:hAnsi="Arial" w:cs="Arial"/>
                <w:b/>
                <w:bCs/>
                <w:i/>
                <w:iCs/>
                <w:sz w:val="18"/>
                <w:szCs w:val="18"/>
                <w:lang w:val="nb-NO"/>
              </w:rPr>
              <w:t>G</w:t>
            </w:r>
          </w:p>
          <w:p w14:paraId="75AF635C" w14:textId="77777777" w:rsidR="00B26DCB" w:rsidRPr="00C87130" w:rsidRDefault="00B26DCB" w:rsidP="00376528">
            <w:pPr>
              <w:adjustRightInd w:val="0"/>
              <w:spacing w:line="360" w:lineRule="auto"/>
              <w:contextualSpacing/>
              <w:jc w:val="center"/>
              <w:rPr>
                <w:rFonts w:ascii="Arial" w:hAnsi="Arial" w:cs="Arial"/>
                <w:sz w:val="18"/>
                <w:szCs w:val="18"/>
              </w:rPr>
            </w:pPr>
            <w:r w:rsidRPr="00C87130">
              <w:rPr>
                <w:rFonts w:ascii="Arial" w:hAnsi="Arial" w:cs="Arial"/>
                <w:b/>
                <w:bCs/>
                <w:sz w:val="18"/>
                <w:szCs w:val="18"/>
                <w:lang w:val="nb-NO"/>
              </w:rPr>
              <w:t>(</w:t>
            </w:r>
            <w:proofErr w:type="spellStart"/>
            <w:r w:rsidRPr="00C87130">
              <w:rPr>
                <w:rFonts w:ascii="Arial" w:hAnsi="Arial" w:cs="Arial"/>
                <w:b/>
                <w:bCs/>
                <w:sz w:val="18"/>
                <w:szCs w:val="18"/>
                <w:lang w:val="nb-NO"/>
              </w:rPr>
              <w:t>kJ</w:t>
            </w:r>
            <w:proofErr w:type="spellEnd"/>
            <w:r w:rsidRPr="00C87130">
              <w:rPr>
                <w:rFonts w:ascii="Arial" w:hAnsi="Arial" w:cs="Arial"/>
                <w:b/>
                <w:bCs/>
                <w:sz w:val="18"/>
                <w:szCs w:val="18"/>
                <w:lang w:val="nb-NO"/>
              </w:rPr>
              <w:t xml:space="preserve"> mol</w:t>
            </w:r>
            <w:r w:rsidRPr="00C87130">
              <w:rPr>
                <w:rFonts w:ascii="Arial" w:hAnsi="Arial" w:cs="Arial"/>
                <w:b/>
                <w:bCs/>
                <w:sz w:val="18"/>
                <w:szCs w:val="18"/>
                <w:vertAlign w:val="superscript"/>
                <w:lang w:val="nb-NO"/>
              </w:rPr>
              <w:t>–1</w:t>
            </w:r>
            <w:r w:rsidRPr="00C87130">
              <w:rPr>
                <w:rFonts w:ascii="Arial" w:hAnsi="Arial" w:cs="Arial"/>
                <w:b/>
                <w:bCs/>
                <w:sz w:val="18"/>
                <w:szCs w:val="18"/>
                <w:lang w:val="nb-NO"/>
              </w:rPr>
              <w:t>)</w:t>
            </w:r>
          </w:p>
        </w:tc>
        <w:tc>
          <w:tcPr>
            <w:tcW w:w="1213" w:type="dxa"/>
            <w:tcBorders>
              <w:bottom w:val="single" w:sz="4" w:space="0" w:color="auto"/>
            </w:tcBorders>
          </w:tcPr>
          <w:p w14:paraId="6483AC04" w14:textId="77777777" w:rsidR="00B26DCB" w:rsidRPr="00C87130" w:rsidRDefault="00B26DCB" w:rsidP="00376528">
            <w:pPr>
              <w:contextualSpacing/>
              <w:mirrorIndents/>
              <w:jc w:val="center"/>
              <w:rPr>
                <w:rFonts w:ascii="Arial" w:hAnsi="Arial" w:cs="Arial"/>
                <w:b/>
                <w:bCs/>
                <w:sz w:val="18"/>
                <w:szCs w:val="18"/>
                <w:lang w:val="nb-NO"/>
              </w:rPr>
            </w:pPr>
            <w:r w:rsidRPr="00C87130">
              <w:rPr>
                <w:rFonts w:ascii="Arial" w:hAnsi="Arial" w:cs="Arial"/>
                <w:b/>
                <w:bCs/>
                <w:sz w:val="18"/>
                <w:szCs w:val="18"/>
                <w:lang w:val="nb-NO"/>
              </w:rPr>
              <w:t>Δ</w:t>
            </w:r>
            <w:r w:rsidRPr="00C87130">
              <w:rPr>
                <w:rFonts w:ascii="Arial" w:hAnsi="Arial" w:cs="Arial"/>
                <w:b/>
                <w:bCs/>
                <w:i/>
                <w:iCs/>
                <w:sz w:val="18"/>
                <w:szCs w:val="18"/>
                <w:lang w:val="nb-NO"/>
              </w:rPr>
              <w:t>H</w:t>
            </w:r>
          </w:p>
          <w:p w14:paraId="2A6B0F5D" w14:textId="77777777" w:rsidR="00B26DCB" w:rsidRPr="00C87130" w:rsidRDefault="00B26DCB" w:rsidP="00376528">
            <w:pPr>
              <w:adjustRightInd w:val="0"/>
              <w:spacing w:line="360" w:lineRule="auto"/>
              <w:contextualSpacing/>
              <w:jc w:val="center"/>
              <w:rPr>
                <w:rFonts w:ascii="Arial" w:hAnsi="Arial" w:cs="Arial"/>
                <w:sz w:val="18"/>
                <w:szCs w:val="18"/>
              </w:rPr>
            </w:pPr>
            <w:r w:rsidRPr="00C87130">
              <w:rPr>
                <w:rFonts w:ascii="Arial" w:hAnsi="Arial" w:cs="Arial"/>
                <w:b/>
                <w:bCs/>
                <w:sz w:val="18"/>
                <w:szCs w:val="18"/>
                <w:lang w:val="nb-NO"/>
              </w:rPr>
              <w:t>(</w:t>
            </w:r>
            <w:proofErr w:type="spellStart"/>
            <w:r w:rsidRPr="00C87130">
              <w:rPr>
                <w:rFonts w:ascii="Arial" w:hAnsi="Arial" w:cs="Arial"/>
                <w:b/>
                <w:bCs/>
                <w:sz w:val="18"/>
                <w:szCs w:val="18"/>
                <w:lang w:val="nb-NO"/>
              </w:rPr>
              <w:t>kJ</w:t>
            </w:r>
            <w:proofErr w:type="spellEnd"/>
            <w:r w:rsidRPr="00C87130">
              <w:rPr>
                <w:rFonts w:ascii="Arial" w:hAnsi="Arial" w:cs="Arial"/>
                <w:b/>
                <w:bCs/>
                <w:sz w:val="18"/>
                <w:szCs w:val="18"/>
                <w:lang w:val="nb-NO"/>
              </w:rPr>
              <w:t xml:space="preserve"> mol</w:t>
            </w:r>
            <w:r w:rsidRPr="00C87130">
              <w:rPr>
                <w:rFonts w:ascii="Arial" w:hAnsi="Arial" w:cs="Arial"/>
                <w:b/>
                <w:bCs/>
                <w:sz w:val="18"/>
                <w:szCs w:val="18"/>
                <w:vertAlign w:val="superscript"/>
                <w:lang w:val="nb-NO"/>
              </w:rPr>
              <w:t>–1</w:t>
            </w:r>
            <w:r w:rsidRPr="00C87130">
              <w:rPr>
                <w:rFonts w:ascii="Arial" w:hAnsi="Arial" w:cs="Arial"/>
                <w:b/>
                <w:bCs/>
                <w:sz w:val="18"/>
                <w:szCs w:val="18"/>
                <w:lang w:val="nb-NO"/>
              </w:rPr>
              <w:t>)</w:t>
            </w:r>
          </w:p>
        </w:tc>
        <w:tc>
          <w:tcPr>
            <w:tcW w:w="1197" w:type="dxa"/>
            <w:tcBorders>
              <w:bottom w:val="single" w:sz="4" w:space="0" w:color="auto"/>
            </w:tcBorders>
          </w:tcPr>
          <w:p w14:paraId="68392A90" w14:textId="77777777" w:rsidR="00B26DCB" w:rsidRPr="00C87130" w:rsidRDefault="00B26DCB" w:rsidP="00376528">
            <w:pPr>
              <w:contextualSpacing/>
              <w:mirrorIndents/>
              <w:jc w:val="center"/>
              <w:rPr>
                <w:rFonts w:ascii="Arial" w:hAnsi="Arial" w:cs="Arial"/>
                <w:b/>
                <w:bCs/>
                <w:sz w:val="18"/>
                <w:szCs w:val="18"/>
                <w:lang w:val="nb-NO"/>
              </w:rPr>
            </w:pPr>
            <w:r w:rsidRPr="00C87130">
              <w:rPr>
                <w:rFonts w:ascii="Arial" w:hAnsi="Arial" w:cs="Arial"/>
                <w:b/>
                <w:bCs/>
                <w:sz w:val="18"/>
                <w:szCs w:val="18"/>
                <w:lang w:val="nb-NO"/>
              </w:rPr>
              <w:t>–</w:t>
            </w:r>
            <w:r w:rsidRPr="00C87130">
              <w:rPr>
                <w:rFonts w:ascii="Arial" w:hAnsi="Arial" w:cs="Arial"/>
                <w:b/>
                <w:bCs/>
                <w:i/>
                <w:iCs/>
                <w:sz w:val="18"/>
                <w:szCs w:val="18"/>
                <w:lang w:val="nb-NO"/>
              </w:rPr>
              <w:t>T</w:t>
            </w:r>
            <w:r w:rsidRPr="00C87130">
              <w:rPr>
                <w:rFonts w:ascii="Arial" w:hAnsi="Arial" w:cs="Arial"/>
                <w:b/>
                <w:bCs/>
                <w:sz w:val="18"/>
                <w:szCs w:val="18"/>
                <w:lang w:val="nb-NO"/>
              </w:rPr>
              <w:t>Δ</w:t>
            </w:r>
            <w:r w:rsidRPr="00C87130">
              <w:rPr>
                <w:rFonts w:ascii="Arial" w:hAnsi="Arial" w:cs="Arial"/>
                <w:b/>
                <w:bCs/>
                <w:i/>
                <w:iCs/>
                <w:sz w:val="18"/>
                <w:szCs w:val="18"/>
                <w:lang w:val="nb-NO"/>
              </w:rPr>
              <w:t>S</w:t>
            </w:r>
          </w:p>
          <w:p w14:paraId="7422D6F6" w14:textId="77777777" w:rsidR="00B26DCB" w:rsidRPr="00C87130" w:rsidRDefault="00B26DCB" w:rsidP="00376528">
            <w:pPr>
              <w:adjustRightInd w:val="0"/>
              <w:spacing w:line="360" w:lineRule="auto"/>
              <w:contextualSpacing/>
              <w:jc w:val="center"/>
              <w:rPr>
                <w:rFonts w:ascii="Arial" w:hAnsi="Arial" w:cs="Arial"/>
                <w:sz w:val="18"/>
                <w:szCs w:val="18"/>
              </w:rPr>
            </w:pPr>
            <w:r w:rsidRPr="00C87130">
              <w:rPr>
                <w:rFonts w:ascii="Arial" w:hAnsi="Arial" w:cs="Arial"/>
                <w:b/>
                <w:bCs/>
                <w:sz w:val="18"/>
                <w:szCs w:val="18"/>
                <w:lang w:val="nb-NO"/>
              </w:rPr>
              <w:t>(</w:t>
            </w:r>
            <w:proofErr w:type="spellStart"/>
            <w:r w:rsidRPr="00C87130">
              <w:rPr>
                <w:rFonts w:ascii="Arial" w:hAnsi="Arial" w:cs="Arial"/>
                <w:b/>
                <w:bCs/>
                <w:sz w:val="18"/>
                <w:szCs w:val="18"/>
                <w:lang w:val="nb-NO"/>
              </w:rPr>
              <w:t>kJ</w:t>
            </w:r>
            <w:proofErr w:type="spellEnd"/>
            <w:r w:rsidRPr="00C87130">
              <w:rPr>
                <w:rFonts w:ascii="Arial" w:hAnsi="Arial" w:cs="Arial"/>
                <w:b/>
                <w:bCs/>
                <w:sz w:val="18"/>
                <w:szCs w:val="18"/>
                <w:lang w:val="nb-NO"/>
              </w:rPr>
              <w:t xml:space="preserve"> mol</w:t>
            </w:r>
            <w:r w:rsidRPr="00C87130">
              <w:rPr>
                <w:rFonts w:ascii="Arial" w:hAnsi="Arial" w:cs="Arial"/>
                <w:b/>
                <w:bCs/>
                <w:sz w:val="18"/>
                <w:szCs w:val="18"/>
                <w:vertAlign w:val="superscript"/>
                <w:lang w:val="nb-NO"/>
              </w:rPr>
              <w:t>–1</w:t>
            </w:r>
            <w:r w:rsidRPr="00C87130">
              <w:rPr>
                <w:rFonts w:ascii="Arial" w:hAnsi="Arial" w:cs="Arial"/>
                <w:b/>
                <w:bCs/>
                <w:sz w:val="18"/>
                <w:szCs w:val="18"/>
                <w:lang w:val="nb-NO"/>
              </w:rPr>
              <w:t>)</w:t>
            </w:r>
          </w:p>
        </w:tc>
      </w:tr>
      <w:tr w:rsidR="00B26DCB" w14:paraId="2BCD410B" w14:textId="77777777" w:rsidTr="00B26DCB">
        <w:tc>
          <w:tcPr>
            <w:tcW w:w="817" w:type="dxa"/>
            <w:tcBorders>
              <w:top w:val="single" w:sz="4" w:space="0" w:color="auto"/>
              <w:right w:val="single" w:sz="4" w:space="0" w:color="auto"/>
            </w:tcBorders>
          </w:tcPr>
          <w:p w14:paraId="73B0E9DB" w14:textId="77777777" w:rsidR="00B26DCB" w:rsidRPr="00D437A0" w:rsidRDefault="00B26DCB" w:rsidP="00376528">
            <w:pPr>
              <w:adjustRightInd w:val="0"/>
              <w:spacing w:line="360" w:lineRule="auto"/>
              <w:contextualSpacing/>
              <w:jc w:val="center"/>
              <w:rPr>
                <w:rFonts w:ascii="Arial" w:hAnsi="Arial" w:cs="Arial"/>
                <w:b/>
                <w:bCs/>
                <w:sz w:val="18"/>
                <w:szCs w:val="18"/>
              </w:rPr>
            </w:pPr>
            <w:r w:rsidRPr="00D437A0">
              <w:rPr>
                <w:rFonts w:ascii="Arial" w:hAnsi="Arial" w:cs="Arial"/>
                <w:b/>
                <w:bCs/>
                <w:sz w:val="18"/>
                <w:szCs w:val="18"/>
                <w:lang w:val="nb-NO"/>
              </w:rPr>
              <w:t>G1</w:t>
            </w:r>
          </w:p>
        </w:tc>
        <w:tc>
          <w:tcPr>
            <w:tcW w:w="1309" w:type="dxa"/>
            <w:tcBorders>
              <w:top w:val="single" w:sz="4" w:space="0" w:color="auto"/>
              <w:left w:val="single" w:sz="4" w:space="0" w:color="auto"/>
            </w:tcBorders>
          </w:tcPr>
          <w:p w14:paraId="65086D78"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–20.8 ± 0.1</w:t>
            </w:r>
            <w:r>
              <w:rPr>
                <w:rFonts w:ascii="Arial" w:hAnsi="Arial" w:cs="Arial"/>
                <w:sz w:val="18"/>
                <w:szCs w:val="18"/>
                <w:vertAlign w:val="superscript"/>
                <w:lang w:val="nb-NO"/>
              </w:rPr>
              <w:t>b</w:t>
            </w:r>
          </w:p>
        </w:tc>
        <w:tc>
          <w:tcPr>
            <w:tcW w:w="1276" w:type="dxa"/>
            <w:tcBorders>
              <w:top w:val="single" w:sz="4" w:space="0" w:color="auto"/>
            </w:tcBorders>
          </w:tcPr>
          <w:p w14:paraId="0F5C78A0"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–23.2 ± 0.1</w:t>
            </w:r>
            <w:r>
              <w:rPr>
                <w:rFonts w:ascii="Arial" w:hAnsi="Arial" w:cs="Arial"/>
                <w:sz w:val="18"/>
                <w:szCs w:val="18"/>
                <w:vertAlign w:val="superscript"/>
                <w:lang w:val="nb-NO"/>
              </w:rPr>
              <w:t>b</w:t>
            </w:r>
          </w:p>
        </w:tc>
        <w:tc>
          <w:tcPr>
            <w:tcW w:w="1134" w:type="dxa"/>
            <w:tcBorders>
              <w:top w:val="single" w:sz="4" w:space="0" w:color="auto"/>
              <w:right w:val="single" w:sz="4" w:space="0" w:color="auto"/>
            </w:tcBorders>
          </w:tcPr>
          <w:p w14:paraId="698C5868"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 xml:space="preserve">2.4 ± 0.3 </w:t>
            </w:r>
            <w:r>
              <w:rPr>
                <w:rFonts w:ascii="Arial" w:hAnsi="Arial" w:cs="Arial"/>
                <w:sz w:val="18"/>
                <w:szCs w:val="18"/>
                <w:vertAlign w:val="superscript"/>
                <w:lang w:val="nb-NO"/>
              </w:rPr>
              <w:t>b</w:t>
            </w:r>
          </w:p>
        </w:tc>
        <w:tc>
          <w:tcPr>
            <w:tcW w:w="1134" w:type="dxa"/>
            <w:tcBorders>
              <w:top w:val="single" w:sz="4" w:space="0" w:color="auto"/>
              <w:left w:val="single" w:sz="4" w:space="0" w:color="auto"/>
            </w:tcBorders>
          </w:tcPr>
          <w:p w14:paraId="48287628"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 xml:space="preserve">– </w:t>
            </w:r>
            <w:r>
              <w:rPr>
                <w:rFonts w:ascii="Arial" w:hAnsi="Arial" w:cs="Arial"/>
                <w:sz w:val="18"/>
                <w:szCs w:val="18"/>
                <w:vertAlign w:val="superscript"/>
                <w:lang w:val="nb-NO"/>
              </w:rPr>
              <w:t>c</w:t>
            </w:r>
          </w:p>
        </w:tc>
        <w:tc>
          <w:tcPr>
            <w:tcW w:w="1213" w:type="dxa"/>
            <w:tcBorders>
              <w:top w:val="single" w:sz="4" w:space="0" w:color="auto"/>
            </w:tcBorders>
          </w:tcPr>
          <w:p w14:paraId="5349B758"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 xml:space="preserve">– </w:t>
            </w:r>
            <w:r>
              <w:rPr>
                <w:rFonts w:ascii="Arial" w:hAnsi="Arial" w:cs="Arial"/>
                <w:sz w:val="18"/>
                <w:szCs w:val="18"/>
                <w:vertAlign w:val="superscript"/>
                <w:lang w:val="nb-NO"/>
              </w:rPr>
              <w:t>c</w:t>
            </w:r>
          </w:p>
        </w:tc>
        <w:tc>
          <w:tcPr>
            <w:tcW w:w="1197" w:type="dxa"/>
            <w:tcBorders>
              <w:top w:val="single" w:sz="4" w:space="0" w:color="auto"/>
            </w:tcBorders>
          </w:tcPr>
          <w:p w14:paraId="4E0B8A80"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 xml:space="preserve">– </w:t>
            </w:r>
            <w:r>
              <w:rPr>
                <w:rFonts w:ascii="Arial" w:hAnsi="Arial" w:cs="Arial"/>
                <w:sz w:val="18"/>
                <w:szCs w:val="18"/>
                <w:vertAlign w:val="superscript"/>
                <w:lang w:val="nb-NO"/>
              </w:rPr>
              <w:t>c</w:t>
            </w:r>
          </w:p>
        </w:tc>
      </w:tr>
      <w:tr w:rsidR="00B26DCB" w:rsidRPr="00C72B71" w14:paraId="259AB8E8" w14:textId="77777777" w:rsidTr="00B26DCB">
        <w:tc>
          <w:tcPr>
            <w:tcW w:w="817" w:type="dxa"/>
            <w:tcBorders>
              <w:right w:val="single" w:sz="4" w:space="0" w:color="auto"/>
            </w:tcBorders>
          </w:tcPr>
          <w:p w14:paraId="7C451617" w14:textId="77777777" w:rsidR="00B26DCB" w:rsidRPr="00D437A0" w:rsidRDefault="00B26DCB" w:rsidP="00376528">
            <w:pPr>
              <w:adjustRightInd w:val="0"/>
              <w:spacing w:line="360" w:lineRule="auto"/>
              <w:contextualSpacing/>
              <w:jc w:val="center"/>
              <w:rPr>
                <w:rFonts w:ascii="Arial" w:hAnsi="Arial" w:cs="Arial"/>
                <w:b/>
                <w:bCs/>
                <w:sz w:val="18"/>
                <w:szCs w:val="18"/>
              </w:rPr>
            </w:pPr>
            <w:r w:rsidRPr="00D437A0">
              <w:rPr>
                <w:rFonts w:ascii="Arial" w:hAnsi="Arial" w:cs="Arial"/>
                <w:b/>
                <w:bCs/>
                <w:sz w:val="18"/>
                <w:szCs w:val="18"/>
                <w:lang w:val="nb-NO"/>
              </w:rPr>
              <w:t>G2</w:t>
            </w:r>
          </w:p>
        </w:tc>
        <w:tc>
          <w:tcPr>
            <w:tcW w:w="1309" w:type="dxa"/>
            <w:tcBorders>
              <w:left w:val="single" w:sz="4" w:space="0" w:color="auto"/>
            </w:tcBorders>
          </w:tcPr>
          <w:p w14:paraId="016D5B0F"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–28.9 ± 0.1</w:t>
            </w:r>
            <w:r w:rsidRPr="00D437A0">
              <w:rPr>
                <w:rFonts w:ascii="Arial" w:hAnsi="Arial" w:cs="Arial"/>
                <w:sz w:val="18"/>
                <w:szCs w:val="18"/>
                <w:vertAlign w:val="superscript"/>
                <w:lang w:val="nb-NO"/>
              </w:rPr>
              <w:t xml:space="preserve"> </w:t>
            </w:r>
            <w:r>
              <w:rPr>
                <w:rFonts w:ascii="Arial" w:hAnsi="Arial" w:cs="Arial"/>
                <w:sz w:val="18"/>
                <w:szCs w:val="18"/>
                <w:vertAlign w:val="superscript"/>
                <w:lang w:val="nb-NO"/>
              </w:rPr>
              <w:t>b</w:t>
            </w:r>
          </w:p>
        </w:tc>
        <w:tc>
          <w:tcPr>
            <w:tcW w:w="1276" w:type="dxa"/>
          </w:tcPr>
          <w:p w14:paraId="5B4AF4BC"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–40.2 ± 1.1</w:t>
            </w:r>
            <w:r>
              <w:rPr>
                <w:rFonts w:ascii="Arial" w:hAnsi="Arial" w:cs="Arial"/>
                <w:sz w:val="18"/>
                <w:szCs w:val="18"/>
                <w:vertAlign w:val="superscript"/>
                <w:lang w:val="nb-NO"/>
              </w:rPr>
              <w:t>b</w:t>
            </w:r>
          </w:p>
        </w:tc>
        <w:tc>
          <w:tcPr>
            <w:tcW w:w="1134" w:type="dxa"/>
            <w:tcBorders>
              <w:right w:val="single" w:sz="4" w:space="0" w:color="auto"/>
            </w:tcBorders>
          </w:tcPr>
          <w:p w14:paraId="659BC988"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11.0 ± 1.0</w:t>
            </w:r>
            <w:r w:rsidRPr="00167C03">
              <w:rPr>
                <w:rFonts w:ascii="Arial" w:hAnsi="Arial" w:cs="Arial"/>
                <w:sz w:val="18"/>
                <w:szCs w:val="18"/>
                <w:vertAlign w:val="superscript"/>
                <w:lang w:val="nb-NO"/>
              </w:rPr>
              <w:t>b</w:t>
            </w:r>
          </w:p>
        </w:tc>
        <w:tc>
          <w:tcPr>
            <w:tcW w:w="1134" w:type="dxa"/>
            <w:tcBorders>
              <w:left w:val="single" w:sz="4" w:space="0" w:color="auto"/>
            </w:tcBorders>
          </w:tcPr>
          <w:p w14:paraId="248F47AA" w14:textId="0802F6DF" w:rsidR="00B26DCB" w:rsidRPr="00D437A0" w:rsidRDefault="00B26DCB" w:rsidP="00376528">
            <w:pPr>
              <w:adjustRightInd w:val="0"/>
              <w:spacing w:line="360" w:lineRule="auto"/>
              <w:contextualSpacing/>
              <w:jc w:val="center"/>
              <w:rPr>
                <w:rFonts w:ascii="Arial" w:hAnsi="Arial" w:cs="Arial"/>
                <w:sz w:val="18"/>
                <w:szCs w:val="18"/>
              </w:rPr>
            </w:pPr>
            <w:bookmarkStart w:id="0" w:name="_GoBack"/>
            <w:r w:rsidRPr="00D437A0">
              <w:rPr>
                <w:rFonts w:ascii="Arial" w:hAnsi="Arial" w:cs="Arial"/>
                <w:sz w:val="18"/>
                <w:szCs w:val="18"/>
                <w:lang w:val="nb-NO"/>
              </w:rPr>
              <w:t>–</w:t>
            </w:r>
            <w:r w:rsidR="008C78FB">
              <w:rPr>
                <w:rFonts w:ascii="Arial" w:hAnsi="Arial" w:cs="Arial"/>
                <w:sz w:val="18"/>
                <w:szCs w:val="18"/>
                <w:lang w:val="nb-NO"/>
              </w:rPr>
              <w:t>5.5</w:t>
            </w:r>
            <w:r w:rsidRPr="00D437A0">
              <w:rPr>
                <w:rFonts w:ascii="Arial" w:hAnsi="Arial" w:cs="Arial"/>
                <w:sz w:val="18"/>
                <w:szCs w:val="18"/>
                <w:lang w:val="nb-NO"/>
              </w:rPr>
              <w:t xml:space="preserve"> ± </w:t>
            </w:r>
            <w:r w:rsidR="008C78FB">
              <w:rPr>
                <w:rFonts w:ascii="Arial" w:hAnsi="Arial" w:cs="Arial"/>
                <w:sz w:val="18"/>
                <w:szCs w:val="18"/>
                <w:lang w:val="nb-NO"/>
              </w:rPr>
              <w:t>1</w:t>
            </w:r>
            <w:r w:rsidRPr="00D437A0">
              <w:rPr>
                <w:rFonts w:ascii="Arial" w:hAnsi="Arial" w:cs="Arial"/>
                <w:sz w:val="18"/>
                <w:szCs w:val="18"/>
                <w:lang w:val="nb-NO"/>
              </w:rPr>
              <w:t>.</w:t>
            </w:r>
            <w:r w:rsidR="008C78FB">
              <w:rPr>
                <w:rFonts w:ascii="Arial" w:hAnsi="Arial" w:cs="Arial"/>
                <w:sz w:val="18"/>
                <w:szCs w:val="18"/>
                <w:lang w:val="nb-NO"/>
              </w:rPr>
              <w:t>2</w:t>
            </w:r>
            <w:r>
              <w:rPr>
                <w:rFonts w:ascii="Arial" w:hAnsi="Arial" w:cs="Arial"/>
                <w:sz w:val="18"/>
                <w:szCs w:val="18"/>
                <w:vertAlign w:val="superscript"/>
                <w:lang w:val="nb-NO"/>
              </w:rPr>
              <w:t>d</w:t>
            </w:r>
            <w:bookmarkEnd w:id="0"/>
          </w:p>
        </w:tc>
        <w:tc>
          <w:tcPr>
            <w:tcW w:w="1213" w:type="dxa"/>
          </w:tcPr>
          <w:p w14:paraId="27BD15C2"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w:t>
            </w:r>
          </w:p>
        </w:tc>
        <w:tc>
          <w:tcPr>
            <w:tcW w:w="1197" w:type="dxa"/>
          </w:tcPr>
          <w:p w14:paraId="1BF87484"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w:t>
            </w:r>
          </w:p>
        </w:tc>
      </w:tr>
      <w:tr w:rsidR="00B26DCB" w14:paraId="256D0BDE" w14:textId="77777777" w:rsidTr="00B26DCB">
        <w:tc>
          <w:tcPr>
            <w:tcW w:w="817" w:type="dxa"/>
            <w:tcBorders>
              <w:right w:val="single" w:sz="4" w:space="0" w:color="auto"/>
            </w:tcBorders>
          </w:tcPr>
          <w:p w14:paraId="3BB464AA" w14:textId="77777777" w:rsidR="00B26DCB" w:rsidRPr="00D437A0" w:rsidRDefault="00B26DCB" w:rsidP="00376528">
            <w:pPr>
              <w:adjustRightInd w:val="0"/>
              <w:spacing w:line="360" w:lineRule="auto"/>
              <w:contextualSpacing/>
              <w:jc w:val="center"/>
              <w:rPr>
                <w:rFonts w:ascii="Arial" w:hAnsi="Arial" w:cs="Arial"/>
                <w:b/>
                <w:bCs/>
                <w:sz w:val="18"/>
                <w:szCs w:val="18"/>
              </w:rPr>
            </w:pPr>
            <w:r w:rsidRPr="00D437A0">
              <w:rPr>
                <w:rFonts w:ascii="Arial" w:hAnsi="Arial" w:cs="Arial"/>
                <w:b/>
                <w:bCs/>
                <w:sz w:val="18"/>
                <w:szCs w:val="18"/>
                <w:lang w:val="nb-NO"/>
              </w:rPr>
              <w:t>G3</w:t>
            </w:r>
          </w:p>
        </w:tc>
        <w:tc>
          <w:tcPr>
            <w:tcW w:w="1309" w:type="dxa"/>
            <w:tcBorders>
              <w:left w:val="single" w:sz="4" w:space="0" w:color="auto"/>
            </w:tcBorders>
          </w:tcPr>
          <w:p w14:paraId="12869312"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–33.9 ± 0.1</w:t>
            </w:r>
          </w:p>
        </w:tc>
        <w:tc>
          <w:tcPr>
            <w:tcW w:w="1276" w:type="dxa"/>
          </w:tcPr>
          <w:p w14:paraId="4FC4CDB0"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–50.2 ± 0.0</w:t>
            </w:r>
          </w:p>
        </w:tc>
        <w:tc>
          <w:tcPr>
            <w:tcW w:w="1134" w:type="dxa"/>
            <w:tcBorders>
              <w:right w:val="single" w:sz="4" w:space="0" w:color="auto"/>
            </w:tcBorders>
          </w:tcPr>
          <w:p w14:paraId="4C13C2F6"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16.3 ± 0.1</w:t>
            </w:r>
          </w:p>
        </w:tc>
        <w:tc>
          <w:tcPr>
            <w:tcW w:w="1134" w:type="dxa"/>
            <w:tcBorders>
              <w:left w:val="single" w:sz="4" w:space="0" w:color="auto"/>
            </w:tcBorders>
          </w:tcPr>
          <w:p w14:paraId="2D2B3208"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–14.1 ± 0.3</w:t>
            </w:r>
          </w:p>
        </w:tc>
        <w:tc>
          <w:tcPr>
            <w:tcW w:w="1213" w:type="dxa"/>
          </w:tcPr>
          <w:p w14:paraId="6D2B2E80"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–25.2 ± 0.6</w:t>
            </w:r>
          </w:p>
        </w:tc>
        <w:tc>
          <w:tcPr>
            <w:tcW w:w="1197" w:type="dxa"/>
          </w:tcPr>
          <w:p w14:paraId="2CA3DD49"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11.1 ± 0.3</w:t>
            </w:r>
          </w:p>
        </w:tc>
      </w:tr>
      <w:tr w:rsidR="00B26DCB" w14:paraId="5AABCD80" w14:textId="77777777" w:rsidTr="00B26DCB">
        <w:tc>
          <w:tcPr>
            <w:tcW w:w="817" w:type="dxa"/>
            <w:tcBorders>
              <w:right w:val="single" w:sz="4" w:space="0" w:color="auto"/>
            </w:tcBorders>
          </w:tcPr>
          <w:p w14:paraId="636D0F06" w14:textId="77777777" w:rsidR="00B26DCB" w:rsidRPr="00D437A0" w:rsidRDefault="00B26DCB" w:rsidP="00376528">
            <w:pPr>
              <w:adjustRightInd w:val="0"/>
              <w:spacing w:line="360" w:lineRule="auto"/>
              <w:contextualSpacing/>
              <w:jc w:val="center"/>
              <w:rPr>
                <w:rFonts w:ascii="Arial" w:hAnsi="Arial" w:cs="Arial"/>
                <w:b/>
                <w:bCs/>
                <w:sz w:val="18"/>
                <w:szCs w:val="18"/>
                <w:lang w:val="nb-NO"/>
              </w:rPr>
            </w:pPr>
            <w:r w:rsidRPr="00D437A0">
              <w:rPr>
                <w:rFonts w:ascii="Arial" w:hAnsi="Arial" w:cs="Arial"/>
                <w:b/>
                <w:bCs/>
                <w:sz w:val="18"/>
                <w:szCs w:val="18"/>
                <w:lang w:val="nb-NO"/>
              </w:rPr>
              <w:t>G4</w:t>
            </w:r>
          </w:p>
        </w:tc>
        <w:tc>
          <w:tcPr>
            <w:tcW w:w="1309" w:type="dxa"/>
            <w:tcBorders>
              <w:left w:val="single" w:sz="4" w:space="0" w:color="auto"/>
            </w:tcBorders>
          </w:tcPr>
          <w:p w14:paraId="69E64F0A" w14:textId="77777777" w:rsidR="00B26DCB" w:rsidRPr="00D437A0" w:rsidRDefault="00B26DCB" w:rsidP="00376528">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–28.3 ± 0.2</w:t>
            </w:r>
          </w:p>
        </w:tc>
        <w:tc>
          <w:tcPr>
            <w:tcW w:w="1276" w:type="dxa"/>
          </w:tcPr>
          <w:p w14:paraId="4373281F" w14:textId="77777777" w:rsidR="00B26DCB" w:rsidRPr="00D437A0" w:rsidRDefault="00B26DCB" w:rsidP="00376528">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–28.0 ± 0.7</w:t>
            </w:r>
          </w:p>
        </w:tc>
        <w:tc>
          <w:tcPr>
            <w:tcW w:w="1134" w:type="dxa"/>
            <w:tcBorders>
              <w:right w:val="single" w:sz="4" w:space="0" w:color="auto"/>
            </w:tcBorders>
          </w:tcPr>
          <w:p w14:paraId="33D6FFE9" w14:textId="77777777" w:rsidR="00B26DCB" w:rsidRPr="00D437A0" w:rsidRDefault="00B26DCB" w:rsidP="00376528">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–0.3 ± 0.5</w:t>
            </w:r>
          </w:p>
        </w:tc>
        <w:tc>
          <w:tcPr>
            <w:tcW w:w="1134" w:type="dxa"/>
            <w:tcBorders>
              <w:left w:val="single" w:sz="4" w:space="0" w:color="auto"/>
            </w:tcBorders>
          </w:tcPr>
          <w:p w14:paraId="5A244E88" w14:textId="77777777" w:rsidR="00B26DCB" w:rsidRPr="00D437A0" w:rsidRDefault="00B26DCB" w:rsidP="00376528">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–15.1 ± 0.1</w:t>
            </w:r>
          </w:p>
        </w:tc>
        <w:tc>
          <w:tcPr>
            <w:tcW w:w="1213" w:type="dxa"/>
          </w:tcPr>
          <w:p w14:paraId="3DE59CC9" w14:textId="77777777" w:rsidR="00B26DCB" w:rsidRPr="00D437A0" w:rsidRDefault="00B26DCB" w:rsidP="00376528">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–30.5 ± 2.9</w:t>
            </w:r>
          </w:p>
        </w:tc>
        <w:tc>
          <w:tcPr>
            <w:tcW w:w="1197" w:type="dxa"/>
          </w:tcPr>
          <w:p w14:paraId="2CBC9BA5" w14:textId="77777777" w:rsidR="00B26DCB" w:rsidRPr="00D437A0" w:rsidRDefault="00B26DCB" w:rsidP="00376528">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15.4 ± 2.8</w:t>
            </w:r>
          </w:p>
        </w:tc>
      </w:tr>
      <w:tr w:rsidR="00B26DCB" w:rsidRPr="00C72B71" w14:paraId="60830967" w14:textId="77777777" w:rsidTr="00B26DCB">
        <w:tc>
          <w:tcPr>
            <w:tcW w:w="817" w:type="dxa"/>
            <w:tcBorders>
              <w:right w:val="single" w:sz="4" w:space="0" w:color="auto"/>
            </w:tcBorders>
          </w:tcPr>
          <w:p w14:paraId="0BF7890F" w14:textId="77777777" w:rsidR="00B26DCB" w:rsidRPr="00D437A0" w:rsidRDefault="00B26DCB" w:rsidP="00376528">
            <w:pPr>
              <w:adjustRightInd w:val="0"/>
              <w:spacing w:line="360" w:lineRule="auto"/>
              <w:contextualSpacing/>
              <w:jc w:val="center"/>
              <w:rPr>
                <w:rFonts w:ascii="Arial" w:hAnsi="Arial" w:cs="Arial"/>
                <w:b/>
                <w:bCs/>
                <w:sz w:val="18"/>
                <w:szCs w:val="18"/>
              </w:rPr>
            </w:pPr>
            <w:r w:rsidRPr="00D437A0">
              <w:rPr>
                <w:rFonts w:ascii="Arial" w:hAnsi="Arial" w:cs="Arial"/>
                <w:b/>
                <w:bCs/>
                <w:sz w:val="18"/>
                <w:szCs w:val="18"/>
                <w:lang w:val="nb-NO"/>
              </w:rPr>
              <w:t>G5</w:t>
            </w:r>
          </w:p>
        </w:tc>
        <w:tc>
          <w:tcPr>
            <w:tcW w:w="1309" w:type="dxa"/>
            <w:tcBorders>
              <w:left w:val="single" w:sz="4" w:space="0" w:color="auto"/>
            </w:tcBorders>
          </w:tcPr>
          <w:p w14:paraId="3251CAF5"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–19.8 ± 0.0</w:t>
            </w:r>
            <w:r w:rsidRPr="00D437A0">
              <w:rPr>
                <w:rFonts w:ascii="Arial" w:hAnsi="Arial" w:cs="Arial"/>
                <w:sz w:val="18"/>
                <w:szCs w:val="18"/>
                <w:vertAlign w:val="superscript"/>
              </w:rPr>
              <w:t xml:space="preserve"> </w:t>
            </w:r>
            <w:r>
              <w:rPr>
                <w:rFonts w:ascii="Arial" w:hAnsi="Arial" w:cs="Arial"/>
                <w:sz w:val="18"/>
                <w:szCs w:val="18"/>
                <w:vertAlign w:val="superscript"/>
              </w:rPr>
              <w:t>e</w:t>
            </w:r>
          </w:p>
        </w:tc>
        <w:tc>
          <w:tcPr>
            <w:tcW w:w="1276" w:type="dxa"/>
          </w:tcPr>
          <w:p w14:paraId="06E3EFED"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–31.3 ± 0.2</w:t>
            </w:r>
            <w:r w:rsidRPr="00D437A0">
              <w:rPr>
                <w:rFonts w:ascii="Arial" w:hAnsi="Arial" w:cs="Arial"/>
                <w:sz w:val="18"/>
                <w:szCs w:val="18"/>
                <w:vertAlign w:val="superscript"/>
              </w:rPr>
              <w:t xml:space="preserve"> </w:t>
            </w:r>
            <w:r>
              <w:rPr>
                <w:rFonts w:ascii="Arial" w:hAnsi="Arial" w:cs="Arial"/>
                <w:sz w:val="18"/>
                <w:szCs w:val="18"/>
                <w:vertAlign w:val="superscript"/>
              </w:rPr>
              <w:t>e</w:t>
            </w:r>
          </w:p>
        </w:tc>
        <w:tc>
          <w:tcPr>
            <w:tcW w:w="1134" w:type="dxa"/>
            <w:tcBorders>
              <w:right w:val="single" w:sz="4" w:space="0" w:color="auto"/>
            </w:tcBorders>
          </w:tcPr>
          <w:p w14:paraId="7177FF2E"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11.5 ± 0.2</w:t>
            </w:r>
            <w:r>
              <w:rPr>
                <w:rFonts w:ascii="Arial" w:hAnsi="Arial" w:cs="Arial"/>
                <w:sz w:val="18"/>
                <w:szCs w:val="18"/>
                <w:vertAlign w:val="superscript"/>
              </w:rPr>
              <w:t>e</w:t>
            </w:r>
          </w:p>
        </w:tc>
        <w:tc>
          <w:tcPr>
            <w:tcW w:w="1134" w:type="dxa"/>
            <w:tcBorders>
              <w:left w:val="single" w:sz="4" w:space="0" w:color="auto"/>
            </w:tcBorders>
          </w:tcPr>
          <w:p w14:paraId="23858EBC"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–23.3 ± 0.1</w:t>
            </w:r>
          </w:p>
        </w:tc>
        <w:tc>
          <w:tcPr>
            <w:tcW w:w="1213" w:type="dxa"/>
          </w:tcPr>
          <w:p w14:paraId="55C1820F"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–25.8 ± 0.0</w:t>
            </w:r>
          </w:p>
        </w:tc>
        <w:tc>
          <w:tcPr>
            <w:tcW w:w="1197" w:type="dxa"/>
          </w:tcPr>
          <w:p w14:paraId="7BA76964"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2.5 ± 0.1</w:t>
            </w:r>
          </w:p>
        </w:tc>
      </w:tr>
      <w:tr w:rsidR="00B26DCB" w14:paraId="11E4DD63" w14:textId="77777777" w:rsidTr="00B26DCB">
        <w:tc>
          <w:tcPr>
            <w:tcW w:w="817" w:type="dxa"/>
            <w:tcBorders>
              <w:right w:val="single" w:sz="4" w:space="0" w:color="auto"/>
            </w:tcBorders>
          </w:tcPr>
          <w:p w14:paraId="1E0C99CC" w14:textId="77777777" w:rsidR="00B26DCB" w:rsidRPr="00D437A0" w:rsidRDefault="00B26DCB" w:rsidP="00376528">
            <w:pPr>
              <w:adjustRightInd w:val="0"/>
              <w:spacing w:line="360" w:lineRule="auto"/>
              <w:contextualSpacing/>
              <w:jc w:val="center"/>
              <w:rPr>
                <w:rFonts w:ascii="Arial" w:hAnsi="Arial" w:cs="Arial"/>
                <w:b/>
                <w:bCs/>
                <w:sz w:val="18"/>
                <w:szCs w:val="18"/>
                <w:lang w:val="nb-NO"/>
              </w:rPr>
            </w:pPr>
            <w:r w:rsidRPr="00D437A0">
              <w:rPr>
                <w:rFonts w:ascii="Arial" w:hAnsi="Arial" w:cs="Arial"/>
                <w:b/>
                <w:bCs/>
                <w:sz w:val="18"/>
                <w:szCs w:val="18"/>
                <w:lang w:val="nb-NO"/>
              </w:rPr>
              <w:t>G6</w:t>
            </w:r>
          </w:p>
        </w:tc>
        <w:tc>
          <w:tcPr>
            <w:tcW w:w="1309" w:type="dxa"/>
            <w:tcBorders>
              <w:left w:val="single" w:sz="4" w:space="0" w:color="auto"/>
            </w:tcBorders>
          </w:tcPr>
          <w:p w14:paraId="6474F7BB" w14:textId="77777777" w:rsidR="00B26DCB" w:rsidRPr="00D437A0" w:rsidRDefault="00B26DCB" w:rsidP="00376528">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–20.8 ± 0.1</w:t>
            </w:r>
            <w:r>
              <w:rPr>
                <w:rFonts w:ascii="Arial" w:hAnsi="Arial" w:cs="Arial"/>
                <w:sz w:val="18"/>
                <w:szCs w:val="18"/>
                <w:vertAlign w:val="superscript"/>
                <w:lang w:val="nb-NO"/>
              </w:rPr>
              <w:t>e</w:t>
            </w:r>
          </w:p>
        </w:tc>
        <w:tc>
          <w:tcPr>
            <w:tcW w:w="1276" w:type="dxa"/>
          </w:tcPr>
          <w:p w14:paraId="7650ABDA" w14:textId="77777777" w:rsidR="00B26DCB" w:rsidRPr="00D437A0" w:rsidRDefault="00B26DCB" w:rsidP="00376528">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–30.5 ± 1.4</w:t>
            </w:r>
            <w:r>
              <w:rPr>
                <w:rFonts w:ascii="Arial" w:hAnsi="Arial" w:cs="Arial"/>
                <w:sz w:val="18"/>
                <w:szCs w:val="18"/>
                <w:vertAlign w:val="superscript"/>
                <w:lang w:val="nb-NO"/>
              </w:rPr>
              <w:t>e</w:t>
            </w:r>
          </w:p>
        </w:tc>
        <w:tc>
          <w:tcPr>
            <w:tcW w:w="1134" w:type="dxa"/>
            <w:tcBorders>
              <w:right w:val="single" w:sz="4" w:space="0" w:color="auto"/>
            </w:tcBorders>
          </w:tcPr>
          <w:p w14:paraId="0FDDD21E" w14:textId="77777777" w:rsidR="00B26DCB" w:rsidRPr="00D437A0" w:rsidRDefault="00B26DCB" w:rsidP="00376528">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9.6 ± 1.4</w:t>
            </w:r>
            <w:r>
              <w:rPr>
                <w:rFonts w:ascii="Arial" w:hAnsi="Arial" w:cs="Arial"/>
                <w:sz w:val="18"/>
                <w:szCs w:val="18"/>
                <w:vertAlign w:val="superscript"/>
                <w:lang w:val="nb-NO"/>
              </w:rPr>
              <w:t>e</w:t>
            </w:r>
          </w:p>
        </w:tc>
        <w:tc>
          <w:tcPr>
            <w:tcW w:w="1134" w:type="dxa"/>
            <w:tcBorders>
              <w:left w:val="single" w:sz="4" w:space="0" w:color="auto"/>
            </w:tcBorders>
          </w:tcPr>
          <w:p w14:paraId="4BD28F8E" w14:textId="77777777" w:rsidR="00B26DCB" w:rsidRPr="00D437A0" w:rsidRDefault="00B26DCB" w:rsidP="00376528">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–24.4 ± 0.0</w:t>
            </w:r>
          </w:p>
        </w:tc>
        <w:tc>
          <w:tcPr>
            <w:tcW w:w="1213" w:type="dxa"/>
          </w:tcPr>
          <w:p w14:paraId="67DA1F70" w14:textId="77777777" w:rsidR="00B26DCB" w:rsidRPr="00D437A0" w:rsidRDefault="00B26DCB" w:rsidP="00376528">
            <w:pPr>
              <w:adjustRightInd w:val="0"/>
              <w:spacing w:line="360" w:lineRule="auto"/>
              <w:contextualSpacing/>
              <w:jc w:val="center"/>
              <w:rPr>
                <w:rFonts w:ascii="Arial" w:hAnsi="Arial" w:cs="Arial"/>
                <w:b/>
                <w:bCs/>
                <w:sz w:val="18"/>
                <w:szCs w:val="18"/>
                <w:lang w:val="nb-NO"/>
              </w:rPr>
            </w:pPr>
            <w:r w:rsidRPr="00D437A0">
              <w:rPr>
                <w:rFonts w:ascii="Arial" w:hAnsi="Arial" w:cs="Arial"/>
                <w:sz w:val="18"/>
                <w:szCs w:val="18"/>
                <w:lang w:val="nb-NO"/>
              </w:rPr>
              <w:t>–13.6 ± 0.1</w:t>
            </w:r>
          </w:p>
        </w:tc>
        <w:tc>
          <w:tcPr>
            <w:tcW w:w="1197" w:type="dxa"/>
          </w:tcPr>
          <w:p w14:paraId="35F4F842" w14:textId="77777777" w:rsidR="00B26DCB" w:rsidRPr="00D437A0" w:rsidRDefault="00B26DCB" w:rsidP="00376528">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–10.8 ± 0.1</w:t>
            </w:r>
          </w:p>
        </w:tc>
      </w:tr>
      <w:tr w:rsidR="00B26DCB" w14:paraId="0B50F5C4" w14:textId="77777777" w:rsidTr="00B26DCB">
        <w:tc>
          <w:tcPr>
            <w:tcW w:w="817" w:type="dxa"/>
            <w:tcBorders>
              <w:right w:val="single" w:sz="4" w:space="0" w:color="auto"/>
            </w:tcBorders>
          </w:tcPr>
          <w:p w14:paraId="140DD78A" w14:textId="77777777" w:rsidR="00B26DCB" w:rsidRPr="00D437A0" w:rsidRDefault="00B26DCB" w:rsidP="00376528">
            <w:pPr>
              <w:adjustRightInd w:val="0"/>
              <w:spacing w:line="360" w:lineRule="auto"/>
              <w:contextualSpacing/>
              <w:jc w:val="center"/>
              <w:rPr>
                <w:rFonts w:ascii="Arial" w:hAnsi="Arial" w:cs="Arial"/>
                <w:b/>
                <w:bCs/>
                <w:sz w:val="18"/>
                <w:szCs w:val="18"/>
                <w:lang w:val="nb-NO"/>
              </w:rPr>
            </w:pPr>
            <w:r w:rsidRPr="00D437A0">
              <w:rPr>
                <w:rFonts w:ascii="Arial" w:hAnsi="Arial" w:cs="Arial"/>
                <w:b/>
                <w:bCs/>
                <w:sz w:val="18"/>
                <w:szCs w:val="18"/>
                <w:lang w:val="nb-NO"/>
              </w:rPr>
              <w:t>G7</w:t>
            </w:r>
          </w:p>
        </w:tc>
        <w:tc>
          <w:tcPr>
            <w:tcW w:w="1309" w:type="dxa"/>
            <w:tcBorders>
              <w:left w:val="single" w:sz="4" w:space="0" w:color="auto"/>
            </w:tcBorders>
          </w:tcPr>
          <w:p w14:paraId="721281ED" w14:textId="77777777" w:rsidR="00B26DCB" w:rsidRPr="00D437A0" w:rsidRDefault="00B26DCB" w:rsidP="00376528">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–25.4 ± 0.2</w:t>
            </w:r>
          </w:p>
        </w:tc>
        <w:tc>
          <w:tcPr>
            <w:tcW w:w="1276" w:type="dxa"/>
          </w:tcPr>
          <w:p w14:paraId="4B0F5529" w14:textId="77777777" w:rsidR="00B26DCB" w:rsidRPr="00D437A0" w:rsidRDefault="00B26DCB" w:rsidP="00376528">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–24.0 ± 0.7</w:t>
            </w:r>
          </w:p>
        </w:tc>
        <w:tc>
          <w:tcPr>
            <w:tcW w:w="1134" w:type="dxa"/>
            <w:tcBorders>
              <w:right w:val="single" w:sz="4" w:space="0" w:color="auto"/>
            </w:tcBorders>
          </w:tcPr>
          <w:p w14:paraId="2642EDAC" w14:textId="77777777" w:rsidR="00B26DCB" w:rsidRPr="00D437A0" w:rsidRDefault="00B26DCB" w:rsidP="00376528">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–1.4 ± 0.5</w:t>
            </w:r>
          </w:p>
        </w:tc>
        <w:tc>
          <w:tcPr>
            <w:tcW w:w="1134" w:type="dxa"/>
            <w:tcBorders>
              <w:left w:val="single" w:sz="4" w:space="0" w:color="auto"/>
            </w:tcBorders>
          </w:tcPr>
          <w:p w14:paraId="70A4A8E9" w14:textId="77777777" w:rsidR="00B26DCB" w:rsidRPr="00D437A0" w:rsidRDefault="00B26DCB" w:rsidP="00376528">
            <w:pPr>
              <w:adjustRightInd w:val="0"/>
              <w:spacing w:line="360" w:lineRule="auto"/>
              <w:contextualSpacing/>
              <w:jc w:val="center"/>
              <w:rPr>
                <w:rFonts w:ascii="Arial" w:hAnsi="Arial" w:cs="Arial"/>
                <w:sz w:val="18"/>
                <w:szCs w:val="18"/>
                <w:lang w:val="nb-NO"/>
              </w:rPr>
            </w:pPr>
            <w:r w:rsidRPr="00D437A0">
              <w:rPr>
                <w:rFonts w:ascii="Arial" w:hAnsi="Arial" w:cs="Arial"/>
                <w:sz w:val="18"/>
                <w:szCs w:val="18"/>
                <w:lang w:val="nb-NO"/>
              </w:rPr>
              <w:t>–29.2 ± 0.4</w:t>
            </w:r>
          </w:p>
        </w:tc>
        <w:tc>
          <w:tcPr>
            <w:tcW w:w="1213" w:type="dxa"/>
          </w:tcPr>
          <w:p w14:paraId="77F0F325" w14:textId="77777777" w:rsidR="00B26DCB" w:rsidRPr="00D437A0" w:rsidRDefault="00B26DCB" w:rsidP="00376528">
            <w:pPr>
              <w:adjustRightInd w:val="0"/>
              <w:spacing w:line="360" w:lineRule="auto"/>
              <w:contextualSpacing/>
              <w:jc w:val="center"/>
              <w:rPr>
                <w:rFonts w:ascii="Arial" w:hAnsi="Arial" w:cs="Arial"/>
                <w:b/>
                <w:bCs/>
                <w:sz w:val="18"/>
                <w:szCs w:val="18"/>
                <w:lang w:val="nb-NO"/>
              </w:rPr>
            </w:pPr>
            <w:r w:rsidRPr="00D437A0">
              <w:rPr>
                <w:rFonts w:ascii="Arial" w:hAnsi="Arial" w:cs="Arial"/>
                <w:sz w:val="18"/>
                <w:szCs w:val="18"/>
                <w:lang w:val="nb-NO"/>
              </w:rPr>
              <w:t>–20.8 ± 0.3</w:t>
            </w:r>
          </w:p>
        </w:tc>
        <w:tc>
          <w:tcPr>
            <w:tcW w:w="1197" w:type="dxa"/>
          </w:tcPr>
          <w:p w14:paraId="71ACC00F" w14:textId="77777777" w:rsidR="00B26DCB" w:rsidRPr="00D437A0" w:rsidRDefault="00B26DCB" w:rsidP="00376528">
            <w:pPr>
              <w:adjustRightInd w:val="0"/>
              <w:spacing w:line="360" w:lineRule="auto"/>
              <w:contextualSpacing/>
              <w:jc w:val="center"/>
              <w:rPr>
                <w:rFonts w:ascii="Arial" w:hAnsi="Arial" w:cs="Arial"/>
                <w:b/>
                <w:bCs/>
                <w:sz w:val="18"/>
                <w:szCs w:val="18"/>
                <w:lang w:val="nb-NO"/>
              </w:rPr>
            </w:pPr>
            <w:r w:rsidRPr="00D437A0">
              <w:rPr>
                <w:rFonts w:ascii="Arial" w:hAnsi="Arial" w:cs="Arial"/>
                <w:sz w:val="18"/>
                <w:szCs w:val="18"/>
                <w:lang w:val="nb-NO"/>
              </w:rPr>
              <w:t>–8.4 ± 0.2</w:t>
            </w:r>
          </w:p>
        </w:tc>
      </w:tr>
      <w:tr w:rsidR="00B26DCB" w:rsidRPr="00D437A0" w14:paraId="272F0DF4" w14:textId="77777777" w:rsidTr="00B26DCB">
        <w:tc>
          <w:tcPr>
            <w:tcW w:w="817" w:type="dxa"/>
            <w:tcBorders>
              <w:right w:val="single" w:sz="4" w:space="0" w:color="auto"/>
            </w:tcBorders>
          </w:tcPr>
          <w:p w14:paraId="3BF10C7C" w14:textId="77777777" w:rsidR="00B26DCB" w:rsidRPr="00D437A0" w:rsidRDefault="00B26DCB" w:rsidP="00376528">
            <w:pPr>
              <w:adjustRightInd w:val="0"/>
              <w:spacing w:line="360" w:lineRule="auto"/>
              <w:contextualSpacing/>
              <w:jc w:val="center"/>
              <w:rPr>
                <w:rFonts w:ascii="Arial" w:hAnsi="Arial" w:cs="Arial"/>
                <w:b/>
                <w:bCs/>
                <w:sz w:val="18"/>
                <w:szCs w:val="18"/>
              </w:rPr>
            </w:pPr>
            <w:r w:rsidRPr="00D437A0">
              <w:rPr>
                <w:rFonts w:ascii="Arial" w:hAnsi="Arial" w:cs="Arial"/>
                <w:b/>
                <w:bCs/>
                <w:sz w:val="18"/>
                <w:szCs w:val="18"/>
                <w:lang w:val="nb-NO"/>
              </w:rPr>
              <w:t>G8</w:t>
            </w:r>
          </w:p>
        </w:tc>
        <w:tc>
          <w:tcPr>
            <w:tcW w:w="1309" w:type="dxa"/>
            <w:tcBorders>
              <w:left w:val="single" w:sz="4" w:space="0" w:color="auto"/>
            </w:tcBorders>
          </w:tcPr>
          <w:p w14:paraId="2978D84D"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–34.5 ± 0.1</w:t>
            </w:r>
          </w:p>
        </w:tc>
        <w:tc>
          <w:tcPr>
            <w:tcW w:w="1276" w:type="dxa"/>
          </w:tcPr>
          <w:p w14:paraId="1C0EC0FD"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–32.7 ± 0.8</w:t>
            </w:r>
          </w:p>
        </w:tc>
        <w:tc>
          <w:tcPr>
            <w:tcW w:w="1134" w:type="dxa"/>
            <w:tcBorders>
              <w:right w:val="single" w:sz="4" w:space="0" w:color="auto"/>
            </w:tcBorders>
          </w:tcPr>
          <w:p w14:paraId="7D0E7A88"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–1.7 ± 0.6</w:t>
            </w:r>
          </w:p>
        </w:tc>
        <w:tc>
          <w:tcPr>
            <w:tcW w:w="1134" w:type="dxa"/>
            <w:tcBorders>
              <w:left w:val="single" w:sz="4" w:space="0" w:color="auto"/>
            </w:tcBorders>
          </w:tcPr>
          <w:p w14:paraId="2F7F9E55"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–32.1 ± 0.0</w:t>
            </w:r>
          </w:p>
        </w:tc>
        <w:tc>
          <w:tcPr>
            <w:tcW w:w="1213" w:type="dxa"/>
          </w:tcPr>
          <w:p w14:paraId="4DE9DE26"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–21.1 ± 0.2</w:t>
            </w:r>
          </w:p>
        </w:tc>
        <w:tc>
          <w:tcPr>
            <w:tcW w:w="1197" w:type="dxa"/>
          </w:tcPr>
          <w:p w14:paraId="1FFC2548" w14:textId="77777777" w:rsidR="00B26DCB" w:rsidRPr="00D437A0" w:rsidRDefault="00B26DCB" w:rsidP="00376528">
            <w:pPr>
              <w:adjustRightInd w:val="0"/>
              <w:spacing w:line="360" w:lineRule="auto"/>
              <w:contextualSpacing/>
              <w:jc w:val="center"/>
              <w:rPr>
                <w:rFonts w:ascii="Arial" w:hAnsi="Arial" w:cs="Arial"/>
                <w:sz w:val="18"/>
                <w:szCs w:val="18"/>
              </w:rPr>
            </w:pPr>
            <w:r w:rsidRPr="00D437A0">
              <w:rPr>
                <w:rFonts w:ascii="Arial" w:hAnsi="Arial" w:cs="Arial"/>
                <w:sz w:val="18"/>
                <w:szCs w:val="18"/>
                <w:lang w:val="nb-NO"/>
              </w:rPr>
              <w:t>–11.0 ± 0.1</w:t>
            </w:r>
          </w:p>
        </w:tc>
      </w:tr>
    </w:tbl>
    <w:p w14:paraId="53371877" w14:textId="77777777" w:rsidR="00B26DCB" w:rsidRDefault="00B26DCB" w:rsidP="00B26DCB">
      <w:pPr>
        <w:ind w:left="567" w:right="855"/>
        <w:contextualSpacing/>
        <w:mirrorIndents/>
        <w:jc w:val="both"/>
        <w:rPr>
          <w:rFonts w:ascii="Arial" w:hAnsi="Arial" w:cs="Arial"/>
          <w:sz w:val="18"/>
          <w:szCs w:val="18"/>
        </w:rPr>
      </w:pPr>
      <w:r w:rsidRPr="003A49CE">
        <w:rPr>
          <w:rFonts w:ascii="Arial" w:hAnsi="Arial" w:cs="Arial"/>
          <w:sz w:val="18"/>
          <w:szCs w:val="18"/>
          <w:vertAlign w:val="superscript"/>
        </w:rPr>
        <w:t>a</w:t>
      </w:r>
      <w:r w:rsidRPr="003A49CE">
        <w:rPr>
          <w:rFonts w:ascii="Arial" w:hAnsi="Arial" w:cs="Arial"/>
          <w:sz w:val="18"/>
          <w:szCs w:val="18"/>
        </w:rPr>
        <w:t xml:space="preserve"> </w:t>
      </w:r>
      <w:r>
        <w:rPr>
          <w:rFonts w:ascii="Arial" w:hAnsi="Arial" w:cs="Arial"/>
          <w:sz w:val="18"/>
          <w:szCs w:val="18"/>
        </w:rPr>
        <w:t>Data and errors in this table were determined as follows.  The Δ</w:t>
      </w:r>
      <w:r w:rsidRPr="008E4492">
        <w:rPr>
          <w:rFonts w:ascii="Arial" w:hAnsi="Arial" w:cs="Arial"/>
          <w:i/>
          <w:iCs/>
          <w:sz w:val="18"/>
          <w:szCs w:val="18"/>
        </w:rPr>
        <w:t>H</w:t>
      </w:r>
      <w:r>
        <w:rPr>
          <w:rFonts w:ascii="Arial" w:hAnsi="Arial" w:cs="Arial"/>
          <w:sz w:val="18"/>
          <w:szCs w:val="18"/>
        </w:rPr>
        <w:t xml:space="preserve"> and Δ</w:t>
      </w:r>
      <w:r w:rsidRPr="008E4492">
        <w:rPr>
          <w:rFonts w:ascii="Arial" w:hAnsi="Arial" w:cs="Arial"/>
          <w:i/>
          <w:iCs/>
          <w:sz w:val="18"/>
          <w:szCs w:val="18"/>
        </w:rPr>
        <w:t>G</w:t>
      </w:r>
      <w:r w:rsidRPr="003A49CE">
        <w:rPr>
          <w:rFonts w:ascii="Arial" w:hAnsi="Arial" w:cs="Arial"/>
          <w:sz w:val="18"/>
          <w:szCs w:val="18"/>
        </w:rPr>
        <w:t xml:space="preserve"> </w:t>
      </w:r>
      <w:r>
        <w:rPr>
          <w:rFonts w:ascii="Arial" w:hAnsi="Arial" w:cs="Arial"/>
          <w:sz w:val="18"/>
          <w:szCs w:val="18"/>
        </w:rPr>
        <w:t>values were obtained by carrying out at least three separate experiments, averaging each set of data, and calculating the respective standard deviation.  These average Δ</w:t>
      </w:r>
      <w:r w:rsidRPr="008E4492">
        <w:rPr>
          <w:rFonts w:ascii="Arial" w:hAnsi="Arial" w:cs="Arial"/>
          <w:i/>
          <w:iCs/>
          <w:sz w:val="18"/>
          <w:szCs w:val="18"/>
        </w:rPr>
        <w:t>H</w:t>
      </w:r>
      <w:r>
        <w:rPr>
          <w:rFonts w:ascii="Arial" w:hAnsi="Arial" w:cs="Arial"/>
          <w:sz w:val="18"/>
          <w:szCs w:val="18"/>
        </w:rPr>
        <w:t xml:space="preserve"> and Δ</w:t>
      </w:r>
      <w:r w:rsidRPr="008E4492">
        <w:rPr>
          <w:rFonts w:ascii="Arial" w:hAnsi="Arial" w:cs="Arial"/>
          <w:i/>
          <w:iCs/>
          <w:sz w:val="18"/>
          <w:szCs w:val="18"/>
        </w:rPr>
        <w:t>G</w:t>
      </w:r>
      <w:r w:rsidRPr="003A49CE">
        <w:rPr>
          <w:rFonts w:ascii="Arial" w:hAnsi="Arial" w:cs="Arial"/>
          <w:sz w:val="18"/>
          <w:szCs w:val="18"/>
        </w:rPr>
        <w:t xml:space="preserve"> </w:t>
      </w:r>
      <w:r>
        <w:rPr>
          <w:rFonts w:ascii="Arial" w:hAnsi="Arial" w:cs="Arial"/>
          <w:sz w:val="18"/>
          <w:szCs w:val="18"/>
        </w:rPr>
        <w:t>values were then used to calculate an average –TΔ</w:t>
      </w:r>
      <w:r>
        <w:rPr>
          <w:rFonts w:ascii="Arial" w:hAnsi="Arial" w:cs="Arial"/>
          <w:i/>
          <w:iCs/>
          <w:sz w:val="18"/>
          <w:szCs w:val="18"/>
        </w:rPr>
        <w:t>S</w:t>
      </w:r>
      <w:r>
        <w:rPr>
          <w:rFonts w:ascii="Arial" w:hAnsi="Arial" w:cs="Arial"/>
          <w:sz w:val="18"/>
          <w:szCs w:val="18"/>
        </w:rPr>
        <w:t>, and the corresponding standard deviation calculated using the standard equation for the propagation of uncertainties for subtraction.</w:t>
      </w:r>
    </w:p>
    <w:p w14:paraId="03B26A5F" w14:textId="132E20B3" w:rsidR="00B26DCB" w:rsidRPr="003A49CE" w:rsidRDefault="00B26DCB" w:rsidP="00B26DCB">
      <w:pPr>
        <w:ind w:left="567" w:right="855"/>
        <w:contextualSpacing/>
        <w:mirrorIndents/>
        <w:jc w:val="both"/>
        <w:rPr>
          <w:rFonts w:ascii="Arial" w:hAnsi="Arial" w:cs="Arial"/>
          <w:sz w:val="18"/>
          <w:szCs w:val="18"/>
        </w:rPr>
      </w:pPr>
      <w:r w:rsidRPr="008E4492">
        <w:rPr>
          <w:rFonts w:ascii="Arial" w:hAnsi="Arial" w:cs="Arial"/>
          <w:sz w:val="18"/>
          <w:szCs w:val="18"/>
          <w:vertAlign w:val="superscript"/>
        </w:rPr>
        <w:t>b</w:t>
      </w:r>
      <w:r>
        <w:rPr>
          <w:rFonts w:ascii="Arial" w:hAnsi="Arial" w:cs="Arial"/>
          <w:sz w:val="18"/>
          <w:szCs w:val="18"/>
        </w:rPr>
        <w:t xml:space="preserve"> </w:t>
      </w:r>
      <w:r w:rsidRPr="003A49CE">
        <w:rPr>
          <w:rFonts w:ascii="Arial" w:hAnsi="Arial" w:cs="Arial"/>
          <w:sz w:val="18"/>
          <w:szCs w:val="18"/>
        </w:rPr>
        <w:t>Data for this host-guest combination was determined as part of SAMPL4 in 50 mM borate.</w:t>
      </w:r>
      <w:r w:rsidRPr="00B26DCB">
        <w:rPr>
          <w:rFonts w:ascii="Arial" w:hAnsi="Arial" w:cs="Arial"/>
          <w:sz w:val="18"/>
          <w:szCs w:val="18"/>
          <w:vertAlign w:val="superscript"/>
        </w:rPr>
        <w:t>1</w:t>
      </w:r>
      <w:r w:rsidRPr="00791E52">
        <w:rPr>
          <w:rFonts w:ascii="Arial" w:hAnsi="Arial" w:cs="Arial"/>
          <w:sz w:val="22"/>
          <w:szCs w:val="22"/>
        </w:rPr>
        <w:t xml:space="preserve"> </w:t>
      </w:r>
    </w:p>
    <w:p w14:paraId="6EA76985" w14:textId="77777777" w:rsidR="00B26DCB" w:rsidRDefault="00B26DCB" w:rsidP="00B26DCB">
      <w:pPr>
        <w:ind w:left="567" w:right="855"/>
        <w:contextualSpacing/>
        <w:mirrorIndents/>
        <w:jc w:val="both"/>
        <w:rPr>
          <w:rFonts w:ascii="Arial" w:hAnsi="Arial" w:cs="Arial"/>
          <w:sz w:val="18"/>
          <w:szCs w:val="18"/>
        </w:rPr>
      </w:pPr>
      <w:r>
        <w:rPr>
          <w:rFonts w:ascii="Arial" w:hAnsi="Arial" w:cs="Arial"/>
          <w:sz w:val="18"/>
          <w:szCs w:val="18"/>
          <w:vertAlign w:val="superscript"/>
        </w:rPr>
        <w:t>c</w:t>
      </w:r>
      <w:r w:rsidRPr="003A49CE">
        <w:rPr>
          <w:rFonts w:ascii="Arial" w:hAnsi="Arial" w:cs="Arial"/>
          <w:sz w:val="18"/>
          <w:szCs w:val="18"/>
        </w:rPr>
        <w:t xml:space="preserve"> No binding </w:t>
      </w:r>
      <w:r>
        <w:rPr>
          <w:rFonts w:ascii="Arial" w:hAnsi="Arial" w:cs="Arial"/>
          <w:sz w:val="18"/>
          <w:szCs w:val="18"/>
        </w:rPr>
        <w:t>observed</w:t>
      </w:r>
      <w:r w:rsidRPr="003A49CE">
        <w:rPr>
          <w:rFonts w:ascii="Arial" w:hAnsi="Arial" w:cs="Arial"/>
          <w:sz w:val="18"/>
          <w:szCs w:val="18"/>
        </w:rPr>
        <w:t>.</w:t>
      </w:r>
    </w:p>
    <w:p w14:paraId="2787F733" w14:textId="77777777" w:rsidR="00B26DCB" w:rsidRPr="003A49CE" w:rsidRDefault="00B26DCB" w:rsidP="00B26DCB">
      <w:pPr>
        <w:ind w:left="567" w:right="855"/>
        <w:contextualSpacing/>
        <w:mirrorIndents/>
        <w:jc w:val="both"/>
        <w:rPr>
          <w:rFonts w:ascii="Arial" w:hAnsi="Arial" w:cs="Arial"/>
          <w:sz w:val="18"/>
          <w:szCs w:val="18"/>
        </w:rPr>
      </w:pPr>
      <w:r>
        <w:rPr>
          <w:rFonts w:ascii="Arial" w:hAnsi="Arial" w:cs="Arial"/>
          <w:sz w:val="18"/>
          <w:szCs w:val="18"/>
          <w:vertAlign w:val="superscript"/>
        </w:rPr>
        <w:t>d</w:t>
      </w:r>
      <w:r>
        <w:rPr>
          <w:rFonts w:ascii="Arial" w:hAnsi="Arial" w:cs="Arial"/>
          <w:sz w:val="18"/>
          <w:szCs w:val="18"/>
        </w:rPr>
        <w:t xml:space="preserve"> Determined by </w:t>
      </w:r>
      <w:r w:rsidRPr="0065043E">
        <w:rPr>
          <w:rFonts w:ascii="Arial" w:hAnsi="Arial" w:cs="Arial"/>
          <w:sz w:val="18"/>
          <w:szCs w:val="18"/>
          <w:vertAlign w:val="superscript"/>
        </w:rPr>
        <w:t>1</w:t>
      </w:r>
      <w:r>
        <w:rPr>
          <w:rFonts w:ascii="Arial" w:hAnsi="Arial" w:cs="Arial"/>
          <w:sz w:val="18"/>
          <w:szCs w:val="18"/>
        </w:rPr>
        <w:t>H NMR spectroscopy.</w:t>
      </w:r>
    </w:p>
    <w:p w14:paraId="262317F3" w14:textId="5AEF0B99" w:rsidR="00B26DCB" w:rsidRPr="00791E52" w:rsidRDefault="00B26DCB" w:rsidP="00B26DCB">
      <w:pPr>
        <w:ind w:left="567" w:right="855"/>
        <w:contextualSpacing/>
        <w:mirrorIndents/>
        <w:jc w:val="both"/>
        <w:rPr>
          <w:rFonts w:ascii="Arial" w:hAnsi="Arial" w:cs="Arial"/>
          <w:sz w:val="18"/>
          <w:szCs w:val="18"/>
        </w:rPr>
      </w:pPr>
      <w:r>
        <w:rPr>
          <w:rFonts w:ascii="Arial" w:hAnsi="Arial" w:cs="Arial"/>
          <w:sz w:val="18"/>
          <w:szCs w:val="18"/>
          <w:vertAlign w:val="superscript"/>
        </w:rPr>
        <w:t>e</w:t>
      </w:r>
      <w:r w:rsidRPr="003A49CE">
        <w:rPr>
          <w:rFonts w:ascii="Arial" w:hAnsi="Arial" w:cs="Arial"/>
          <w:sz w:val="18"/>
          <w:szCs w:val="18"/>
        </w:rPr>
        <w:t xml:space="preserve"> Data for this host-guest combination was determined as part of SAMPL5 in 50 mM </w:t>
      </w:r>
      <w:r w:rsidRPr="00791E52">
        <w:rPr>
          <w:rFonts w:ascii="Arial" w:hAnsi="Arial" w:cs="Arial"/>
          <w:sz w:val="18"/>
          <w:szCs w:val="18"/>
        </w:rPr>
        <w:t>phosphate.</w:t>
      </w:r>
      <w:r w:rsidRPr="00B26DCB">
        <w:rPr>
          <w:rFonts w:ascii="Arial" w:hAnsi="Arial" w:cs="Arial"/>
          <w:sz w:val="18"/>
          <w:szCs w:val="18"/>
          <w:vertAlign w:val="superscript"/>
        </w:rPr>
        <w:t>2</w:t>
      </w:r>
      <w:r w:rsidRPr="00791E52">
        <w:rPr>
          <w:rFonts w:ascii="Arial" w:hAnsi="Arial" w:cs="Arial"/>
          <w:sz w:val="18"/>
          <w:szCs w:val="18"/>
        </w:rPr>
        <w:t xml:space="preserve">  </w:t>
      </w:r>
    </w:p>
    <w:p w14:paraId="2B5A9680" w14:textId="77777777" w:rsidR="00B26DCB" w:rsidRDefault="00B26DCB" w:rsidP="00B26DCB">
      <w:pPr>
        <w:adjustRightInd w:val="0"/>
        <w:spacing w:line="360" w:lineRule="auto"/>
        <w:contextualSpacing/>
        <w:rPr>
          <w:rFonts w:ascii="Arial" w:hAnsi="Arial" w:cs="Arial"/>
          <w:sz w:val="22"/>
          <w:szCs w:val="22"/>
        </w:rPr>
      </w:pPr>
    </w:p>
    <w:p w14:paraId="140A4F13" w14:textId="77777777" w:rsidR="00CC4CE5" w:rsidRPr="00DF081F" w:rsidRDefault="00CC4CE5" w:rsidP="00CC4CE5">
      <w:pPr>
        <w:shd w:val="clear" w:color="auto" w:fill="FFFFFF"/>
        <w:spacing w:after="100"/>
        <w:rPr>
          <w:rFonts w:ascii="Arial" w:eastAsia="Times New Roman" w:hAnsi="Arial" w:cs="Arial"/>
          <w:color w:val="222222"/>
          <w:lang w:eastAsia="en-US"/>
        </w:rPr>
      </w:pPr>
      <w:r w:rsidRPr="00DF081F">
        <w:rPr>
          <w:rFonts w:ascii="Arial" w:eastAsia="Times New Roman" w:hAnsi="Arial" w:cs="Arial"/>
          <w:color w:val="222222"/>
          <w:lang w:eastAsia="en-US"/>
        </w:rPr>
        <w:t>All uncertainties were determined by taking the standard deviation of three different ITC runs (each experiment is triplicated, or in some instances, quadruplicated). The three runs were performed on two different instruments set to the same experimental parameters, and the runs were performed using three different solutions of host, and three different solutions of guest. The three different solutions (of host and guest) were made using the same stock of sample. The numerical errors also account for slight (&lt;5%) variations in buffer and solute concentrations.</w:t>
      </w:r>
      <w:r w:rsidRPr="00DF081F">
        <w:rPr>
          <w:rFonts w:ascii="Arial" w:eastAsia="Times New Roman" w:hAnsi="Arial" w:cs="Arial"/>
          <w:color w:val="222222"/>
          <w:lang w:eastAsia="en-US"/>
        </w:rPr>
        <w:br/>
      </w:r>
      <w:r w:rsidRPr="00DF081F">
        <w:rPr>
          <w:rFonts w:ascii="Arial" w:eastAsia="Times New Roman" w:hAnsi="Arial" w:cs="Arial"/>
          <w:color w:val="222222"/>
          <w:lang w:eastAsia="en-US"/>
        </w:rPr>
        <w:br/>
        <w:t>No evidence of binding could be observed by ITC for G</w:t>
      </w:r>
      <w:r>
        <w:rPr>
          <w:rFonts w:ascii="Arial" w:eastAsia="Times New Roman" w:hAnsi="Arial" w:cs="Arial"/>
          <w:color w:val="222222"/>
          <w:lang w:eastAsia="en-US"/>
        </w:rPr>
        <w:t>4</w:t>
      </w:r>
      <w:r w:rsidRPr="00DF081F">
        <w:rPr>
          <w:rFonts w:ascii="Arial" w:eastAsia="Times New Roman" w:hAnsi="Arial" w:cs="Arial"/>
          <w:color w:val="222222"/>
          <w:lang w:eastAsia="en-US"/>
        </w:rPr>
        <w:t>@exo-OA; similarly, no clear evidence of binding could be observed by 1H NMR spectroscopy, indicating a binding constant Ka(G</w:t>
      </w:r>
      <w:r>
        <w:rPr>
          <w:rFonts w:ascii="Arial" w:eastAsia="Times New Roman" w:hAnsi="Arial" w:cs="Arial"/>
          <w:color w:val="222222"/>
          <w:lang w:eastAsia="en-US"/>
        </w:rPr>
        <w:t>1</w:t>
      </w:r>
      <w:r w:rsidRPr="00DF081F">
        <w:rPr>
          <w:rFonts w:ascii="Arial" w:eastAsia="Times New Roman" w:hAnsi="Arial" w:cs="Arial"/>
          <w:color w:val="222222"/>
          <w:lang w:eastAsia="en-US"/>
        </w:rPr>
        <w:t>@exo-OA) &lt; 5. Very weak binding was observed via ITC for G2@exo-OA, so much so that 1H NMR was the only way to determine a binding constant. All 1H NMR titrations were done in triplicate, with similar solution preparation as those of the ITC experiments.</w:t>
      </w:r>
    </w:p>
    <w:p w14:paraId="24F98905" w14:textId="77777777" w:rsidR="00CC4CE5" w:rsidRDefault="00CC4CE5" w:rsidP="00CF2A51">
      <w:pPr>
        <w:adjustRightInd w:val="0"/>
        <w:spacing w:line="360" w:lineRule="auto"/>
        <w:contextualSpacing/>
        <w:rPr>
          <w:rFonts w:ascii="Arial" w:hAnsi="Arial" w:cs="Arial"/>
          <w:sz w:val="22"/>
          <w:szCs w:val="22"/>
        </w:rPr>
      </w:pPr>
    </w:p>
    <w:p w14:paraId="1154C34A" w14:textId="77CA3FAB" w:rsidR="002318B4" w:rsidRDefault="002318B4" w:rsidP="00CF2A51">
      <w:pPr>
        <w:adjustRightInd w:val="0"/>
        <w:spacing w:line="360" w:lineRule="auto"/>
        <w:contextualSpacing/>
        <w:rPr>
          <w:rFonts w:ascii="Arial" w:hAnsi="Arial" w:cs="Arial"/>
          <w:sz w:val="22"/>
          <w:szCs w:val="22"/>
        </w:rPr>
      </w:pPr>
      <w:r>
        <w:rPr>
          <w:rFonts w:ascii="Arial" w:hAnsi="Arial" w:cs="Arial"/>
          <w:sz w:val="22"/>
          <w:szCs w:val="22"/>
        </w:rPr>
        <w:tab/>
      </w:r>
    </w:p>
    <w:p w14:paraId="69DAAC4C" w14:textId="28EB6D1A" w:rsidR="005C5BCF" w:rsidRPr="003905B3" w:rsidRDefault="005C5BCF" w:rsidP="00CF2A51">
      <w:pPr>
        <w:adjustRightInd w:val="0"/>
        <w:spacing w:line="360" w:lineRule="auto"/>
        <w:contextualSpacing/>
        <w:jc w:val="both"/>
        <w:rPr>
          <w:rFonts w:ascii="Arial" w:hAnsi="Arial" w:cs="Arial"/>
          <w:b/>
          <w:bCs/>
          <w:sz w:val="22"/>
          <w:szCs w:val="22"/>
        </w:rPr>
      </w:pPr>
      <w:r w:rsidRPr="003905B3">
        <w:rPr>
          <w:rFonts w:ascii="Arial" w:hAnsi="Arial" w:cs="Arial"/>
          <w:b/>
          <w:bCs/>
          <w:sz w:val="22"/>
          <w:szCs w:val="22"/>
        </w:rPr>
        <w:t>References</w:t>
      </w:r>
    </w:p>
    <w:p w14:paraId="651AEDA5" w14:textId="77777777" w:rsidR="003F4B28" w:rsidRPr="003F4B28" w:rsidRDefault="00C74F60" w:rsidP="003F4B28">
      <w:pPr>
        <w:pStyle w:val="EndNoteBibliography"/>
        <w:spacing w:after="0"/>
        <w:ind w:left="720" w:hanging="720"/>
        <w:rPr>
          <w:noProof/>
        </w:rPr>
      </w:pPr>
      <w:r>
        <w:rPr>
          <w:szCs w:val="22"/>
        </w:rPr>
        <w:fldChar w:fldCharType="begin"/>
      </w:r>
      <w:r>
        <w:rPr>
          <w:szCs w:val="22"/>
        </w:rPr>
        <w:instrText xml:space="preserve"> ADDIN EN.REFLIST </w:instrText>
      </w:r>
      <w:r>
        <w:rPr>
          <w:szCs w:val="22"/>
        </w:rPr>
        <w:fldChar w:fldCharType="separate"/>
      </w:r>
      <w:r w:rsidR="003F4B28" w:rsidRPr="003F4B28">
        <w:rPr>
          <w:noProof/>
        </w:rPr>
        <w:t>1.</w:t>
      </w:r>
      <w:r w:rsidR="003F4B28" w:rsidRPr="003F4B28">
        <w:rPr>
          <w:noProof/>
        </w:rPr>
        <w:tab/>
        <w:t xml:space="preserve">Gibb C. L. D., Gibb B. C. </w:t>
      </w:r>
      <w:r w:rsidR="003F4B28" w:rsidRPr="003F4B28">
        <w:rPr>
          <w:i/>
          <w:noProof/>
        </w:rPr>
        <w:t>Binding of cyclic carboxylates to octa-acid deep-cavity cavitand</w:t>
      </w:r>
      <w:r w:rsidR="003F4B28" w:rsidRPr="003F4B28">
        <w:rPr>
          <w:noProof/>
        </w:rPr>
        <w:t xml:space="preserve">. J. Comput. Aided Mol. Des., </w:t>
      </w:r>
      <w:r w:rsidR="003F4B28" w:rsidRPr="003F4B28">
        <w:rPr>
          <w:b/>
          <w:noProof/>
        </w:rPr>
        <w:t>2014</w:t>
      </w:r>
      <w:r w:rsidR="003F4B28" w:rsidRPr="003F4B28">
        <w:rPr>
          <w:noProof/>
        </w:rPr>
        <w:t xml:space="preserve">, </w:t>
      </w:r>
      <w:r w:rsidR="003F4B28" w:rsidRPr="003F4B28">
        <w:rPr>
          <w:i/>
          <w:noProof/>
        </w:rPr>
        <w:t>28</w:t>
      </w:r>
      <w:r w:rsidR="003F4B28" w:rsidRPr="003F4B28">
        <w:rPr>
          <w:noProof/>
        </w:rPr>
        <w:t>(4), 319-25. doi: 10.1007/s10822-013-9690-2. PubMed PMID: 24218290; PubMed Central PMCID: PMC4018434.</w:t>
      </w:r>
    </w:p>
    <w:p w14:paraId="5617A142" w14:textId="77777777" w:rsidR="003F4B28" w:rsidRPr="003F4B28" w:rsidRDefault="003F4B28" w:rsidP="003F4B28">
      <w:pPr>
        <w:pStyle w:val="EndNoteBibliography"/>
        <w:ind w:left="720" w:hanging="720"/>
        <w:rPr>
          <w:noProof/>
        </w:rPr>
      </w:pPr>
      <w:r w:rsidRPr="003F4B28">
        <w:rPr>
          <w:noProof/>
        </w:rPr>
        <w:t>2.</w:t>
      </w:r>
      <w:r w:rsidRPr="003F4B28">
        <w:rPr>
          <w:noProof/>
        </w:rPr>
        <w:tab/>
        <w:t xml:space="preserve">Sullivan M. R., Sokkalingam P., Nguyen T., Donahue J. P., Gibb B. C. </w:t>
      </w:r>
      <w:r w:rsidRPr="003F4B28">
        <w:rPr>
          <w:i/>
          <w:noProof/>
        </w:rPr>
        <w:t>Binding of carboxylate and trimethylammonium salts to octa-acid and TEMOA deep-cavity cavitands</w:t>
      </w:r>
      <w:r w:rsidRPr="003F4B28">
        <w:rPr>
          <w:noProof/>
        </w:rPr>
        <w:t xml:space="preserve">. </w:t>
      </w:r>
      <w:r w:rsidRPr="003F4B28">
        <w:rPr>
          <w:noProof/>
        </w:rPr>
        <w:lastRenderedPageBreak/>
        <w:t xml:space="preserve">J. Comput. Aided Mol. Des., </w:t>
      </w:r>
      <w:r w:rsidRPr="003F4B28">
        <w:rPr>
          <w:b/>
          <w:noProof/>
        </w:rPr>
        <w:t>2017</w:t>
      </w:r>
      <w:r w:rsidRPr="003F4B28">
        <w:rPr>
          <w:noProof/>
        </w:rPr>
        <w:t xml:space="preserve">, </w:t>
      </w:r>
      <w:r w:rsidRPr="003F4B28">
        <w:rPr>
          <w:i/>
          <w:noProof/>
        </w:rPr>
        <w:t>31</w:t>
      </w:r>
      <w:r w:rsidRPr="003F4B28">
        <w:rPr>
          <w:noProof/>
        </w:rPr>
        <w:t>(1), 21-8. Epub 2016/07/20. doi: 10.1007/s10822-016-9925-0. PubMed PMID: 27432339; PubMed Central PMCID: PMCPMC5571645.</w:t>
      </w:r>
    </w:p>
    <w:p w14:paraId="38B49918" w14:textId="16F5284C" w:rsidR="00236BE7" w:rsidRPr="00533B0C" w:rsidRDefault="00C74F60" w:rsidP="00CF2A51">
      <w:pPr>
        <w:adjustRightInd w:val="0"/>
        <w:spacing w:line="360" w:lineRule="auto"/>
        <w:contextualSpacing/>
        <w:jc w:val="both"/>
        <w:rPr>
          <w:rFonts w:ascii="Arial" w:hAnsi="Arial" w:cs="Arial"/>
          <w:sz w:val="22"/>
          <w:szCs w:val="22"/>
        </w:rPr>
      </w:pPr>
      <w:r>
        <w:rPr>
          <w:rFonts w:ascii="Arial" w:hAnsi="Arial" w:cs="Arial"/>
          <w:sz w:val="22"/>
          <w:szCs w:val="22"/>
        </w:rPr>
        <w:fldChar w:fldCharType="end"/>
      </w:r>
    </w:p>
    <w:sectPr w:rsidR="00236BE7" w:rsidRPr="00533B0C" w:rsidSect="00533B0C">
      <w:footerReference w:type="even" r:id="rId10"/>
      <w:foot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B703F" w14:textId="77777777" w:rsidR="002D10E8" w:rsidRDefault="002D10E8" w:rsidP="00647891">
      <w:pPr>
        <w:spacing w:after="0"/>
      </w:pPr>
      <w:r>
        <w:separator/>
      </w:r>
    </w:p>
  </w:endnote>
  <w:endnote w:type="continuationSeparator" w:id="0">
    <w:p w14:paraId="4572C9A7" w14:textId="77777777" w:rsidR="002D10E8" w:rsidRDefault="002D10E8" w:rsidP="006478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0983370"/>
      <w:docPartObj>
        <w:docPartGallery w:val="Page Numbers (Bottom of Page)"/>
        <w:docPartUnique/>
      </w:docPartObj>
    </w:sdtPr>
    <w:sdtEndPr>
      <w:rPr>
        <w:rStyle w:val="PageNumber"/>
      </w:rPr>
    </w:sdtEndPr>
    <w:sdtContent>
      <w:p w14:paraId="3783C26D" w14:textId="6461DF3A" w:rsidR="009B0EAE" w:rsidRDefault="009B0EAE" w:rsidP="00F649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19C3E" w14:textId="77777777" w:rsidR="009B0EAE" w:rsidRDefault="009B0EAE" w:rsidP="006478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sz w:val="22"/>
        <w:szCs w:val="22"/>
      </w:rPr>
      <w:id w:val="1092198147"/>
      <w:docPartObj>
        <w:docPartGallery w:val="Page Numbers (Bottom of Page)"/>
        <w:docPartUnique/>
      </w:docPartObj>
    </w:sdtPr>
    <w:sdtEndPr>
      <w:rPr>
        <w:rStyle w:val="PageNumber"/>
      </w:rPr>
    </w:sdtEndPr>
    <w:sdtContent>
      <w:p w14:paraId="001FE33A" w14:textId="056386F1" w:rsidR="009B0EAE" w:rsidRPr="00791E52" w:rsidRDefault="009B0EAE" w:rsidP="00F64903">
        <w:pPr>
          <w:pStyle w:val="Footer"/>
          <w:framePr w:wrap="none" w:vAnchor="text" w:hAnchor="margin" w:xAlign="right" w:y="1"/>
          <w:rPr>
            <w:rStyle w:val="PageNumber"/>
            <w:rFonts w:ascii="Arial" w:hAnsi="Arial" w:cs="Arial"/>
            <w:sz w:val="22"/>
            <w:szCs w:val="22"/>
          </w:rPr>
        </w:pPr>
        <w:r w:rsidRPr="00791E52">
          <w:rPr>
            <w:rStyle w:val="PageNumber"/>
            <w:rFonts w:ascii="Arial" w:hAnsi="Arial" w:cs="Arial"/>
            <w:sz w:val="22"/>
            <w:szCs w:val="22"/>
          </w:rPr>
          <w:fldChar w:fldCharType="begin"/>
        </w:r>
        <w:r w:rsidRPr="00791E52">
          <w:rPr>
            <w:rStyle w:val="PageNumber"/>
            <w:rFonts w:ascii="Arial" w:hAnsi="Arial" w:cs="Arial"/>
            <w:sz w:val="22"/>
            <w:szCs w:val="22"/>
          </w:rPr>
          <w:instrText xml:space="preserve"> PAGE </w:instrText>
        </w:r>
        <w:r w:rsidRPr="00791E52">
          <w:rPr>
            <w:rStyle w:val="PageNumber"/>
            <w:rFonts w:ascii="Arial" w:hAnsi="Arial" w:cs="Arial"/>
            <w:sz w:val="22"/>
            <w:szCs w:val="22"/>
          </w:rPr>
          <w:fldChar w:fldCharType="separate"/>
        </w:r>
        <w:r w:rsidRPr="00791E52">
          <w:rPr>
            <w:rStyle w:val="PageNumber"/>
            <w:rFonts w:ascii="Arial" w:hAnsi="Arial" w:cs="Arial"/>
            <w:noProof/>
            <w:sz w:val="22"/>
            <w:szCs w:val="22"/>
          </w:rPr>
          <w:t>1</w:t>
        </w:r>
        <w:r w:rsidRPr="00791E52">
          <w:rPr>
            <w:rStyle w:val="PageNumber"/>
            <w:rFonts w:ascii="Arial" w:hAnsi="Arial" w:cs="Arial"/>
            <w:sz w:val="22"/>
            <w:szCs w:val="22"/>
          </w:rPr>
          <w:fldChar w:fldCharType="end"/>
        </w:r>
      </w:p>
    </w:sdtContent>
  </w:sdt>
  <w:p w14:paraId="4E5DD0CB" w14:textId="77777777" w:rsidR="009B0EAE" w:rsidRPr="00791E52" w:rsidRDefault="009B0EAE" w:rsidP="00647891">
    <w:pPr>
      <w:pStyle w:val="Footer"/>
      <w:ind w:right="360"/>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5FE09" w14:textId="77777777" w:rsidR="002D10E8" w:rsidRDefault="002D10E8" w:rsidP="00647891">
      <w:pPr>
        <w:spacing w:after="0"/>
      </w:pPr>
      <w:r>
        <w:separator/>
      </w:r>
    </w:p>
  </w:footnote>
  <w:footnote w:type="continuationSeparator" w:id="0">
    <w:p w14:paraId="3DDA9451" w14:textId="77777777" w:rsidR="002D10E8" w:rsidRDefault="002D10E8" w:rsidP="0064789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04F89"/>
    <w:multiLevelType w:val="hybridMultilevel"/>
    <w:tmpl w:val="FDFAE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IH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60784"/>
    <w:rsid w:val="00000F3C"/>
    <w:rsid w:val="00012101"/>
    <w:rsid w:val="0003035F"/>
    <w:rsid w:val="00030515"/>
    <w:rsid w:val="00040272"/>
    <w:rsid w:val="00053B2C"/>
    <w:rsid w:val="000565F1"/>
    <w:rsid w:val="00072CA1"/>
    <w:rsid w:val="0007463F"/>
    <w:rsid w:val="000749BC"/>
    <w:rsid w:val="0007799E"/>
    <w:rsid w:val="00085ADB"/>
    <w:rsid w:val="00095941"/>
    <w:rsid w:val="000A0F9E"/>
    <w:rsid w:val="000A3909"/>
    <w:rsid w:val="000A51BF"/>
    <w:rsid w:val="000B27C9"/>
    <w:rsid w:val="000E5644"/>
    <w:rsid w:val="000E79CF"/>
    <w:rsid w:val="00111BFE"/>
    <w:rsid w:val="00120B67"/>
    <w:rsid w:val="00133ECD"/>
    <w:rsid w:val="0016436D"/>
    <w:rsid w:val="00176CB1"/>
    <w:rsid w:val="00181F92"/>
    <w:rsid w:val="001A2612"/>
    <w:rsid w:val="001B1FBD"/>
    <w:rsid w:val="001D2DBE"/>
    <w:rsid w:val="001D53AA"/>
    <w:rsid w:val="001D7305"/>
    <w:rsid w:val="001E4F56"/>
    <w:rsid w:val="001F2B7B"/>
    <w:rsid w:val="001F53E0"/>
    <w:rsid w:val="00213E44"/>
    <w:rsid w:val="00215B64"/>
    <w:rsid w:val="002318B4"/>
    <w:rsid w:val="0023515E"/>
    <w:rsid w:val="00236BE7"/>
    <w:rsid w:val="00292806"/>
    <w:rsid w:val="00292B95"/>
    <w:rsid w:val="0029596E"/>
    <w:rsid w:val="002B06A9"/>
    <w:rsid w:val="002D0238"/>
    <w:rsid w:val="002D10E8"/>
    <w:rsid w:val="00303E8F"/>
    <w:rsid w:val="00314C35"/>
    <w:rsid w:val="00316356"/>
    <w:rsid w:val="003204CE"/>
    <w:rsid w:val="003346D5"/>
    <w:rsid w:val="00340671"/>
    <w:rsid w:val="00340C3C"/>
    <w:rsid w:val="00353F91"/>
    <w:rsid w:val="003549A0"/>
    <w:rsid w:val="003577E0"/>
    <w:rsid w:val="00360CFF"/>
    <w:rsid w:val="0036786D"/>
    <w:rsid w:val="0038246F"/>
    <w:rsid w:val="003832AD"/>
    <w:rsid w:val="003905B3"/>
    <w:rsid w:val="003A1605"/>
    <w:rsid w:val="003A172A"/>
    <w:rsid w:val="003A4814"/>
    <w:rsid w:val="003A49CE"/>
    <w:rsid w:val="003C0B25"/>
    <w:rsid w:val="003D09FF"/>
    <w:rsid w:val="003D6341"/>
    <w:rsid w:val="003F4B28"/>
    <w:rsid w:val="004048A4"/>
    <w:rsid w:val="0042045C"/>
    <w:rsid w:val="004215D4"/>
    <w:rsid w:val="00436338"/>
    <w:rsid w:val="00467C0F"/>
    <w:rsid w:val="00474AD0"/>
    <w:rsid w:val="004A67C1"/>
    <w:rsid w:val="004C3675"/>
    <w:rsid w:val="004D49D4"/>
    <w:rsid w:val="004F5355"/>
    <w:rsid w:val="004F7BA0"/>
    <w:rsid w:val="00527D22"/>
    <w:rsid w:val="00533B0C"/>
    <w:rsid w:val="0054511B"/>
    <w:rsid w:val="005535C1"/>
    <w:rsid w:val="00561377"/>
    <w:rsid w:val="00561AE5"/>
    <w:rsid w:val="00575572"/>
    <w:rsid w:val="00584A4F"/>
    <w:rsid w:val="005952FA"/>
    <w:rsid w:val="005A3B24"/>
    <w:rsid w:val="005A4CDC"/>
    <w:rsid w:val="005B25A4"/>
    <w:rsid w:val="005C1EA1"/>
    <w:rsid w:val="005C5BCF"/>
    <w:rsid w:val="005E75D4"/>
    <w:rsid w:val="005F0C0E"/>
    <w:rsid w:val="005F37E9"/>
    <w:rsid w:val="0062558F"/>
    <w:rsid w:val="00627190"/>
    <w:rsid w:val="00635CB0"/>
    <w:rsid w:val="00647891"/>
    <w:rsid w:val="0065043E"/>
    <w:rsid w:val="00686467"/>
    <w:rsid w:val="006952F7"/>
    <w:rsid w:val="006A18F7"/>
    <w:rsid w:val="006A63DB"/>
    <w:rsid w:val="006A651E"/>
    <w:rsid w:val="006B631B"/>
    <w:rsid w:val="006B7907"/>
    <w:rsid w:val="006D399C"/>
    <w:rsid w:val="006D445E"/>
    <w:rsid w:val="006D5199"/>
    <w:rsid w:val="00705DED"/>
    <w:rsid w:val="0071314C"/>
    <w:rsid w:val="007149A5"/>
    <w:rsid w:val="007279C7"/>
    <w:rsid w:val="00741C4A"/>
    <w:rsid w:val="00744273"/>
    <w:rsid w:val="007769B3"/>
    <w:rsid w:val="00777B4A"/>
    <w:rsid w:val="00780F34"/>
    <w:rsid w:val="00787902"/>
    <w:rsid w:val="00791E52"/>
    <w:rsid w:val="00793555"/>
    <w:rsid w:val="007B5159"/>
    <w:rsid w:val="007B7BB0"/>
    <w:rsid w:val="007C3C5E"/>
    <w:rsid w:val="007E48DE"/>
    <w:rsid w:val="007E4ED4"/>
    <w:rsid w:val="0080595A"/>
    <w:rsid w:val="00820138"/>
    <w:rsid w:val="00824A5A"/>
    <w:rsid w:val="00826FA5"/>
    <w:rsid w:val="008417D4"/>
    <w:rsid w:val="00844651"/>
    <w:rsid w:val="00856053"/>
    <w:rsid w:val="008638CE"/>
    <w:rsid w:val="00872B89"/>
    <w:rsid w:val="00880046"/>
    <w:rsid w:val="008A4105"/>
    <w:rsid w:val="008A705A"/>
    <w:rsid w:val="008C78FB"/>
    <w:rsid w:val="008D73F7"/>
    <w:rsid w:val="008F46F8"/>
    <w:rsid w:val="009018CE"/>
    <w:rsid w:val="00907F01"/>
    <w:rsid w:val="00913AD9"/>
    <w:rsid w:val="009311DD"/>
    <w:rsid w:val="0094016D"/>
    <w:rsid w:val="00951155"/>
    <w:rsid w:val="0095670A"/>
    <w:rsid w:val="00982B67"/>
    <w:rsid w:val="009A3B42"/>
    <w:rsid w:val="009A708A"/>
    <w:rsid w:val="009B0EAE"/>
    <w:rsid w:val="009D2FC6"/>
    <w:rsid w:val="009F0061"/>
    <w:rsid w:val="009F4A24"/>
    <w:rsid w:val="00A16B10"/>
    <w:rsid w:val="00A705F7"/>
    <w:rsid w:val="00A8471D"/>
    <w:rsid w:val="00A90BF4"/>
    <w:rsid w:val="00A96A90"/>
    <w:rsid w:val="00AA2C95"/>
    <w:rsid w:val="00AA2DDE"/>
    <w:rsid w:val="00AB2E74"/>
    <w:rsid w:val="00AC07D7"/>
    <w:rsid w:val="00AD6A46"/>
    <w:rsid w:val="00AF44F0"/>
    <w:rsid w:val="00AF53B1"/>
    <w:rsid w:val="00AF5629"/>
    <w:rsid w:val="00B14697"/>
    <w:rsid w:val="00B24A1D"/>
    <w:rsid w:val="00B26194"/>
    <w:rsid w:val="00B26DCB"/>
    <w:rsid w:val="00B2734F"/>
    <w:rsid w:val="00B453DF"/>
    <w:rsid w:val="00B760F4"/>
    <w:rsid w:val="00B7669F"/>
    <w:rsid w:val="00B91442"/>
    <w:rsid w:val="00BA2E06"/>
    <w:rsid w:val="00BB04D7"/>
    <w:rsid w:val="00BB2DCA"/>
    <w:rsid w:val="00BB55BB"/>
    <w:rsid w:val="00BB6C96"/>
    <w:rsid w:val="00BC0466"/>
    <w:rsid w:val="00BC22D4"/>
    <w:rsid w:val="00BE1F8D"/>
    <w:rsid w:val="00BF129C"/>
    <w:rsid w:val="00C02D55"/>
    <w:rsid w:val="00C06162"/>
    <w:rsid w:val="00C607B3"/>
    <w:rsid w:val="00C74F60"/>
    <w:rsid w:val="00C820DA"/>
    <w:rsid w:val="00C84061"/>
    <w:rsid w:val="00C851BF"/>
    <w:rsid w:val="00C87130"/>
    <w:rsid w:val="00C93C6C"/>
    <w:rsid w:val="00CA3C5E"/>
    <w:rsid w:val="00CA3CE8"/>
    <w:rsid w:val="00CB6637"/>
    <w:rsid w:val="00CC1500"/>
    <w:rsid w:val="00CC4CE5"/>
    <w:rsid w:val="00CD288F"/>
    <w:rsid w:val="00CF0343"/>
    <w:rsid w:val="00CF2A51"/>
    <w:rsid w:val="00D0523E"/>
    <w:rsid w:val="00D15254"/>
    <w:rsid w:val="00D23B92"/>
    <w:rsid w:val="00D26BD5"/>
    <w:rsid w:val="00D75C80"/>
    <w:rsid w:val="00D9114D"/>
    <w:rsid w:val="00DA7EC1"/>
    <w:rsid w:val="00DC5408"/>
    <w:rsid w:val="00DC5646"/>
    <w:rsid w:val="00DD053C"/>
    <w:rsid w:val="00DE3264"/>
    <w:rsid w:val="00DE6EA0"/>
    <w:rsid w:val="00E103CC"/>
    <w:rsid w:val="00E144E6"/>
    <w:rsid w:val="00E20F89"/>
    <w:rsid w:val="00E25A29"/>
    <w:rsid w:val="00E50B34"/>
    <w:rsid w:val="00E548A1"/>
    <w:rsid w:val="00E60784"/>
    <w:rsid w:val="00E73D26"/>
    <w:rsid w:val="00E74CDD"/>
    <w:rsid w:val="00E774A4"/>
    <w:rsid w:val="00E84E05"/>
    <w:rsid w:val="00E92849"/>
    <w:rsid w:val="00EA40D6"/>
    <w:rsid w:val="00EB0B2A"/>
    <w:rsid w:val="00EB266F"/>
    <w:rsid w:val="00EC045B"/>
    <w:rsid w:val="00EC05D7"/>
    <w:rsid w:val="00EC325F"/>
    <w:rsid w:val="00EE117B"/>
    <w:rsid w:val="00EE1555"/>
    <w:rsid w:val="00EE7C21"/>
    <w:rsid w:val="00EF230B"/>
    <w:rsid w:val="00F046BA"/>
    <w:rsid w:val="00F213D3"/>
    <w:rsid w:val="00F36A0C"/>
    <w:rsid w:val="00F513B6"/>
    <w:rsid w:val="00F64903"/>
    <w:rsid w:val="00F82115"/>
    <w:rsid w:val="00F82519"/>
    <w:rsid w:val="00FA2BF2"/>
    <w:rsid w:val="00FB3B9D"/>
    <w:rsid w:val="00FC5AA7"/>
    <w:rsid w:val="00FD7DDB"/>
    <w:rsid w:val="00FE28AB"/>
    <w:rsid w:val="00FF39A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210D2E5"/>
  <w15:docId w15:val="{3BA468A3-F73D-1B4C-ADF5-B209BBF9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B2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uces">
    <w:name w:val="Bruce's"/>
    <w:basedOn w:val="NoSpacing"/>
    <w:next w:val="NoSpacing"/>
    <w:qFormat/>
    <w:rsid w:val="009F4A24"/>
    <w:pPr>
      <w:contextualSpacing/>
    </w:pPr>
    <w:rPr>
      <w:rFonts w:ascii="Arial" w:hAnsi="Arial"/>
      <w:sz w:val="22"/>
      <w:szCs w:val="22"/>
    </w:rPr>
  </w:style>
  <w:style w:type="paragraph" w:styleId="NoSpacing">
    <w:name w:val="No Spacing"/>
    <w:uiPriority w:val="1"/>
    <w:qFormat/>
    <w:rsid w:val="009F4A24"/>
    <w:pPr>
      <w:spacing w:after="0"/>
    </w:pPr>
    <w:rPr>
      <w:sz w:val="24"/>
      <w:szCs w:val="24"/>
    </w:rPr>
  </w:style>
  <w:style w:type="paragraph" w:styleId="BalloonText">
    <w:name w:val="Balloon Text"/>
    <w:basedOn w:val="Normal"/>
    <w:link w:val="BalloonTextChar"/>
    <w:uiPriority w:val="99"/>
    <w:semiHidden/>
    <w:unhideWhenUsed/>
    <w:rsid w:val="003C0B2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0B25"/>
    <w:rPr>
      <w:rFonts w:ascii="Times New Roman" w:hAnsi="Times New Roman" w:cs="Times New Roman"/>
      <w:sz w:val="18"/>
      <w:szCs w:val="18"/>
    </w:rPr>
  </w:style>
  <w:style w:type="character" w:styleId="Hyperlink">
    <w:name w:val="Hyperlink"/>
    <w:basedOn w:val="DefaultParagraphFont"/>
    <w:uiPriority w:val="99"/>
    <w:unhideWhenUsed/>
    <w:rsid w:val="003C0B25"/>
    <w:rPr>
      <w:color w:val="0000FF" w:themeColor="hyperlink"/>
      <w:u w:val="single"/>
    </w:rPr>
  </w:style>
  <w:style w:type="character" w:styleId="UnresolvedMention">
    <w:name w:val="Unresolved Mention"/>
    <w:basedOn w:val="DefaultParagraphFont"/>
    <w:uiPriority w:val="99"/>
    <w:semiHidden/>
    <w:unhideWhenUsed/>
    <w:rsid w:val="003C0B25"/>
    <w:rPr>
      <w:color w:val="605E5C"/>
      <w:shd w:val="clear" w:color="auto" w:fill="E1DFDD"/>
    </w:rPr>
  </w:style>
  <w:style w:type="paragraph" w:styleId="CommentText">
    <w:name w:val="annotation text"/>
    <w:basedOn w:val="Normal"/>
    <w:link w:val="CommentTextChar"/>
    <w:uiPriority w:val="99"/>
    <w:unhideWhenUsed/>
    <w:rsid w:val="003C0B25"/>
    <w:rPr>
      <w:rFonts w:ascii="Arial" w:hAnsi="Arial"/>
      <w:sz w:val="20"/>
      <w:szCs w:val="20"/>
    </w:rPr>
  </w:style>
  <w:style w:type="character" w:customStyle="1" w:styleId="CommentTextChar">
    <w:name w:val="Comment Text Char"/>
    <w:basedOn w:val="DefaultParagraphFont"/>
    <w:link w:val="CommentText"/>
    <w:uiPriority w:val="99"/>
    <w:rsid w:val="003C0B25"/>
    <w:rPr>
      <w:rFonts w:ascii="Arial" w:hAnsi="Arial"/>
    </w:rPr>
  </w:style>
  <w:style w:type="paragraph" w:customStyle="1" w:styleId="EndNoteBibliographyTitle">
    <w:name w:val="EndNote Bibliography Title"/>
    <w:basedOn w:val="Normal"/>
    <w:link w:val="EndNoteBibliographyTitleChar"/>
    <w:rsid w:val="00C74F60"/>
    <w:pPr>
      <w:spacing w:after="0"/>
      <w:jc w:val="center"/>
    </w:pPr>
    <w:rPr>
      <w:rFonts w:ascii="Arial" w:hAnsi="Arial" w:cs="Arial"/>
      <w:sz w:val="22"/>
    </w:rPr>
  </w:style>
  <w:style w:type="character" w:customStyle="1" w:styleId="EndNoteBibliographyTitleChar">
    <w:name w:val="EndNote Bibliography Title Char"/>
    <w:basedOn w:val="DefaultParagraphFont"/>
    <w:link w:val="EndNoteBibliographyTitle"/>
    <w:rsid w:val="00C74F60"/>
    <w:rPr>
      <w:rFonts w:ascii="Arial" w:hAnsi="Arial" w:cs="Arial"/>
      <w:sz w:val="22"/>
      <w:szCs w:val="24"/>
    </w:rPr>
  </w:style>
  <w:style w:type="paragraph" w:customStyle="1" w:styleId="EndNoteBibliography">
    <w:name w:val="EndNote Bibliography"/>
    <w:basedOn w:val="Normal"/>
    <w:link w:val="EndNoteBibliographyChar"/>
    <w:rsid w:val="00C74F60"/>
    <w:pPr>
      <w:jc w:val="both"/>
    </w:pPr>
    <w:rPr>
      <w:rFonts w:ascii="Arial" w:hAnsi="Arial" w:cs="Arial"/>
      <w:sz w:val="22"/>
    </w:rPr>
  </w:style>
  <w:style w:type="character" w:customStyle="1" w:styleId="EndNoteBibliographyChar">
    <w:name w:val="EndNote Bibliography Char"/>
    <w:basedOn w:val="DefaultParagraphFont"/>
    <w:link w:val="EndNoteBibliography"/>
    <w:rsid w:val="00C74F60"/>
    <w:rPr>
      <w:rFonts w:ascii="Arial" w:hAnsi="Arial" w:cs="Arial"/>
      <w:sz w:val="22"/>
      <w:szCs w:val="24"/>
    </w:rPr>
  </w:style>
  <w:style w:type="paragraph" w:styleId="Footer">
    <w:name w:val="footer"/>
    <w:basedOn w:val="Normal"/>
    <w:link w:val="FooterChar"/>
    <w:uiPriority w:val="99"/>
    <w:unhideWhenUsed/>
    <w:rsid w:val="00647891"/>
    <w:pPr>
      <w:tabs>
        <w:tab w:val="center" w:pos="4680"/>
        <w:tab w:val="right" w:pos="9360"/>
      </w:tabs>
      <w:spacing w:after="0"/>
    </w:pPr>
  </w:style>
  <w:style w:type="character" w:customStyle="1" w:styleId="FooterChar">
    <w:name w:val="Footer Char"/>
    <w:basedOn w:val="DefaultParagraphFont"/>
    <w:link w:val="Footer"/>
    <w:uiPriority w:val="99"/>
    <w:rsid w:val="00647891"/>
    <w:rPr>
      <w:sz w:val="24"/>
      <w:szCs w:val="24"/>
    </w:rPr>
  </w:style>
  <w:style w:type="character" w:styleId="PageNumber">
    <w:name w:val="page number"/>
    <w:basedOn w:val="DefaultParagraphFont"/>
    <w:uiPriority w:val="99"/>
    <w:semiHidden/>
    <w:unhideWhenUsed/>
    <w:rsid w:val="00647891"/>
  </w:style>
  <w:style w:type="table" w:styleId="TableGrid">
    <w:name w:val="Table Grid"/>
    <w:basedOn w:val="TableNormal"/>
    <w:uiPriority w:val="59"/>
    <w:rsid w:val="00C607B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1E52"/>
    <w:pPr>
      <w:tabs>
        <w:tab w:val="center" w:pos="4680"/>
        <w:tab w:val="right" w:pos="9360"/>
      </w:tabs>
      <w:spacing w:after="0"/>
    </w:pPr>
  </w:style>
  <w:style w:type="character" w:customStyle="1" w:styleId="HeaderChar">
    <w:name w:val="Header Char"/>
    <w:basedOn w:val="DefaultParagraphFont"/>
    <w:link w:val="Header"/>
    <w:uiPriority w:val="99"/>
    <w:rsid w:val="00791E52"/>
    <w:rPr>
      <w:sz w:val="24"/>
      <w:szCs w:val="24"/>
    </w:rPr>
  </w:style>
  <w:style w:type="character" w:styleId="CommentReference">
    <w:name w:val="annotation reference"/>
    <w:basedOn w:val="DefaultParagraphFont"/>
    <w:uiPriority w:val="99"/>
    <w:semiHidden/>
    <w:unhideWhenUsed/>
    <w:rsid w:val="00686467"/>
    <w:rPr>
      <w:sz w:val="16"/>
      <w:szCs w:val="16"/>
    </w:rPr>
  </w:style>
  <w:style w:type="paragraph" w:styleId="CommentSubject">
    <w:name w:val="annotation subject"/>
    <w:basedOn w:val="CommentText"/>
    <w:next w:val="CommentText"/>
    <w:link w:val="CommentSubjectChar"/>
    <w:uiPriority w:val="99"/>
    <w:semiHidden/>
    <w:unhideWhenUsed/>
    <w:rsid w:val="00686467"/>
    <w:rPr>
      <w:rFonts w:asciiTheme="minorHAnsi" w:hAnsiTheme="minorHAnsi"/>
      <w:b/>
      <w:bCs/>
    </w:rPr>
  </w:style>
  <w:style w:type="character" w:customStyle="1" w:styleId="CommentSubjectChar">
    <w:name w:val="Comment Subject Char"/>
    <w:basedOn w:val="CommentTextChar"/>
    <w:link w:val="CommentSubject"/>
    <w:uiPriority w:val="99"/>
    <w:semiHidden/>
    <w:rsid w:val="00686467"/>
    <w:rPr>
      <w:rFonts w:ascii="Arial" w:hAnsi="Arial"/>
      <w:b/>
      <w:bCs/>
    </w:rPr>
  </w:style>
  <w:style w:type="character" w:styleId="PlaceholderText">
    <w:name w:val="Placeholder Text"/>
    <w:basedOn w:val="DefaultParagraphFont"/>
    <w:uiPriority w:val="99"/>
    <w:semiHidden/>
    <w:rsid w:val="00E144E6"/>
    <w:rPr>
      <w:color w:val="808080"/>
    </w:rPr>
  </w:style>
  <w:style w:type="paragraph" w:styleId="ListParagraph">
    <w:name w:val="List Paragraph"/>
    <w:basedOn w:val="Normal"/>
    <w:uiPriority w:val="34"/>
    <w:qFormat/>
    <w:rsid w:val="003D6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5742">
      <w:bodyDiv w:val="1"/>
      <w:marLeft w:val="0"/>
      <w:marRight w:val="0"/>
      <w:marTop w:val="0"/>
      <w:marBottom w:val="0"/>
      <w:divBdr>
        <w:top w:val="none" w:sz="0" w:space="0" w:color="auto"/>
        <w:left w:val="none" w:sz="0" w:space="0" w:color="auto"/>
        <w:bottom w:val="none" w:sz="0" w:space="0" w:color="auto"/>
        <w:right w:val="none" w:sz="0" w:space="0" w:color="auto"/>
      </w:divBdr>
    </w:div>
    <w:div w:id="11075069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gibb/Library/Group%20Containers/UBF8T346G9.Office/User%20Content.localized/Templates.localized/Arial%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252F6-F4A2-664C-B53E-31E4A7601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Arial 11.dotx</Template>
  <TotalTime>1</TotalTime>
  <Pages>4</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UNO</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Mobley</cp:lastModifiedBy>
  <cp:revision>2</cp:revision>
  <cp:lastPrinted>2019-10-24T20:22:00Z</cp:lastPrinted>
  <dcterms:created xsi:type="dcterms:W3CDTF">2019-12-13T01:05:00Z</dcterms:created>
  <dcterms:modified xsi:type="dcterms:W3CDTF">2019-12-13T01:05:00Z</dcterms:modified>
</cp:coreProperties>
</file>