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ADD3E" w14:textId="77777777" w:rsidR="003C0B25" w:rsidRPr="003C0B25" w:rsidRDefault="003C0B25" w:rsidP="00CF2A51">
      <w:pPr>
        <w:adjustRightInd w:val="0"/>
        <w:contextualSpacing/>
        <w:jc w:val="both"/>
        <w:rPr>
          <w:rFonts w:ascii="Arial" w:hAnsi="Arial" w:cs="Arial"/>
          <w:b/>
          <w:sz w:val="22"/>
          <w:szCs w:val="22"/>
        </w:rPr>
      </w:pPr>
    </w:p>
    <w:p w14:paraId="76B664F8" w14:textId="77777777" w:rsidR="003C0B25" w:rsidRPr="003C0B25" w:rsidRDefault="003C0B25" w:rsidP="00CF2A51">
      <w:pPr>
        <w:adjustRightInd w:val="0"/>
        <w:contextualSpacing/>
        <w:jc w:val="both"/>
        <w:rPr>
          <w:rFonts w:ascii="Arial" w:hAnsi="Arial" w:cs="Arial"/>
          <w:b/>
          <w:sz w:val="22"/>
          <w:szCs w:val="22"/>
        </w:rPr>
      </w:pPr>
    </w:p>
    <w:p w14:paraId="7514808A" w14:textId="77777777" w:rsidR="003C0B25" w:rsidRPr="003C04D4" w:rsidRDefault="003C0B25" w:rsidP="00CF2A51">
      <w:pPr>
        <w:adjustRightInd w:val="0"/>
        <w:contextualSpacing/>
        <w:jc w:val="center"/>
        <w:rPr>
          <w:rFonts w:ascii="Arial" w:hAnsi="Arial" w:cs="Arial"/>
          <w:b/>
          <w:bCs/>
          <w:sz w:val="32"/>
          <w:szCs w:val="32"/>
        </w:rPr>
      </w:pPr>
      <w:r>
        <w:rPr>
          <w:rFonts w:ascii="Arial" w:hAnsi="Arial" w:cs="Arial"/>
          <w:b/>
          <w:bCs/>
          <w:sz w:val="32"/>
          <w:szCs w:val="32"/>
        </w:rPr>
        <w:t>Proximal charge effects on guest binding to a non-polar pocket</w:t>
      </w:r>
      <w:r w:rsidRPr="001C3DB3">
        <w:rPr>
          <w:rFonts w:ascii="Arial" w:hAnsi="Arial" w:cs="Arial"/>
          <w:sz w:val="32"/>
          <w:szCs w:val="32"/>
          <w:vertAlign w:val="superscript"/>
        </w:rPr>
        <w:t>† ‡</w:t>
      </w:r>
    </w:p>
    <w:p w14:paraId="2E942BF0" w14:textId="77777777" w:rsidR="003C0B25" w:rsidRPr="007D4111" w:rsidRDefault="003C0B25" w:rsidP="00CF2A51">
      <w:pPr>
        <w:adjustRightInd w:val="0"/>
        <w:contextualSpacing/>
        <w:rPr>
          <w:rFonts w:ascii="Arial" w:hAnsi="Arial" w:cs="Arial"/>
          <w:sz w:val="22"/>
          <w:szCs w:val="22"/>
        </w:rPr>
      </w:pPr>
    </w:p>
    <w:p w14:paraId="53B7D9A5" w14:textId="77777777" w:rsidR="003C0B25" w:rsidRDefault="003C0B25" w:rsidP="00CF2A51">
      <w:pPr>
        <w:adjustRightInd w:val="0"/>
        <w:contextualSpacing/>
        <w:jc w:val="center"/>
        <w:rPr>
          <w:rFonts w:ascii="Arial" w:hAnsi="Arial" w:cs="Arial"/>
          <w:sz w:val="22"/>
          <w:szCs w:val="22"/>
        </w:rPr>
      </w:pPr>
    </w:p>
    <w:p w14:paraId="05666F22" w14:textId="689FC0E4" w:rsidR="003C0B25" w:rsidRPr="007D4111" w:rsidRDefault="003C0B25" w:rsidP="00CF2A51">
      <w:pPr>
        <w:adjustRightInd w:val="0"/>
        <w:contextualSpacing/>
        <w:jc w:val="center"/>
        <w:rPr>
          <w:rFonts w:ascii="Arial" w:hAnsi="Arial" w:cs="Arial"/>
          <w:sz w:val="22"/>
          <w:szCs w:val="22"/>
        </w:rPr>
      </w:pPr>
      <w:r w:rsidRPr="007D4111">
        <w:rPr>
          <w:rFonts w:ascii="Arial" w:hAnsi="Arial" w:cs="Arial"/>
          <w:sz w:val="22"/>
          <w:szCs w:val="22"/>
        </w:rPr>
        <w:t>Paolo Suating,</w:t>
      </w:r>
      <w:r w:rsidRPr="003C04D4">
        <w:rPr>
          <w:rFonts w:ascii="Arial" w:hAnsi="Arial" w:cs="Arial"/>
          <w:sz w:val="22"/>
          <w:szCs w:val="22"/>
          <w:vertAlign w:val="superscript"/>
        </w:rPr>
        <w:t>1</w:t>
      </w:r>
      <w:r w:rsidRPr="007D4111">
        <w:rPr>
          <w:rFonts w:ascii="Arial" w:hAnsi="Arial" w:cs="Arial"/>
          <w:sz w:val="22"/>
          <w:szCs w:val="22"/>
        </w:rPr>
        <w:t xml:space="preserve"> </w:t>
      </w:r>
      <w:r>
        <w:rPr>
          <w:rFonts w:ascii="Arial" w:hAnsi="Arial" w:cs="Arial"/>
          <w:sz w:val="22"/>
          <w:szCs w:val="22"/>
        </w:rPr>
        <w:t>Thong T. Nguyen,</w:t>
      </w:r>
      <w:r>
        <w:rPr>
          <w:rFonts w:ascii="Arial" w:hAnsi="Arial" w:cs="Arial"/>
          <w:sz w:val="22"/>
          <w:szCs w:val="22"/>
          <w:vertAlign w:val="superscript"/>
        </w:rPr>
        <w:t>2</w:t>
      </w:r>
      <w:r>
        <w:rPr>
          <w:rFonts w:ascii="Arial" w:hAnsi="Arial" w:cs="Arial"/>
          <w:sz w:val="22"/>
          <w:szCs w:val="22"/>
        </w:rPr>
        <w:t xml:space="preserve"> </w:t>
      </w:r>
      <w:r w:rsidRPr="007D4111">
        <w:rPr>
          <w:rFonts w:ascii="Arial" w:hAnsi="Arial" w:cs="Arial"/>
          <w:sz w:val="22"/>
          <w:szCs w:val="22"/>
        </w:rPr>
        <w:t>Nicholas E. Ernst,</w:t>
      </w:r>
      <w:r w:rsidRPr="003C04D4">
        <w:rPr>
          <w:rFonts w:ascii="Arial" w:hAnsi="Arial" w:cs="Arial"/>
          <w:sz w:val="22"/>
          <w:szCs w:val="22"/>
          <w:vertAlign w:val="superscript"/>
        </w:rPr>
        <w:t>1</w:t>
      </w:r>
      <w:r w:rsidRPr="007D4111">
        <w:rPr>
          <w:rFonts w:ascii="Arial" w:hAnsi="Arial" w:cs="Arial"/>
          <w:sz w:val="22"/>
          <w:szCs w:val="22"/>
        </w:rPr>
        <w:t xml:space="preserve"> </w:t>
      </w:r>
      <w:r>
        <w:rPr>
          <w:rFonts w:ascii="Arial" w:hAnsi="Arial" w:cs="Arial"/>
          <w:sz w:val="22"/>
          <w:szCs w:val="22"/>
        </w:rPr>
        <w:t>Wang, Y.,</w:t>
      </w:r>
      <w:r w:rsidRPr="00B8699B">
        <w:rPr>
          <w:rFonts w:ascii="Arial" w:hAnsi="Arial" w:cs="Arial"/>
          <w:sz w:val="22"/>
          <w:szCs w:val="22"/>
          <w:vertAlign w:val="superscript"/>
        </w:rPr>
        <w:t xml:space="preserve"> </w:t>
      </w:r>
      <w:r>
        <w:rPr>
          <w:rFonts w:ascii="Arial" w:hAnsi="Arial" w:cs="Arial"/>
          <w:sz w:val="22"/>
          <w:szCs w:val="22"/>
          <w:vertAlign w:val="superscript"/>
        </w:rPr>
        <w:t>3</w:t>
      </w:r>
      <w:r>
        <w:rPr>
          <w:rFonts w:ascii="Arial" w:hAnsi="Arial" w:cs="Arial"/>
          <w:sz w:val="22"/>
          <w:szCs w:val="22"/>
        </w:rPr>
        <w:t xml:space="preserve"> Jacobs H. Jordan,</w:t>
      </w:r>
      <w:r>
        <w:rPr>
          <w:rFonts w:ascii="Arial" w:hAnsi="Arial" w:cs="Arial"/>
          <w:sz w:val="22"/>
          <w:szCs w:val="22"/>
          <w:vertAlign w:val="superscript"/>
        </w:rPr>
        <w:t>4</w:t>
      </w:r>
      <w:r>
        <w:rPr>
          <w:rFonts w:ascii="Arial" w:hAnsi="Arial" w:cs="Arial"/>
          <w:sz w:val="22"/>
          <w:szCs w:val="22"/>
        </w:rPr>
        <w:t xml:space="preserve"> Corinne L.D. Gibb,</w:t>
      </w:r>
      <w:r>
        <w:rPr>
          <w:rFonts w:ascii="Arial" w:hAnsi="Arial" w:cs="Arial"/>
          <w:sz w:val="22"/>
          <w:szCs w:val="22"/>
          <w:vertAlign w:val="superscript"/>
        </w:rPr>
        <w:t>1</w:t>
      </w:r>
      <w:r>
        <w:rPr>
          <w:rFonts w:ascii="Arial" w:hAnsi="Arial" w:cs="Arial"/>
          <w:sz w:val="22"/>
          <w:szCs w:val="22"/>
        </w:rPr>
        <w:t xml:space="preserve"> Henry S Ashbaugh,</w:t>
      </w:r>
      <w:r>
        <w:rPr>
          <w:rFonts w:ascii="Arial" w:hAnsi="Arial" w:cs="Arial"/>
          <w:sz w:val="22"/>
          <w:szCs w:val="22"/>
          <w:vertAlign w:val="superscript"/>
        </w:rPr>
        <w:t>3</w:t>
      </w:r>
      <w:r>
        <w:rPr>
          <w:rFonts w:ascii="Arial" w:hAnsi="Arial" w:cs="Arial"/>
          <w:sz w:val="22"/>
          <w:szCs w:val="22"/>
        </w:rPr>
        <w:t xml:space="preserve"> </w:t>
      </w:r>
      <w:r w:rsidRPr="007D4111">
        <w:rPr>
          <w:rFonts w:ascii="Arial" w:hAnsi="Arial" w:cs="Arial"/>
          <w:sz w:val="22"/>
          <w:szCs w:val="22"/>
        </w:rPr>
        <w:t>and Bruce C. Gibb</w:t>
      </w:r>
      <w:r w:rsidRPr="003C04D4">
        <w:rPr>
          <w:rFonts w:ascii="Arial" w:hAnsi="Arial" w:cs="Arial"/>
          <w:sz w:val="22"/>
          <w:szCs w:val="22"/>
          <w:vertAlign w:val="superscript"/>
        </w:rPr>
        <w:t>1</w:t>
      </w:r>
      <w:r w:rsidRPr="008F1056">
        <w:rPr>
          <w:rFonts w:ascii="Arial" w:hAnsi="Arial" w:cs="Arial"/>
          <w:sz w:val="22"/>
          <w:szCs w:val="22"/>
        </w:rPr>
        <w:t>*</w:t>
      </w:r>
    </w:p>
    <w:p w14:paraId="45C20FC4" w14:textId="77777777" w:rsidR="003C0B25" w:rsidRDefault="003C0B25" w:rsidP="00CF2A51">
      <w:pPr>
        <w:adjustRightInd w:val="0"/>
        <w:contextualSpacing/>
        <w:jc w:val="center"/>
        <w:rPr>
          <w:rFonts w:ascii="Arial" w:hAnsi="Arial" w:cs="Arial"/>
          <w:sz w:val="22"/>
          <w:szCs w:val="22"/>
        </w:rPr>
      </w:pPr>
    </w:p>
    <w:p w14:paraId="40E3B6AF" w14:textId="77777777" w:rsidR="003C0B25" w:rsidRPr="007D4111" w:rsidRDefault="003C0B25" w:rsidP="00CF2A51">
      <w:pPr>
        <w:adjustRightInd w:val="0"/>
        <w:contextualSpacing/>
        <w:jc w:val="center"/>
        <w:rPr>
          <w:rFonts w:ascii="Arial" w:hAnsi="Arial" w:cs="Arial"/>
          <w:sz w:val="22"/>
          <w:szCs w:val="22"/>
        </w:rPr>
      </w:pPr>
    </w:p>
    <w:p w14:paraId="7AE4214D" w14:textId="77777777" w:rsidR="003C0B25" w:rsidRPr="007D4111" w:rsidRDefault="003C0B25" w:rsidP="00CF2A51">
      <w:pPr>
        <w:adjustRightInd w:val="0"/>
        <w:contextualSpacing/>
        <w:jc w:val="center"/>
        <w:rPr>
          <w:rFonts w:ascii="Arial" w:hAnsi="Arial" w:cs="Arial"/>
          <w:sz w:val="22"/>
          <w:szCs w:val="22"/>
        </w:rPr>
      </w:pPr>
    </w:p>
    <w:p w14:paraId="4F61E7B8" w14:textId="77777777" w:rsidR="003C0B25" w:rsidRDefault="003C0B25" w:rsidP="00CF2A51">
      <w:pPr>
        <w:adjustRightInd w:val="0"/>
        <w:contextualSpacing/>
        <w:jc w:val="center"/>
        <w:rPr>
          <w:rFonts w:ascii="Arial" w:hAnsi="Arial" w:cs="Arial"/>
          <w:sz w:val="22"/>
          <w:szCs w:val="22"/>
        </w:rPr>
      </w:pPr>
      <w:r w:rsidRPr="00B85EC4">
        <w:rPr>
          <w:rFonts w:ascii="Arial" w:hAnsi="Arial" w:cs="Arial"/>
          <w:sz w:val="22"/>
          <w:szCs w:val="22"/>
          <w:vertAlign w:val="superscript"/>
        </w:rPr>
        <w:t>1</w:t>
      </w:r>
      <w:r w:rsidRPr="00B85EC4">
        <w:rPr>
          <w:rFonts w:ascii="Arial" w:hAnsi="Arial" w:cs="Arial"/>
          <w:sz w:val="22"/>
          <w:szCs w:val="22"/>
        </w:rPr>
        <w:t xml:space="preserve"> Department of Chemistry, Tulane University, New Orleans, LA 70118, USA</w:t>
      </w:r>
    </w:p>
    <w:p w14:paraId="7A035AE7" w14:textId="77777777" w:rsidR="003C0B25" w:rsidRDefault="003C0B25" w:rsidP="00CF2A51">
      <w:pPr>
        <w:adjustRightInd w:val="0"/>
        <w:contextualSpacing/>
        <w:jc w:val="center"/>
        <w:rPr>
          <w:rFonts w:ascii="Arial" w:hAnsi="Arial" w:cs="Arial"/>
          <w:sz w:val="22"/>
          <w:szCs w:val="22"/>
        </w:rPr>
      </w:pPr>
    </w:p>
    <w:p w14:paraId="6DC340AF" w14:textId="77777777" w:rsidR="003C0B25" w:rsidRDefault="003C0B25" w:rsidP="00CF2A51">
      <w:pPr>
        <w:adjustRightInd w:val="0"/>
        <w:contextualSpacing/>
        <w:jc w:val="center"/>
        <w:rPr>
          <w:rFonts w:ascii="Arial" w:hAnsi="Arial" w:cs="Arial"/>
          <w:sz w:val="22"/>
          <w:szCs w:val="22"/>
        </w:rPr>
      </w:pPr>
      <w:r w:rsidRPr="00D11C48">
        <w:rPr>
          <w:rFonts w:ascii="Arial" w:hAnsi="Arial" w:cs="Arial"/>
          <w:sz w:val="22"/>
          <w:szCs w:val="22"/>
          <w:vertAlign w:val="superscript"/>
        </w:rPr>
        <w:t xml:space="preserve">2 </w:t>
      </w:r>
      <w:r>
        <w:rPr>
          <w:rFonts w:ascii="Arial" w:hAnsi="Arial" w:cs="Arial"/>
          <w:sz w:val="22"/>
          <w:szCs w:val="22"/>
        </w:rPr>
        <w:t xml:space="preserve">Current address, </w:t>
      </w:r>
      <w:r w:rsidRPr="00D11C48">
        <w:rPr>
          <w:rFonts w:ascii="Arial" w:hAnsi="Arial" w:cs="Arial"/>
          <w:sz w:val="22"/>
          <w:szCs w:val="22"/>
        </w:rPr>
        <w:t>Winder Laboratories, LLC</w:t>
      </w:r>
      <w:r>
        <w:rPr>
          <w:rFonts w:ascii="Arial" w:hAnsi="Arial" w:cs="Arial"/>
          <w:sz w:val="22"/>
          <w:szCs w:val="22"/>
        </w:rPr>
        <w:t xml:space="preserve">, </w:t>
      </w:r>
      <w:r w:rsidRPr="00D11C48">
        <w:rPr>
          <w:rFonts w:ascii="Arial" w:hAnsi="Arial" w:cs="Arial"/>
          <w:sz w:val="22"/>
          <w:szCs w:val="22"/>
        </w:rPr>
        <w:t>716 Patrick Industrial Ln, Winder, GA 30680</w:t>
      </w:r>
      <w:r>
        <w:rPr>
          <w:rFonts w:ascii="Arial" w:hAnsi="Arial" w:cs="Arial"/>
          <w:sz w:val="22"/>
          <w:szCs w:val="22"/>
        </w:rPr>
        <w:t>, USA</w:t>
      </w:r>
    </w:p>
    <w:p w14:paraId="769561A6" w14:textId="77777777" w:rsidR="003C0B25" w:rsidRPr="00B85EC4" w:rsidRDefault="003C0B25" w:rsidP="00CF2A51">
      <w:pPr>
        <w:adjustRightInd w:val="0"/>
        <w:contextualSpacing/>
        <w:jc w:val="center"/>
        <w:rPr>
          <w:rFonts w:ascii="Arial" w:hAnsi="Arial" w:cs="Arial"/>
          <w:sz w:val="22"/>
          <w:szCs w:val="22"/>
        </w:rPr>
      </w:pPr>
    </w:p>
    <w:p w14:paraId="5BD002AE" w14:textId="77777777" w:rsidR="003C0B25" w:rsidRPr="00B85EC4" w:rsidRDefault="003C0B25" w:rsidP="00CF2A51">
      <w:pPr>
        <w:adjustRightInd w:val="0"/>
        <w:contextualSpacing/>
        <w:jc w:val="center"/>
        <w:rPr>
          <w:rFonts w:ascii="Arial" w:hAnsi="Arial" w:cs="Arial"/>
          <w:sz w:val="22"/>
          <w:szCs w:val="22"/>
        </w:rPr>
      </w:pPr>
      <w:r>
        <w:rPr>
          <w:rFonts w:ascii="Arial" w:hAnsi="Arial" w:cs="Arial"/>
          <w:sz w:val="22"/>
          <w:szCs w:val="22"/>
          <w:vertAlign w:val="superscript"/>
        </w:rPr>
        <w:t>3</w:t>
      </w:r>
      <w:r w:rsidRPr="00B85EC4">
        <w:rPr>
          <w:rFonts w:ascii="Arial" w:hAnsi="Arial" w:cs="Arial"/>
          <w:sz w:val="22"/>
          <w:szCs w:val="22"/>
        </w:rPr>
        <w:t xml:space="preserve"> Department of Chemical and Biomolecular Engineering, Tulane University, New Orleans, LA 70118, USA</w:t>
      </w:r>
    </w:p>
    <w:p w14:paraId="5603C445" w14:textId="77777777" w:rsidR="003C0B25" w:rsidRPr="00B85EC4" w:rsidRDefault="003C0B25" w:rsidP="00CF2A51">
      <w:pPr>
        <w:pStyle w:val="CommentText"/>
        <w:adjustRightInd w:val="0"/>
        <w:contextualSpacing/>
        <w:jc w:val="center"/>
        <w:rPr>
          <w:sz w:val="22"/>
          <w:szCs w:val="22"/>
        </w:rPr>
      </w:pPr>
      <w:r>
        <w:rPr>
          <w:sz w:val="22"/>
          <w:szCs w:val="22"/>
          <w:vertAlign w:val="superscript"/>
        </w:rPr>
        <w:t xml:space="preserve">4 </w:t>
      </w:r>
      <w:r w:rsidRPr="00B85EC4">
        <w:rPr>
          <w:sz w:val="22"/>
          <w:szCs w:val="22"/>
        </w:rPr>
        <w:t>Current address, the Southern Regional Research Center Agricultural Research Service,</w:t>
      </w:r>
      <w:r>
        <w:rPr>
          <w:sz w:val="22"/>
          <w:szCs w:val="22"/>
        </w:rPr>
        <w:t xml:space="preserve"> </w:t>
      </w:r>
      <w:r w:rsidRPr="00B85EC4">
        <w:rPr>
          <w:sz w:val="22"/>
          <w:szCs w:val="22"/>
        </w:rPr>
        <w:t>USDA, 1100 Robert E. Lee Blvd, New Orleans, LA 70124</w:t>
      </w:r>
      <w:r>
        <w:rPr>
          <w:sz w:val="22"/>
          <w:szCs w:val="22"/>
        </w:rPr>
        <w:t>, USA</w:t>
      </w:r>
    </w:p>
    <w:p w14:paraId="608A51B4" w14:textId="77777777" w:rsidR="003C0B25" w:rsidRDefault="003C0B25" w:rsidP="00CF2A51">
      <w:pPr>
        <w:pStyle w:val="CommentText"/>
        <w:adjustRightInd w:val="0"/>
        <w:contextualSpacing/>
      </w:pPr>
    </w:p>
    <w:p w14:paraId="356D4361" w14:textId="77777777" w:rsidR="003C0B25" w:rsidRDefault="003C0B25" w:rsidP="00CF2A51">
      <w:pPr>
        <w:adjustRightInd w:val="0"/>
        <w:contextualSpacing/>
        <w:jc w:val="center"/>
        <w:rPr>
          <w:rFonts w:ascii="Arial" w:hAnsi="Arial" w:cs="Arial"/>
          <w:sz w:val="22"/>
          <w:szCs w:val="22"/>
        </w:rPr>
      </w:pPr>
    </w:p>
    <w:p w14:paraId="3BBEA3AD" w14:textId="77777777" w:rsidR="003C0B25" w:rsidRDefault="003C0B25" w:rsidP="00CF2A51">
      <w:pPr>
        <w:adjustRightInd w:val="0"/>
        <w:contextualSpacing/>
        <w:jc w:val="center"/>
        <w:rPr>
          <w:rFonts w:ascii="Arial" w:hAnsi="Arial" w:cs="Arial"/>
          <w:sz w:val="22"/>
          <w:szCs w:val="22"/>
        </w:rPr>
      </w:pPr>
    </w:p>
    <w:p w14:paraId="1B99E99C" w14:textId="77777777" w:rsidR="003C0B25" w:rsidRDefault="003C0B25" w:rsidP="00CF2A51">
      <w:pPr>
        <w:adjustRightInd w:val="0"/>
        <w:contextualSpacing/>
        <w:jc w:val="center"/>
        <w:rPr>
          <w:rFonts w:ascii="Arial" w:hAnsi="Arial" w:cs="Arial"/>
          <w:sz w:val="22"/>
          <w:szCs w:val="22"/>
        </w:rPr>
      </w:pPr>
    </w:p>
    <w:p w14:paraId="7AA3BD44" w14:textId="77777777" w:rsidR="003C0B25" w:rsidRDefault="003C0B25" w:rsidP="00CF2A51">
      <w:pPr>
        <w:adjustRightInd w:val="0"/>
        <w:contextualSpacing/>
        <w:jc w:val="center"/>
        <w:rPr>
          <w:rFonts w:ascii="Arial" w:hAnsi="Arial" w:cs="Arial"/>
          <w:sz w:val="22"/>
          <w:szCs w:val="22"/>
        </w:rPr>
      </w:pPr>
    </w:p>
    <w:p w14:paraId="76A0D15C" w14:textId="77777777" w:rsidR="003C0B25" w:rsidRDefault="003C0B25" w:rsidP="00CF2A51">
      <w:pPr>
        <w:adjustRightInd w:val="0"/>
        <w:contextualSpacing/>
        <w:jc w:val="center"/>
        <w:rPr>
          <w:rFonts w:ascii="Arial" w:hAnsi="Arial" w:cs="Arial"/>
          <w:sz w:val="22"/>
          <w:szCs w:val="22"/>
        </w:rPr>
      </w:pPr>
    </w:p>
    <w:p w14:paraId="128CB9C6" w14:textId="77777777" w:rsidR="003C0B25" w:rsidRDefault="003C0B25" w:rsidP="00CF2A51">
      <w:pPr>
        <w:adjustRightInd w:val="0"/>
        <w:contextualSpacing/>
        <w:jc w:val="center"/>
        <w:rPr>
          <w:rFonts w:ascii="Arial" w:hAnsi="Arial" w:cs="Arial"/>
          <w:sz w:val="22"/>
          <w:szCs w:val="22"/>
        </w:rPr>
      </w:pPr>
    </w:p>
    <w:p w14:paraId="3BBFA471" w14:textId="77777777" w:rsidR="003C0B25" w:rsidRDefault="003C0B25" w:rsidP="00CF2A51">
      <w:pPr>
        <w:adjustRightInd w:val="0"/>
        <w:contextualSpacing/>
        <w:jc w:val="center"/>
        <w:rPr>
          <w:rFonts w:ascii="Arial" w:hAnsi="Arial" w:cs="Arial"/>
          <w:sz w:val="22"/>
          <w:szCs w:val="22"/>
        </w:rPr>
      </w:pPr>
    </w:p>
    <w:p w14:paraId="42144FC7" w14:textId="77777777" w:rsidR="003C0B25" w:rsidRDefault="003C0B25" w:rsidP="00CF2A51">
      <w:pPr>
        <w:adjustRightInd w:val="0"/>
        <w:contextualSpacing/>
        <w:jc w:val="center"/>
        <w:rPr>
          <w:rFonts w:ascii="Arial" w:hAnsi="Arial" w:cs="Arial"/>
          <w:sz w:val="22"/>
          <w:szCs w:val="22"/>
        </w:rPr>
      </w:pPr>
    </w:p>
    <w:p w14:paraId="20455F22" w14:textId="77777777" w:rsidR="003C0B25" w:rsidRDefault="003C0B25" w:rsidP="00CF2A51">
      <w:pPr>
        <w:adjustRightInd w:val="0"/>
        <w:contextualSpacing/>
        <w:jc w:val="center"/>
        <w:rPr>
          <w:rFonts w:ascii="Arial" w:hAnsi="Arial" w:cs="Arial"/>
          <w:sz w:val="22"/>
          <w:szCs w:val="22"/>
        </w:rPr>
      </w:pPr>
    </w:p>
    <w:p w14:paraId="205F6D07" w14:textId="77777777" w:rsidR="003C0B25" w:rsidRDefault="003C0B25" w:rsidP="00CF2A51">
      <w:pPr>
        <w:adjustRightInd w:val="0"/>
        <w:contextualSpacing/>
        <w:jc w:val="center"/>
        <w:rPr>
          <w:rFonts w:ascii="Arial" w:hAnsi="Arial" w:cs="Arial"/>
          <w:sz w:val="22"/>
          <w:szCs w:val="22"/>
        </w:rPr>
      </w:pPr>
    </w:p>
    <w:p w14:paraId="07E65893" w14:textId="77777777" w:rsidR="003C0B25" w:rsidRDefault="003C0B25" w:rsidP="00CF2A51">
      <w:pPr>
        <w:adjustRightInd w:val="0"/>
        <w:contextualSpacing/>
        <w:jc w:val="center"/>
        <w:rPr>
          <w:rFonts w:ascii="Arial" w:hAnsi="Arial" w:cs="Arial"/>
          <w:sz w:val="22"/>
          <w:szCs w:val="22"/>
        </w:rPr>
      </w:pPr>
    </w:p>
    <w:p w14:paraId="2AE0A744" w14:textId="77777777" w:rsidR="003C0B25" w:rsidRDefault="003C0B25" w:rsidP="00CF2A51">
      <w:pPr>
        <w:adjustRightInd w:val="0"/>
        <w:contextualSpacing/>
        <w:jc w:val="center"/>
        <w:rPr>
          <w:rFonts w:ascii="Arial" w:hAnsi="Arial" w:cs="Arial"/>
          <w:sz w:val="22"/>
          <w:szCs w:val="22"/>
        </w:rPr>
      </w:pPr>
    </w:p>
    <w:p w14:paraId="077DA776" w14:textId="77777777" w:rsidR="003C0B25" w:rsidRDefault="003C0B25" w:rsidP="00CF2A51">
      <w:pPr>
        <w:adjustRightInd w:val="0"/>
        <w:contextualSpacing/>
        <w:jc w:val="center"/>
        <w:rPr>
          <w:rFonts w:ascii="Arial" w:hAnsi="Arial" w:cs="Arial"/>
          <w:sz w:val="22"/>
          <w:szCs w:val="22"/>
        </w:rPr>
      </w:pPr>
    </w:p>
    <w:p w14:paraId="7A8DFF7A" w14:textId="77777777" w:rsidR="003C0B25" w:rsidRDefault="003C0B25" w:rsidP="00CF2A51">
      <w:pPr>
        <w:adjustRightInd w:val="0"/>
        <w:contextualSpacing/>
        <w:jc w:val="center"/>
        <w:rPr>
          <w:rFonts w:ascii="Arial" w:hAnsi="Arial" w:cs="Arial"/>
          <w:sz w:val="22"/>
          <w:szCs w:val="22"/>
        </w:rPr>
      </w:pPr>
    </w:p>
    <w:p w14:paraId="348EF291" w14:textId="77777777" w:rsidR="003C0B25" w:rsidRDefault="003C0B25" w:rsidP="00CF2A51">
      <w:pPr>
        <w:adjustRightInd w:val="0"/>
        <w:contextualSpacing/>
        <w:jc w:val="center"/>
        <w:rPr>
          <w:rFonts w:ascii="Arial" w:hAnsi="Arial" w:cs="Arial"/>
          <w:sz w:val="22"/>
          <w:szCs w:val="22"/>
        </w:rPr>
      </w:pPr>
    </w:p>
    <w:p w14:paraId="6AFC7944" w14:textId="77777777" w:rsidR="003C0B25" w:rsidRDefault="003C0B25" w:rsidP="00CF2A51">
      <w:pPr>
        <w:adjustRightInd w:val="0"/>
        <w:contextualSpacing/>
        <w:jc w:val="center"/>
        <w:rPr>
          <w:rFonts w:ascii="Arial" w:hAnsi="Arial" w:cs="Arial"/>
          <w:sz w:val="22"/>
          <w:szCs w:val="22"/>
        </w:rPr>
      </w:pPr>
    </w:p>
    <w:p w14:paraId="72C528AD" w14:textId="77777777" w:rsidR="003C0B25" w:rsidRDefault="003C0B25" w:rsidP="00CF2A51">
      <w:pPr>
        <w:adjustRightInd w:val="0"/>
        <w:contextualSpacing/>
        <w:jc w:val="center"/>
        <w:rPr>
          <w:rFonts w:ascii="Arial" w:hAnsi="Arial" w:cs="Arial"/>
          <w:sz w:val="22"/>
          <w:szCs w:val="22"/>
        </w:rPr>
      </w:pPr>
    </w:p>
    <w:p w14:paraId="10B6622C" w14:textId="77777777" w:rsidR="003C0B25" w:rsidRDefault="003C0B25" w:rsidP="00CF2A51">
      <w:pPr>
        <w:adjustRightInd w:val="0"/>
        <w:contextualSpacing/>
        <w:jc w:val="center"/>
        <w:rPr>
          <w:rFonts w:ascii="Arial" w:hAnsi="Arial" w:cs="Arial"/>
          <w:sz w:val="22"/>
          <w:szCs w:val="22"/>
        </w:rPr>
      </w:pPr>
    </w:p>
    <w:p w14:paraId="3FE0E60F" w14:textId="77777777" w:rsidR="003C0B25" w:rsidRDefault="003C0B25" w:rsidP="00CF2A51">
      <w:pPr>
        <w:adjustRightInd w:val="0"/>
        <w:contextualSpacing/>
        <w:jc w:val="center"/>
        <w:rPr>
          <w:rFonts w:ascii="Arial" w:hAnsi="Arial" w:cs="Arial"/>
          <w:sz w:val="22"/>
          <w:szCs w:val="22"/>
        </w:rPr>
      </w:pPr>
    </w:p>
    <w:p w14:paraId="31E6B081" w14:textId="77777777" w:rsidR="003C0B25" w:rsidRDefault="003C0B25" w:rsidP="00CF2A51">
      <w:pPr>
        <w:adjustRightInd w:val="0"/>
        <w:contextualSpacing/>
        <w:jc w:val="center"/>
        <w:rPr>
          <w:rFonts w:ascii="Arial" w:hAnsi="Arial" w:cs="Arial"/>
          <w:sz w:val="22"/>
          <w:szCs w:val="22"/>
        </w:rPr>
      </w:pPr>
    </w:p>
    <w:p w14:paraId="7A0E23A5" w14:textId="77777777" w:rsidR="003C0B25" w:rsidRDefault="003C0B25" w:rsidP="00CF2A51">
      <w:pPr>
        <w:adjustRightInd w:val="0"/>
        <w:contextualSpacing/>
        <w:jc w:val="center"/>
        <w:rPr>
          <w:rFonts w:ascii="Arial" w:hAnsi="Arial" w:cs="Arial"/>
          <w:sz w:val="22"/>
          <w:szCs w:val="22"/>
        </w:rPr>
      </w:pPr>
    </w:p>
    <w:p w14:paraId="0B7A6888" w14:textId="77777777" w:rsidR="003C0B25" w:rsidRDefault="003C0B25" w:rsidP="00CF2A51">
      <w:pPr>
        <w:adjustRightInd w:val="0"/>
        <w:contextualSpacing/>
        <w:jc w:val="center"/>
        <w:rPr>
          <w:rFonts w:ascii="Arial" w:hAnsi="Arial" w:cs="Arial"/>
          <w:sz w:val="22"/>
          <w:szCs w:val="22"/>
        </w:rPr>
      </w:pPr>
    </w:p>
    <w:p w14:paraId="7208D8FC" w14:textId="77777777" w:rsidR="003C0B25" w:rsidRDefault="003C0B25" w:rsidP="00CF2A51">
      <w:pPr>
        <w:adjustRightInd w:val="0"/>
        <w:contextualSpacing/>
        <w:rPr>
          <w:rFonts w:ascii="Arial" w:hAnsi="Arial" w:cs="Arial"/>
          <w:sz w:val="22"/>
          <w:szCs w:val="22"/>
        </w:rPr>
      </w:pPr>
    </w:p>
    <w:p w14:paraId="5879227F" w14:textId="77777777" w:rsidR="003C0B25" w:rsidRPr="007D4111" w:rsidRDefault="003C0B25" w:rsidP="00CF2A51">
      <w:pPr>
        <w:adjustRightInd w:val="0"/>
        <w:contextualSpacing/>
        <w:rPr>
          <w:rFonts w:ascii="Arial" w:hAnsi="Arial" w:cs="Arial"/>
          <w:sz w:val="22"/>
          <w:szCs w:val="22"/>
        </w:rPr>
      </w:pPr>
    </w:p>
    <w:p w14:paraId="3A2D5228" w14:textId="77777777" w:rsidR="003C0B25" w:rsidRDefault="003C0B25" w:rsidP="00CF2A51">
      <w:pPr>
        <w:adjustRightInd w:val="0"/>
        <w:contextualSpacing/>
        <w:jc w:val="both"/>
        <w:rPr>
          <w:rFonts w:ascii="Arial" w:hAnsi="Arial" w:cs="Arial"/>
          <w:sz w:val="22"/>
          <w:szCs w:val="22"/>
        </w:rPr>
      </w:pPr>
      <w:r w:rsidRPr="00B77CD7">
        <w:rPr>
          <w:rFonts w:ascii="Arial" w:hAnsi="Arial" w:cs="Arial"/>
          <w:b/>
          <w:bCs/>
          <w:sz w:val="22"/>
          <w:szCs w:val="22"/>
          <w:vertAlign w:val="superscript"/>
        </w:rPr>
        <w:t>†</w:t>
      </w:r>
      <w:r>
        <w:rPr>
          <w:rFonts w:ascii="Arial" w:hAnsi="Arial" w:cs="Arial"/>
          <w:b/>
          <w:bCs/>
          <w:sz w:val="22"/>
          <w:szCs w:val="22"/>
          <w:vertAlign w:val="superscript"/>
        </w:rPr>
        <w:t xml:space="preserve"> </w:t>
      </w:r>
      <w:r w:rsidRPr="00B77CD7">
        <w:rPr>
          <w:rFonts w:ascii="Arial" w:hAnsi="Arial" w:cs="Arial"/>
          <w:sz w:val="22"/>
          <w:szCs w:val="22"/>
        </w:rPr>
        <w:t>A contribution of reference data</w:t>
      </w:r>
      <w:r>
        <w:rPr>
          <w:rFonts w:ascii="Arial" w:hAnsi="Arial" w:cs="Arial"/>
          <w:sz w:val="22"/>
          <w:szCs w:val="22"/>
        </w:rPr>
        <w:t xml:space="preserve"> </w:t>
      </w:r>
      <w:r w:rsidRPr="00B77CD7">
        <w:rPr>
          <w:rFonts w:ascii="Arial" w:hAnsi="Arial" w:cs="Arial"/>
          <w:sz w:val="22"/>
          <w:szCs w:val="22"/>
        </w:rPr>
        <w:t>for the seventh statistical assessment of modeling of proteins and ligands (SAMPL7)</w:t>
      </w:r>
    </w:p>
    <w:p w14:paraId="77B59135" w14:textId="77777777" w:rsidR="003C0B25" w:rsidRDefault="003C0B25" w:rsidP="00CF2A51">
      <w:pPr>
        <w:adjustRightInd w:val="0"/>
        <w:contextualSpacing/>
        <w:jc w:val="both"/>
        <w:rPr>
          <w:rFonts w:ascii="Arial" w:hAnsi="Arial" w:cs="Arial"/>
          <w:sz w:val="22"/>
          <w:szCs w:val="22"/>
        </w:rPr>
      </w:pPr>
    </w:p>
    <w:p w14:paraId="0B90A5CD" w14:textId="77777777" w:rsidR="003C0B25" w:rsidRPr="00B85EC4" w:rsidRDefault="003C0B25" w:rsidP="00CF2A51">
      <w:pPr>
        <w:adjustRightInd w:val="0"/>
        <w:contextualSpacing/>
        <w:jc w:val="both"/>
        <w:rPr>
          <w:rFonts w:ascii="Arial" w:hAnsi="Arial" w:cs="Arial"/>
          <w:sz w:val="22"/>
          <w:szCs w:val="22"/>
        </w:rPr>
      </w:pPr>
      <w:r w:rsidRPr="00B77CD7">
        <w:rPr>
          <w:rFonts w:ascii="Arial" w:hAnsi="Arial" w:cs="Arial"/>
          <w:b/>
          <w:bCs/>
          <w:sz w:val="22"/>
          <w:szCs w:val="22"/>
          <w:vertAlign w:val="superscript"/>
        </w:rPr>
        <w:t>‡</w:t>
      </w:r>
      <w:r>
        <w:rPr>
          <w:rFonts w:ascii="Arial" w:hAnsi="Arial" w:cs="Arial"/>
          <w:b/>
          <w:bCs/>
          <w:sz w:val="22"/>
          <w:szCs w:val="22"/>
          <w:vertAlign w:val="superscript"/>
        </w:rPr>
        <w:t xml:space="preserve"> </w:t>
      </w:r>
      <w:r w:rsidRPr="00B77CD7">
        <w:rPr>
          <w:rFonts w:ascii="Arial" w:hAnsi="Arial" w:cs="Arial"/>
          <w:sz w:val="22"/>
          <w:szCs w:val="22"/>
        </w:rPr>
        <w:t xml:space="preserve">Dedicated </w:t>
      </w:r>
      <w:r>
        <w:rPr>
          <w:rFonts w:ascii="Arial" w:hAnsi="Arial" w:cs="Arial"/>
          <w:sz w:val="22"/>
          <w:szCs w:val="22"/>
        </w:rPr>
        <w:t>to Eric V Anslyn on the imminent arrival of his 60</w:t>
      </w:r>
      <w:r w:rsidRPr="00B77CD7">
        <w:rPr>
          <w:rFonts w:ascii="Arial" w:hAnsi="Arial" w:cs="Arial"/>
          <w:sz w:val="22"/>
          <w:szCs w:val="22"/>
          <w:vertAlign w:val="superscript"/>
        </w:rPr>
        <w:t>th</w:t>
      </w:r>
      <w:r>
        <w:rPr>
          <w:rFonts w:ascii="Arial" w:hAnsi="Arial" w:cs="Arial"/>
          <w:sz w:val="22"/>
          <w:szCs w:val="22"/>
        </w:rPr>
        <w:t xml:space="preserve"> birthday.</w:t>
      </w:r>
    </w:p>
    <w:p w14:paraId="14ADE11B" w14:textId="7F708A8C" w:rsidR="00E774A4" w:rsidRDefault="003F4B28" w:rsidP="00CF2A51">
      <w:pPr>
        <w:adjustRightInd w:val="0"/>
        <w:spacing w:line="360" w:lineRule="auto"/>
        <w:contextualSpacing/>
        <w:jc w:val="both"/>
        <w:rPr>
          <w:rFonts w:ascii="Arial" w:hAnsi="Arial" w:cs="Arial"/>
          <w:sz w:val="22"/>
          <w:szCs w:val="22"/>
        </w:rPr>
      </w:pPr>
      <w:r>
        <w:rPr>
          <w:rFonts w:ascii="Arial" w:hAnsi="Arial" w:cs="Arial"/>
          <w:b/>
          <w:sz w:val="22"/>
          <w:szCs w:val="22"/>
        </w:rPr>
        <w:lastRenderedPageBreak/>
        <w:t>The Hosts</w:t>
      </w:r>
    </w:p>
    <w:p w14:paraId="6B236068" w14:textId="3337AF93" w:rsidR="00E774A4" w:rsidRDefault="00314C35" w:rsidP="00CF2A51">
      <w:pPr>
        <w:adjustRightInd w:val="0"/>
        <w:spacing w:line="360" w:lineRule="auto"/>
        <w:contextualSpacing/>
        <w:jc w:val="center"/>
        <w:rPr>
          <w:rFonts w:ascii="Arial" w:hAnsi="Arial" w:cs="Arial"/>
          <w:sz w:val="22"/>
          <w:szCs w:val="22"/>
        </w:rPr>
      </w:pPr>
      <w:r>
        <w:rPr>
          <w:rFonts w:ascii="Arial" w:hAnsi="Arial" w:cs="Arial"/>
          <w:noProof/>
          <w:sz w:val="22"/>
          <w:szCs w:val="22"/>
        </w:rPr>
        <w:drawing>
          <wp:inline distT="0" distB="0" distL="0" distR="0" wp14:anchorId="7A577570" wp14:editId="6626CE91">
            <wp:extent cx="5080000" cy="3383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1.jpg"/>
                    <pic:cNvPicPr/>
                  </pic:nvPicPr>
                  <pic:blipFill>
                    <a:blip r:embed="rId8"/>
                    <a:stretch>
                      <a:fillRect/>
                    </a:stretch>
                  </pic:blipFill>
                  <pic:spPr>
                    <a:xfrm>
                      <a:off x="0" y="0"/>
                      <a:ext cx="5105384" cy="3400317"/>
                    </a:xfrm>
                    <a:prstGeom prst="rect">
                      <a:avLst/>
                    </a:prstGeom>
                  </pic:spPr>
                </pic:pic>
              </a:graphicData>
            </a:graphic>
          </wp:inline>
        </w:drawing>
      </w:r>
    </w:p>
    <w:p w14:paraId="3A849FB2" w14:textId="3BE87EDE" w:rsidR="00E774A4" w:rsidRPr="0095670A" w:rsidRDefault="00E774A4" w:rsidP="00CF2A51">
      <w:pPr>
        <w:adjustRightInd w:val="0"/>
        <w:spacing w:line="360" w:lineRule="auto"/>
        <w:contextualSpacing/>
        <w:jc w:val="center"/>
        <w:rPr>
          <w:rFonts w:ascii="Arial" w:hAnsi="Arial" w:cs="Arial"/>
          <w:sz w:val="18"/>
          <w:szCs w:val="18"/>
        </w:rPr>
      </w:pPr>
      <w:r w:rsidRPr="00E774A4">
        <w:rPr>
          <w:rFonts w:ascii="Arial" w:hAnsi="Arial" w:cs="Arial"/>
          <w:b/>
          <w:bCs/>
          <w:sz w:val="18"/>
          <w:szCs w:val="18"/>
        </w:rPr>
        <w:t>Figure 1:</w:t>
      </w:r>
      <w:r w:rsidRPr="00E774A4">
        <w:rPr>
          <w:rFonts w:ascii="Arial" w:hAnsi="Arial" w:cs="Arial"/>
          <w:sz w:val="18"/>
          <w:szCs w:val="18"/>
        </w:rPr>
        <w:t xml:space="preserve"> </w:t>
      </w:r>
      <w:r>
        <w:rPr>
          <w:rFonts w:ascii="Arial" w:hAnsi="Arial" w:cs="Arial"/>
          <w:sz w:val="18"/>
          <w:szCs w:val="18"/>
        </w:rPr>
        <w:t>S</w:t>
      </w:r>
      <w:r w:rsidRPr="00E774A4">
        <w:rPr>
          <w:rFonts w:ascii="Arial" w:hAnsi="Arial" w:cs="Arial"/>
          <w:sz w:val="18"/>
          <w:szCs w:val="18"/>
        </w:rPr>
        <w:t>tructures and space-filling models of the two hosts in this study: octa-acid (</w:t>
      </w:r>
      <w:r w:rsidRPr="00E774A4">
        <w:rPr>
          <w:rFonts w:ascii="Arial" w:hAnsi="Arial" w:cs="Arial"/>
          <w:b/>
          <w:bCs/>
          <w:sz w:val="18"/>
          <w:szCs w:val="18"/>
        </w:rPr>
        <w:t>1</w:t>
      </w:r>
      <w:r w:rsidRPr="00E774A4">
        <w:rPr>
          <w:rFonts w:ascii="Arial" w:hAnsi="Arial" w:cs="Arial"/>
          <w:sz w:val="18"/>
          <w:szCs w:val="18"/>
        </w:rPr>
        <w:t xml:space="preserve">) and </w:t>
      </w:r>
      <w:r w:rsidRPr="00E774A4">
        <w:rPr>
          <w:rFonts w:ascii="Arial" w:hAnsi="Arial" w:cs="Arial"/>
          <w:i/>
          <w:iCs/>
          <w:sz w:val="18"/>
          <w:szCs w:val="18"/>
        </w:rPr>
        <w:t>exo</w:t>
      </w:r>
      <w:r w:rsidRPr="00E774A4">
        <w:rPr>
          <w:rFonts w:ascii="Arial" w:hAnsi="Arial" w:cs="Arial"/>
          <w:sz w:val="18"/>
          <w:szCs w:val="18"/>
        </w:rPr>
        <w:t>-octa-acid (</w:t>
      </w:r>
      <w:r w:rsidRPr="00E774A4">
        <w:rPr>
          <w:rFonts w:ascii="Arial" w:hAnsi="Arial" w:cs="Arial"/>
          <w:b/>
          <w:bCs/>
          <w:sz w:val="18"/>
          <w:szCs w:val="18"/>
        </w:rPr>
        <w:t>2</w:t>
      </w:r>
      <w:r w:rsidRPr="00E774A4">
        <w:rPr>
          <w:rFonts w:ascii="Arial" w:hAnsi="Arial" w:cs="Arial"/>
          <w:sz w:val="18"/>
          <w:szCs w:val="18"/>
        </w:rPr>
        <w:t>).</w:t>
      </w:r>
    </w:p>
    <w:p w14:paraId="1D2900BC" w14:textId="7CC9EECA" w:rsidR="00C74F60" w:rsidRDefault="00C74F60" w:rsidP="00CF2A51">
      <w:pPr>
        <w:adjustRightInd w:val="0"/>
        <w:spacing w:line="360" w:lineRule="auto"/>
        <w:contextualSpacing/>
        <w:jc w:val="both"/>
        <w:rPr>
          <w:rFonts w:ascii="Arial" w:hAnsi="Arial" w:cs="Arial"/>
          <w:sz w:val="22"/>
          <w:szCs w:val="22"/>
        </w:rPr>
      </w:pPr>
    </w:p>
    <w:p w14:paraId="07505173" w14:textId="687FAA80" w:rsidR="007C3C5E" w:rsidRDefault="003F4B28" w:rsidP="00CF2A51">
      <w:pPr>
        <w:adjustRightInd w:val="0"/>
        <w:spacing w:line="360" w:lineRule="auto"/>
        <w:contextualSpacing/>
        <w:jc w:val="both"/>
        <w:rPr>
          <w:rFonts w:ascii="Arial" w:hAnsi="Arial" w:cs="Arial"/>
          <w:sz w:val="22"/>
          <w:szCs w:val="22"/>
        </w:rPr>
      </w:pPr>
      <w:r>
        <w:rPr>
          <w:rFonts w:ascii="Arial" w:hAnsi="Arial" w:cs="Arial"/>
          <w:b/>
          <w:bCs/>
          <w:sz w:val="22"/>
          <w:szCs w:val="22"/>
        </w:rPr>
        <w:t>The guests</w:t>
      </w:r>
      <w:r w:rsidR="00C820DA">
        <w:rPr>
          <w:rFonts w:ascii="Arial" w:hAnsi="Arial" w:cs="Arial"/>
          <w:sz w:val="22"/>
          <w:szCs w:val="22"/>
        </w:rPr>
        <w:t xml:space="preserve"> </w:t>
      </w:r>
    </w:p>
    <w:p w14:paraId="5FF3B3C8" w14:textId="7278E10F" w:rsidR="007C3C5E" w:rsidRDefault="00E956FB" w:rsidP="00CF2A51">
      <w:pPr>
        <w:adjustRightInd w:val="0"/>
        <w:spacing w:line="360" w:lineRule="auto"/>
        <w:contextualSpacing/>
        <w:jc w:val="both"/>
        <w:rPr>
          <w:rFonts w:ascii="Arial" w:hAnsi="Arial" w:cs="Arial"/>
          <w:sz w:val="22"/>
          <w:szCs w:val="22"/>
        </w:rPr>
      </w:pPr>
      <w:r>
        <w:rPr>
          <w:rFonts w:ascii="Arial" w:hAnsi="Arial" w:cs="Arial"/>
          <w:noProof/>
          <w:sz w:val="22"/>
          <w:szCs w:val="22"/>
        </w:rPr>
        <w:drawing>
          <wp:inline distT="0" distB="0" distL="0" distR="0" wp14:anchorId="225EE6C6" wp14:editId="6E3B4ECA">
            <wp:extent cx="5715000" cy="1587500"/>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MPL7_host_guest_GDCC_and_guests_at_master_·_samplchallenges_SAMPL7.png"/>
                    <pic:cNvPicPr/>
                  </pic:nvPicPr>
                  <pic:blipFill>
                    <a:blip r:embed="rId9"/>
                    <a:stretch>
                      <a:fillRect/>
                    </a:stretch>
                  </pic:blipFill>
                  <pic:spPr>
                    <a:xfrm>
                      <a:off x="0" y="0"/>
                      <a:ext cx="5715000" cy="1587500"/>
                    </a:xfrm>
                    <a:prstGeom prst="rect">
                      <a:avLst/>
                    </a:prstGeom>
                  </pic:spPr>
                </pic:pic>
              </a:graphicData>
            </a:graphic>
          </wp:inline>
        </w:drawing>
      </w:r>
    </w:p>
    <w:p w14:paraId="6FCBEE1E" w14:textId="192FBDAD" w:rsidR="007C3C5E" w:rsidRDefault="007C3C5E" w:rsidP="00CF2A51">
      <w:pPr>
        <w:adjustRightInd w:val="0"/>
        <w:spacing w:line="360" w:lineRule="auto"/>
        <w:contextualSpacing/>
        <w:jc w:val="center"/>
        <w:rPr>
          <w:rFonts w:ascii="Arial" w:hAnsi="Arial" w:cs="Arial"/>
          <w:sz w:val="22"/>
          <w:szCs w:val="22"/>
        </w:rPr>
      </w:pPr>
    </w:p>
    <w:p w14:paraId="641353CF" w14:textId="5819653C" w:rsidR="007C3C5E" w:rsidRPr="007C3C5E" w:rsidRDefault="007C3C5E" w:rsidP="00CF2A51">
      <w:pPr>
        <w:adjustRightInd w:val="0"/>
        <w:spacing w:line="360" w:lineRule="auto"/>
        <w:contextualSpacing/>
        <w:jc w:val="center"/>
        <w:rPr>
          <w:rFonts w:ascii="Arial" w:hAnsi="Arial" w:cs="Arial"/>
          <w:sz w:val="18"/>
          <w:szCs w:val="18"/>
        </w:rPr>
      </w:pPr>
      <w:r w:rsidRPr="007C3C5E">
        <w:rPr>
          <w:rFonts w:ascii="Arial" w:hAnsi="Arial" w:cs="Arial"/>
          <w:b/>
          <w:bCs/>
          <w:sz w:val="18"/>
          <w:szCs w:val="18"/>
        </w:rPr>
        <w:t>Figure 2</w:t>
      </w:r>
      <w:r w:rsidRPr="007C3C5E">
        <w:rPr>
          <w:rFonts w:ascii="Arial" w:hAnsi="Arial" w:cs="Arial"/>
          <w:sz w:val="18"/>
          <w:szCs w:val="18"/>
        </w:rPr>
        <w:t>: Guests used in this study.</w:t>
      </w:r>
      <w:r w:rsidR="004F5355">
        <w:rPr>
          <w:rFonts w:ascii="Arial" w:hAnsi="Arial" w:cs="Arial"/>
          <w:sz w:val="18"/>
          <w:szCs w:val="18"/>
        </w:rPr>
        <w:t xml:space="preserve">  Guests </w:t>
      </w:r>
      <w:r w:rsidR="004F5355" w:rsidRPr="004F5355">
        <w:rPr>
          <w:rFonts w:ascii="Arial" w:hAnsi="Arial" w:cs="Arial"/>
          <w:b/>
          <w:bCs/>
          <w:sz w:val="18"/>
          <w:szCs w:val="18"/>
        </w:rPr>
        <w:t>G</w:t>
      </w:r>
      <w:r w:rsidR="00FD139E">
        <w:rPr>
          <w:rFonts w:ascii="Arial" w:hAnsi="Arial" w:cs="Arial"/>
          <w:b/>
          <w:bCs/>
          <w:sz w:val="18"/>
          <w:szCs w:val="18"/>
        </w:rPr>
        <w:t>5</w:t>
      </w:r>
      <w:r w:rsidR="004F5355">
        <w:rPr>
          <w:rFonts w:ascii="Arial" w:hAnsi="Arial" w:cs="Arial"/>
          <w:sz w:val="18"/>
          <w:szCs w:val="18"/>
        </w:rPr>
        <w:t>-</w:t>
      </w:r>
      <w:r w:rsidR="004F5355" w:rsidRPr="004F5355">
        <w:rPr>
          <w:rFonts w:ascii="Arial" w:hAnsi="Arial" w:cs="Arial"/>
          <w:b/>
          <w:bCs/>
          <w:sz w:val="18"/>
          <w:szCs w:val="18"/>
        </w:rPr>
        <w:t>G</w:t>
      </w:r>
      <w:r w:rsidR="00FD139E">
        <w:rPr>
          <w:rFonts w:ascii="Arial" w:hAnsi="Arial" w:cs="Arial"/>
          <w:b/>
          <w:bCs/>
          <w:sz w:val="18"/>
          <w:szCs w:val="18"/>
        </w:rPr>
        <w:t>8</w:t>
      </w:r>
      <w:r w:rsidR="004F5355">
        <w:rPr>
          <w:rFonts w:ascii="Arial" w:hAnsi="Arial" w:cs="Arial"/>
          <w:sz w:val="18"/>
          <w:szCs w:val="18"/>
        </w:rPr>
        <w:t xml:space="preserve"> were used as their chloride salts.</w:t>
      </w:r>
    </w:p>
    <w:p w14:paraId="44E138E5" w14:textId="3086C073" w:rsidR="007C3C5E" w:rsidRDefault="007C3C5E" w:rsidP="00CF2A51">
      <w:pPr>
        <w:adjustRightInd w:val="0"/>
        <w:spacing w:line="360" w:lineRule="auto"/>
        <w:contextualSpacing/>
        <w:rPr>
          <w:rFonts w:ascii="Arial" w:hAnsi="Arial" w:cs="Arial"/>
          <w:sz w:val="22"/>
          <w:szCs w:val="22"/>
        </w:rPr>
      </w:pPr>
    </w:p>
    <w:p w14:paraId="7BB15C96" w14:textId="77777777" w:rsidR="003F4B28" w:rsidRDefault="003F4B28" w:rsidP="00CF2A51">
      <w:pPr>
        <w:adjustRightInd w:val="0"/>
        <w:spacing w:line="360" w:lineRule="auto"/>
        <w:contextualSpacing/>
        <w:rPr>
          <w:rFonts w:ascii="Arial" w:hAnsi="Arial" w:cs="Arial"/>
          <w:b/>
          <w:bCs/>
          <w:sz w:val="22"/>
          <w:szCs w:val="22"/>
        </w:rPr>
      </w:pPr>
    </w:p>
    <w:p w14:paraId="6CBEBEB8" w14:textId="77777777" w:rsidR="003F4B28" w:rsidRDefault="003F4B28" w:rsidP="00CF2A51">
      <w:pPr>
        <w:adjustRightInd w:val="0"/>
        <w:spacing w:line="360" w:lineRule="auto"/>
        <w:contextualSpacing/>
        <w:rPr>
          <w:rFonts w:ascii="Arial" w:hAnsi="Arial" w:cs="Arial"/>
          <w:b/>
          <w:bCs/>
          <w:sz w:val="22"/>
          <w:szCs w:val="22"/>
        </w:rPr>
      </w:pPr>
    </w:p>
    <w:p w14:paraId="71C4746A" w14:textId="68427EA0" w:rsidR="003F4B28" w:rsidRDefault="003F4B28" w:rsidP="00CF2A51">
      <w:pPr>
        <w:adjustRightInd w:val="0"/>
        <w:spacing w:line="360" w:lineRule="auto"/>
        <w:contextualSpacing/>
        <w:rPr>
          <w:rFonts w:ascii="Arial" w:hAnsi="Arial" w:cs="Arial"/>
          <w:b/>
          <w:bCs/>
          <w:sz w:val="22"/>
          <w:szCs w:val="22"/>
        </w:rPr>
      </w:pPr>
    </w:p>
    <w:p w14:paraId="5A00BAA2" w14:textId="77777777" w:rsidR="00996C60" w:rsidRDefault="00996C60" w:rsidP="00CF2A51">
      <w:pPr>
        <w:adjustRightInd w:val="0"/>
        <w:spacing w:line="360" w:lineRule="auto"/>
        <w:contextualSpacing/>
        <w:rPr>
          <w:rFonts w:ascii="Arial" w:hAnsi="Arial" w:cs="Arial"/>
          <w:b/>
          <w:bCs/>
          <w:sz w:val="22"/>
          <w:szCs w:val="22"/>
        </w:rPr>
      </w:pPr>
      <w:bookmarkStart w:id="0" w:name="_GoBack"/>
      <w:bookmarkEnd w:id="0"/>
    </w:p>
    <w:p w14:paraId="26DBC874" w14:textId="77777777" w:rsidR="003F4B28" w:rsidRDefault="003F4B28" w:rsidP="00CF2A51">
      <w:pPr>
        <w:adjustRightInd w:val="0"/>
        <w:spacing w:line="360" w:lineRule="auto"/>
        <w:contextualSpacing/>
        <w:rPr>
          <w:rFonts w:ascii="Arial" w:hAnsi="Arial" w:cs="Arial"/>
          <w:b/>
          <w:bCs/>
          <w:sz w:val="22"/>
          <w:szCs w:val="22"/>
        </w:rPr>
      </w:pPr>
    </w:p>
    <w:p w14:paraId="6B3CB2FD" w14:textId="77777777" w:rsidR="003F4B28" w:rsidRDefault="003F4B28" w:rsidP="00CF2A51">
      <w:pPr>
        <w:adjustRightInd w:val="0"/>
        <w:spacing w:line="360" w:lineRule="auto"/>
        <w:contextualSpacing/>
        <w:rPr>
          <w:rFonts w:ascii="Arial" w:hAnsi="Arial" w:cs="Arial"/>
          <w:b/>
          <w:bCs/>
          <w:sz w:val="22"/>
          <w:szCs w:val="22"/>
        </w:rPr>
      </w:pPr>
    </w:p>
    <w:p w14:paraId="43FEF706" w14:textId="3EDEEC51" w:rsidR="003A49CE" w:rsidRPr="003F4B28" w:rsidRDefault="003F4B28" w:rsidP="003F4B28">
      <w:pPr>
        <w:adjustRightInd w:val="0"/>
        <w:spacing w:line="360" w:lineRule="auto"/>
        <w:contextualSpacing/>
        <w:rPr>
          <w:rFonts w:ascii="Arial" w:hAnsi="Arial" w:cs="Arial"/>
          <w:b/>
          <w:bCs/>
          <w:sz w:val="22"/>
          <w:szCs w:val="22"/>
        </w:rPr>
      </w:pPr>
      <w:r>
        <w:rPr>
          <w:rFonts w:ascii="Arial" w:hAnsi="Arial" w:cs="Arial"/>
          <w:b/>
          <w:bCs/>
          <w:sz w:val="22"/>
          <w:szCs w:val="22"/>
        </w:rPr>
        <w:lastRenderedPageBreak/>
        <w:t>The data</w:t>
      </w:r>
    </w:p>
    <w:p w14:paraId="5AF08F30" w14:textId="1295574C" w:rsidR="003A49CE" w:rsidRPr="003A49CE" w:rsidRDefault="003A49CE" w:rsidP="003A49CE">
      <w:pPr>
        <w:contextualSpacing/>
        <w:mirrorIndents/>
        <w:jc w:val="center"/>
        <w:rPr>
          <w:rFonts w:ascii="Arial" w:hAnsi="Arial" w:cs="Arial"/>
          <w:sz w:val="18"/>
          <w:szCs w:val="18"/>
        </w:rPr>
      </w:pPr>
      <w:r w:rsidRPr="003A49CE">
        <w:rPr>
          <w:rFonts w:ascii="Arial" w:hAnsi="Arial" w:cs="Arial"/>
          <w:b/>
          <w:bCs/>
          <w:sz w:val="18"/>
          <w:szCs w:val="18"/>
        </w:rPr>
        <w:t>Table 1</w:t>
      </w:r>
      <w:r w:rsidRPr="003A49CE">
        <w:rPr>
          <w:rFonts w:ascii="Arial" w:hAnsi="Arial" w:cs="Arial"/>
          <w:sz w:val="18"/>
          <w:szCs w:val="18"/>
        </w:rPr>
        <w:t xml:space="preserve">: Thermodynamic data </w:t>
      </w:r>
      <w:r>
        <w:rPr>
          <w:rFonts w:ascii="Arial" w:hAnsi="Arial" w:cs="Arial"/>
          <w:sz w:val="18"/>
          <w:szCs w:val="18"/>
        </w:rPr>
        <w:t xml:space="preserve">from ITC </w:t>
      </w:r>
      <w:r w:rsidRPr="003A49CE">
        <w:rPr>
          <w:rFonts w:ascii="Arial" w:hAnsi="Arial" w:cs="Arial"/>
          <w:sz w:val="18"/>
          <w:szCs w:val="18"/>
        </w:rPr>
        <w:t>for the binding of guests G</w:t>
      </w:r>
      <w:r w:rsidR="00FD139E">
        <w:rPr>
          <w:rFonts w:ascii="Arial" w:hAnsi="Arial" w:cs="Arial"/>
          <w:sz w:val="18"/>
          <w:szCs w:val="18"/>
        </w:rPr>
        <w:t>1</w:t>
      </w:r>
      <w:r w:rsidRPr="003A49CE">
        <w:rPr>
          <w:rFonts w:ascii="Arial" w:hAnsi="Arial" w:cs="Arial"/>
          <w:sz w:val="18"/>
          <w:szCs w:val="18"/>
        </w:rPr>
        <w:t>-G</w:t>
      </w:r>
      <w:r w:rsidR="00FD139E">
        <w:rPr>
          <w:rFonts w:ascii="Arial" w:hAnsi="Arial" w:cs="Arial"/>
          <w:sz w:val="18"/>
          <w:szCs w:val="18"/>
        </w:rPr>
        <w:t>8</w:t>
      </w:r>
      <w:r w:rsidRPr="003A49CE">
        <w:rPr>
          <w:rFonts w:ascii="Arial" w:hAnsi="Arial" w:cs="Arial"/>
          <w:sz w:val="18"/>
          <w:szCs w:val="18"/>
        </w:rPr>
        <w:t xml:space="preserve"> with hosts OA and </w:t>
      </w:r>
      <w:r w:rsidRPr="00FE28AB">
        <w:rPr>
          <w:rFonts w:ascii="Arial" w:hAnsi="Arial" w:cs="Arial"/>
          <w:i/>
          <w:iCs/>
          <w:sz w:val="18"/>
          <w:szCs w:val="18"/>
        </w:rPr>
        <w:t>Exo</w:t>
      </w:r>
      <w:r w:rsidR="00FE28AB">
        <w:rPr>
          <w:rFonts w:ascii="Arial" w:hAnsi="Arial" w:cs="Arial"/>
          <w:sz w:val="18"/>
          <w:szCs w:val="18"/>
        </w:rPr>
        <w:t>-</w:t>
      </w:r>
      <w:r w:rsidRPr="003A49CE">
        <w:rPr>
          <w:rFonts w:ascii="Arial" w:hAnsi="Arial" w:cs="Arial"/>
          <w:sz w:val="18"/>
          <w:szCs w:val="18"/>
        </w:rPr>
        <w:t>OA.</w:t>
      </w:r>
    </w:p>
    <w:p w14:paraId="3E559065" w14:textId="77777777" w:rsidR="004D49D4" w:rsidRDefault="004D49D4" w:rsidP="00CF2A51">
      <w:pPr>
        <w:adjustRightInd w:val="0"/>
        <w:spacing w:line="360" w:lineRule="auto"/>
        <w:contextualSpacing/>
        <w:rPr>
          <w:rFonts w:ascii="Arial" w:hAnsi="Arial" w:cs="Arial"/>
          <w:sz w:val="22"/>
          <w:szCs w:val="22"/>
        </w:rPr>
      </w:pPr>
    </w:p>
    <w:tbl>
      <w:tblPr>
        <w:tblStyle w:val="TableGrid"/>
        <w:tblW w:w="0" w:type="auto"/>
        <w:tblInd w:w="9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7"/>
        <w:gridCol w:w="1134"/>
        <w:gridCol w:w="1134"/>
        <w:gridCol w:w="1067"/>
        <w:gridCol w:w="1134"/>
        <w:gridCol w:w="1213"/>
        <w:gridCol w:w="1074"/>
      </w:tblGrid>
      <w:tr w:rsidR="00C87130" w14:paraId="23EDD3AA" w14:textId="77777777" w:rsidTr="00777B4A">
        <w:tc>
          <w:tcPr>
            <w:tcW w:w="727" w:type="dxa"/>
            <w:tcBorders>
              <w:right w:val="single" w:sz="4" w:space="0" w:color="auto"/>
            </w:tcBorders>
            <w:shd w:val="pct10" w:color="auto" w:fill="auto"/>
          </w:tcPr>
          <w:p w14:paraId="265EF272" w14:textId="28B2953C" w:rsidR="00C607B3" w:rsidRPr="00C87130" w:rsidRDefault="00C607B3" w:rsidP="00C87130">
            <w:pPr>
              <w:adjustRightInd w:val="0"/>
              <w:spacing w:line="360" w:lineRule="auto"/>
              <w:contextualSpacing/>
              <w:jc w:val="center"/>
              <w:rPr>
                <w:rFonts w:ascii="Arial" w:hAnsi="Arial" w:cs="Arial"/>
                <w:b/>
                <w:bCs/>
                <w:sz w:val="18"/>
                <w:szCs w:val="18"/>
              </w:rPr>
            </w:pPr>
            <w:r w:rsidRPr="00C87130">
              <w:rPr>
                <w:rFonts w:ascii="Arial" w:hAnsi="Arial" w:cs="Arial"/>
                <w:b/>
                <w:bCs/>
                <w:sz w:val="18"/>
                <w:szCs w:val="18"/>
              </w:rPr>
              <w:t>Guest</w:t>
            </w:r>
          </w:p>
        </w:tc>
        <w:tc>
          <w:tcPr>
            <w:tcW w:w="3335" w:type="dxa"/>
            <w:gridSpan w:val="3"/>
            <w:tcBorders>
              <w:left w:val="single" w:sz="4" w:space="0" w:color="auto"/>
              <w:right w:val="single" w:sz="4" w:space="0" w:color="auto"/>
            </w:tcBorders>
            <w:shd w:val="pct10" w:color="auto" w:fill="auto"/>
          </w:tcPr>
          <w:p w14:paraId="40A9A055" w14:textId="4658FEF2" w:rsidR="00C607B3" w:rsidRPr="00C87130" w:rsidRDefault="00C607B3" w:rsidP="00C87130">
            <w:pPr>
              <w:adjustRightInd w:val="0"/>
              <w:spacing w:line="360" w:lineRule="auto"/>
              <w:contextualSpacing/>
              <w:jc w:val="center"/>
              <w:rPr>
                <w:rFonts w:ascii="Arial" w:hAnsi="Arial" w:cs="Arial"/>
                <w:b/>
                <w:bCs/>
                <w:sz w:val="18"/>
                <w:szCs w:val="18"/>
              </w:rPr>
            </w:pPr>
            <w:r w:rsidRPr="00C87130">
              <w:rPr>
                <w:rFonts w:ascii="Arial" w:hAnsi="Arial" w:cs="Arial"/>
                <w:b/>
                <w:bCs/>
                <w:sz w:val="18"/>
                <w:szCs w:val="18"/>
              </w:rPr>
              <w:t xml:space="preserve">Octa </w:t>
            </w:r>
            <w:r w:rsidR="00C87130">
              <w:rPr>
                <w:rFonts w:ascii="Arial" w:hAnsi="Arial" w:cs="Arial"/>
                <w:b/>
                <w:bCs/>
                <w:sz w:val="18"/>
                <w:szCs w:val="18"/>
              </w:rPr>
              <w:t>a</w:t>
            </w:r>
            <w:r w:rsidRPr="00C87130">
              <w:rPr>
                <w:rFonts w:ascii="Arial" w:hAnsi="Arial" w:cs="Arial"/>
                <w:b/>
                <w:bCs/>
                <w:sz w:val="18"/>
                <w:szCs w:val="18"/>
              </w:rPr>
              <w:t>cid 1</w:t>
            </w:r>
          </w:p>
        </w:tc>
        <w:tc>
          <w:tcPr>
            <w:tcW w:w="3421" w:type="dxa"/>
            <w:gridSpan w:val="3"/>
            <w:tcBorders>
              <w:left w:val="single" w:sz="4" w:space="0" w:color="auto"/>
            </w:tcBorders>
            <w:shd w:val="pct10" w:color="auto" w:fill="auto"/>
          </w:tcPr>
          <w:p w14:paraId="75DC6A7A" w14:textId="6B2F9B15" w:rsidR="00C607B3" w:rsidRPr="00C87130" w:rsidRDefault="00111BFE" w:rsidP="00C87130">
            <w:pPr>
              <w:adjustRightInd w:val="0"/>
              <w:spacing w:line="360" w:lineRule="auto"/>
              <w:contextualSpacing/>
              <w:jc w:val="center"/>
              <w:rPr>
                <w:rFonts w:ascii="Arial" w:hAnsi="Arial" w:cs="Arial"/>
                <w:b/>
                <w:bCs/>
                <w:sz w:val="18"/>
                <w:szCs w:val="18"/>
              </w:rPr>
            </w:pPr>
            <w:r>
              <w:rPr>
                <w:rFonts w:ascii="Arial" w:hAnsi="Arial" w:cs="Arial"/>
                <w:b/>
                <w:bCs/>
                <w:i/>
                <w:iCs/>
                <w:sz w:val="18"/>
                <w:szCs w:val="18"/>
              </w:rPr>
              <w:t>e</w:t>
            </w:r>
            <w:r w:rsidR="00C607B3" w:rsidRPr="006D445E">
              <w:rPr>
                <w:rFonts w:ascii="Arial" w:hAnsi="Arial" w:cs="Arial"/>
                <w:b/>
                <w:bCs/>
                <w:i/>
                <w:iCs/>
                <w:sz w:val="18"/>
                <w:szCs w:val="18"/>
              </w:rPr>
              <w:t>xo</w:t>
            </w:r>
            <w:r w:rsidR="00C607B3" w:rsidRPr="00C87130">
              <w:rPr>
                <w:rFonts w:ascii="Arial" w:hAnsi="Arial" w:cs="Arial"/>
                <w:b/>
                <w:bCs/>
                <w:sz w:val="18"/>
                <w:szCs w:val="18"/>
              </w:rPr>
              <w:t>-</w:t>
            </w:r>
            <w:r>
              <w:rPr>
                <w:rFonts w:ascii="Arial" w:hAnsi="Arial" w:cs="Arial"/>
                <w:b/>
                <w:bCs/>
                <w:sz w:val="18"/>
                <w:szCs w:val="18"/>
              </w:rPr>
              <w:t>O</w:t>
            </w:r>
            <w:r w:rsidR="00C607B3" w:rsidRPr="00C87130">
              <w:rPr>
                <w:rFonts w:ascii="Arial" w:hAnsi="Arial" w:cs="Arial"/>
                <w:b/>
                <w:bCs/>
                <w:sz w:val="18"/>
                <w:szCs w:val="18"/>
              </w:rPr>
              <w:t xml:space="preserve">cta </w:t>
            </w:r>
            <w:r w:rsidR="00C87130">
              <w:rPr>
                <w:rFonts w:ascii="Arial" w:hAnsi="Arial" w:cs="Arial"/>
                <w:b/>
                <w:bCs/>
                <w:sz w:val="18"/>
                <w:szCs w:val="18"/>
              </w:rPr>
              <w:t>a</w:t>
            </w:r>
            <w:r w:rsidR="00C607B3" w:rsidRPr="00C87130">
              <w:rPr>
                <w:rFonts w:ascii="Arial" w:hAnsi="Arial" w:cs="Arial"/>
                <w:b/>
                <w:bCs/>
                <w:sz w:val="18"/>
                <w:szCs w:val="18"/>
              </w:rPr>
              <w:t>cid 2</w:t>
            </w:r>
          </w:p>
        </w:tc>
      </w:tr>
      <w:tr w:rsidR="00C87130" w14:paraId="21ACACB8" w14:textId="77777777" w:rsidTr="00777B4A">
        <w:tc>
          <w:tcPr>
            <w:tcW w:w="727" w:type="dxa"/>
            <w:tcBorders>
              <w:bottom w:val="single" w:sz="4" w:space="0" w:color="auto"/>
              <w:right w:val="single" w:sz="4" w:space="0" w:color="auto"/>
            </w:tcBorders>
          </w:tcPr>
          <w:p w14:paraId="75DDF8A5" w14:textId="77777777" w:rsidR="00C607B3" w:rsidRPr="00C87130" w:rsidRDefault="00C607B3" w:rsidP="00C87130">
            <w:pPr>
              <w:adjustRightInd w:val="0"/>
              <w:spacing w:line="360" w:lineRule="auto"/>
              <w:contextualSpacing/>
              <w:jc w:val="center"/>
              <w:rPr>
                <w:rFonts w:ascii="Arial" w:hAnsi="Arial" w:cs="Arial"/>
                <w:sz w:val="18"/>
                <w:szCs w:val="18"/>
              </w:rPr>
            </w:pPr>
          </w:p>
        </w:tc>
        <w:tc>
          <w:tcPr>
            <w:tcW w:w="1134" w:type="dxa"/>
            <w:tcBorders>
              <w:left w:val="single" w:sz="4" w:space="0" w:color="auto"/>
              <w:bottom w:val="single" w:sz="4" w:space="0" w:color="auto"/>
            </w:tcBorders>
          </w:tcPr>
          <w:p w14:paraId="0B3F5FF3" w14:textId="77777777" w:rsidR="00C607B3" w:rsidRPr="00C87130" w:rsidRDefault="00C607B3" w:rsidP="00C87130">
            <w:pPr>
              <w:contextualSpacing/>
              <w:mirrorIndents/>
              <w:jc w:val="center"/>
              <w:rPr>
                <w:rFonts w:ascii="Arial" w:hAnsi="Arial" w:cs="Arial"/>
                <w:b/>
                <w:bCs/>
                <w:sz w:val="18"/>
                <w:szCs w:val="18"/>
                <w:lang w:val="nb-NO"/>
              </w:rPr>
            </w:pPr>
            <w:r w:rsidRPr="00C87130">
              <w:rPr>
                <w:rFonts w:ascii="Arial" w:hAnsi="Arial" w:cs="Arial"/>
                <w:b/>
                <w:bCs/>
                <w:sz w:val="18"/>
                <w:szCs w:val="18"/>
                <w:lang w:val="nb-NO"/>
              </w:rPr>
              <w:t>Δ</w:t>
            </w:r>
            <w:r w:rsidRPr="00C87130">
              <w:rPr>
                <w:rFonts w:ascii="Arial" w:hAnsi="Arial" w:cs="Arial"/>
                <w:b/>
                <w:bCs/>
                <w:i/>
                <w:iCs/>
                <w:sz w:val="18"/>
                <w:szCs w:val="18"/>
                <w:lang w:val="nb-NO"/>
              </w:rPr>
              <w:t>G</w:t>
            </w:r>
          </w:p>
          <w:p w14:paraId="5F98D49D" w14:textId="1950AB8C" w:rsidR="00C607B3" w:rsidRPr="00C87130" w:rsidRDefault="00C607B3" w:rsidP="00C87130">
            <w:pPr>
              <w:adjustRightInd w:val="0"/>
              <w:spacing w:line="360" w:lineRule="auto"/>
              <w:contextualSpacing/>
              <w:jc w:val="center"/>
              <w:rPr>
                <w:rFonts w:ascii="Arial" w:hAnsi="Arial" w:cs="Arial"/>
                <w:sz w:val="18"/>
                <w:szCs w:val="18"/>
              </w:rPr>
            </w:pPr>
            <w:r w:rsidRPr="00C87130">
              <w:rPr>
                <w:rFonts w:ascii="Arial" w:hAnsi="Arial" w:cs="Arial"/>
                <w:b/>
                <w:bCs/>
                <w:sz w:val="18"/>
                <w:szCs w:val="18"/>
                <w:lang w:val="nb-NO"/>
              </w:rPr>
              <w:t>(</w:t>
            </w:r>
            <w:proofErr w:type="spellStart"/>
            <w:r w:rsidRPr="00C87130">
              <w:rPr>
                <w:rFonts w:ascii="Arial" w:hAnsi="Arial" w:cs="Arial"/>
                <w:b/>
                <w:bCs/>
                <w:sz w:val="18"/>
                <w:szCs w:val="18"/>
                <w:lang w:val="nb-NO"/>
              </w:rPr>
              <w:t>kJ</w:t>
            </w:r>
            <w:proofErr w:type="spellEnd"/>
            <w:r w:rsidRPr="00C87130">
              <w:rPr>
                <w:rFonts w:ascii="Arial" w:hAnsi="Arial" w:cs="Arial"/>
                <w:b/>
                <w:bCs/>
                <w:sz w:val="18"/>
                <w:szCs w:val="18"/>
                <w:lang w:val="nb-NO"/>
              </w:rPr>
              <w:t xml:space="preserve"> mol</w:t>
            </w:r>
            <w:r w:rsidRPr="00C87130">
              <w:rPr>
                <w:rFonts w:ascii="Arial" w:hAnsi="Arial" w:cs="Arial"/>
                <w:b/>
                <w:bCs/>
                <w:sz w:val="18"/>
                <w:szCs w:val="18"/>
                <w:vertAlign w:val="superscript"/>
                <w:lang w:val="nb-NO"/>
              </w:rPr>
              <w:t>–1</w:t>
            </w:r>
            <w:r w:rsidRPr="00C87130">
              <w:rPr>
                <w:rFonts w:ascii="Arial" w:hAnsi="Arial" w:cs="Arial"/>
                <w:b/>
                <w:bCs/>
                <w:sz w:val="18"/>
                <w:szCs w:val="18"/>
                <w:lang w:val="nb-NO"/>
              </w:rPr>
              <w:t>)</w:t>
            </w:r>
          </w:p>
        </w:tc>
        <w:tc>
          <w:tcPr>
            <w:tcW w:w="1134" w:type="dxa"/>
            <w:tcBorders>
              <w:bottom w:val="single" w:sz="4" w:space="0" w:color="auto"/>
            </w:tcBorders>
          </w:tcPr>
          <w:p w14:paraId="70FF57D2" w14:textId="77777777" w:rsidR="00C607B3" w:rsidRPr="00C87130" w:rsidRDefault="00C607B3" w:rsidP="00C87130">
            <w:pPr>
              <w:contextualSpacing/>
              <w:mirrorIndents/>
              <w:jc w:val="center"/>
              <w:rPr>
                <w:rFonts w:ascii="Arial" w:hAnsi="Arial" w:cs="Arial"/>
                <w:b/>
                <w:bCs/>
                <w:sz w:val="18"/>
                <w:szCs w:val="18"/>
                <w:lang w:val="nb-NO"/>
              </w:rPr>
            </w:pPr>
            <w:r w:rsidRPr="00C87130">
              <w:rPr>
                <w:rFonts w:ascii="Arial" w:hAnsi="Arial" w:cs="Arial"/>
                <w:b/>
                <w:bCs/>
                <w:sz w:val="18"/>
                <w:szCs w:val="18"/>
                <w:lang w:val="nb-NO"/>
              </w:rPr>
              <w:t>Δ</w:t>
            </w:r>
            <w:r w:rsidRPr="00C87130">
              <w:rPr>
                <w:rFonts w:ascii="Arial" w:hAnsi="Arial" w:cs="Arial"/>
                <w:b/>
                <w:bCs/>
                <w:i/>
                <w:iCs/>
                <w:sz w:val="18"/>
                <w:szCs w:val="18"/>
                <w:lang w:val="nb-NO"/>
              </w:rPr>
              <w:t>H</w:t>
            </w:r>
          </w:p>
          <w:p w14:paraId="052182D9" w14:textId="0ED8FBD1" w:rsidR="00C607B3" w:rsidRPr="00C87130" w:rsidRDefault="00C607B3" w:rsidP="00C87130">
            <w:pPr>
              <w:adjustRightInd w:val="0"/>
              <w:spacing w:line="360" w:lineRule="auto"/>
              <w:contextualSpacing/>
              <w:jc w:val="center"/>
              <w:rPr>
                <w:rFonts w:ascii="Arial" w:hAnsi="Arial" w:cs="Arial"/>
                <w:sz w:val="18"/>
                <w:szCs w:val="18"/>
              </w:rPr>
            </w:pPr>
            <w:r w:rsidRPr="00C87130">
              <w:rPr>
                <w:rFonts w:ascii="Arial" w:hAnsi="Arial" w:cs="Arial"/>
                <w:b/>
                <w:bCs/>
                <w:sz w:val="18"/>
                <w:szCs w:val="18"/>
                <w:lang w:val="nb-NO"/>
              </w:rPr>
              <w:t>(</w:t>
            </w:r>
            <w:proofErr w:type="spellStart"/>
            <w:r w:rsidRPr="00C87130">
              <w:rPr>
                <w:rFonts w:ascii="Arial" w:hAnsi="Arial" w:cs="Arial"/>
                <w:b/>
                <w:bCs/>
                <w:sz w:val="18"/>
                <w:szCs w:val="18"/>
                <w:lang w:val="nb-NO"/>
              </w:rPr>
              <w:t>kJ</w:t>
            </w:r>
            <w:proofErr w:type="spellEnd"/>
            <w:r w:rsidRPr="00C87130">
              <w:rPr>
                <w:rFonts w:ascii="Arial" w:hAnsi="Arial" w:cs="Arial"/>
                <w:b/>
                <w:bCs/>
                <w:sz w:val="18"/>
                <w:szCs w:val="18"/>
                <w:lang w:val="nb-NO"/>
              </w:rPr>
              <w:t xml:space="preserve"> mol</w:t>
            </w:r>
            <w:r w:rsidRPr="00C87130">
              <w:rPr>
                <w:rFonts w:ascii="Arial" w:hAnsi="Arial" w:cs="Arial"/>
                <w:b/>
                <w:bCs/>
                <w:sz w:val="18"/>
                <w:szCs w:val="18"/>
                <w:vertAlign w:val="superscript"/>
                <w:lang w:val="nb-NO"/>
              </w:rPr>
              <w:t>–1</w:t>
            </w:r>
            <w:r w:rsidRPr="00C87130">
              <w:rPr>
                <w:rFonts w:ascii="Arial" w:hAnsi="Arial" w:cs="Arial"/>
                <w:b/>
                <w:bCs/>
                <w:sz w:val="18"/>
                <w:szCs w:val="18"/>
                <w:lang w:val="nb-NO"/>
              </w:rPr>
              <w:t>)</w:t>
            </w:r>
          </w:p>
        </w:tc>
        <w:tc>
          <w:tcPr>
            <w:tcW w:w="1067" w:type="dxa"/>
            <w:tcBorders>
              <w:bottom w:val="single" w:sz="4" w:space="0" w:color="auto"/>
              <w:right w:val="single" w:sz="4" w:space="0" w:color="auto"/>
            </w:tcBorders>
          </w:tcPr>
          <w:p w14:paraId="0D08A895" w14:textId="77777777" w:rsidR="00C607B3" w:rsidRPr="00C87130" w:rsidRDefault="00C607B3" w:rsidP="00C87130">
            <w:pPr>
              <w:contextualSpacing/>
              <w:mirrorIndents/>
              <w:jc w:val="center"/>
              <w:rPr>
                <w:rFonts w:ascii="Arial" w:hAnsi="Arial" w:cs="Arial"/>
                <w:b/>
                <w:bCs/>
                <w:sz w:val="18"/>
                <w:szCs w:val="18"/>
                <w:lang w:val="nb-NO"/>
              </w:rPr>
            </w:pPr>
            <w:r w:rsidRPr="00C87130">
              <w:rPr>
                <w:rFonts w:ascii="Arial" w:hAnsi="Arial" w:cs="Arial"/>
                <w:b/>
                <w:bCs/>
                <w:sz w:val="18"/>
                <w:szCs w:val="18"/>
                <w:lang w:val="nb-NO"/>
              </w:rPr>
              <w:t>–</w:t>
            </w:r>
            <w:r w:rsidRPr="00C87130">
              <w:rPr>
                <w:rFonts w:ascii="Arial" w:hAnsi="Arial" w:cs="Arial"/>
                <w:b/>
                <w:bCs/>
                <w:i/>
                <w:iCs/>
                <w:sz w:val="18"/>
                <w:szCs w:val="18"/>
                <w:lang w:val="nb-NO"/>
              </w:rPr>
              <w:t>T</w:t>
            </w:r>
            <w:r w:rsidRPr="00C87130">
              <w:rPr>
                <w:rFonts w:ascii="Arial" w:hAnsi="Arial" w:cs="Arial"/>
                <w:b/>
                <w:bCs/>
                <w:sz w:val="18"/>
                <w:szCs w:val="18"/>
                <w:lang w:val="nb-NO"/>
              </w:rPr>
              <w:t>Δ</w:t>
            </w:r>
            <w:r w:rsidRPr="00C87130">
              <w:rPr>
                <w:rFonts w:ascii="Arial" w:hAnsi="Arial" w:cs="Arial"/>
                <w:b/>
                <w:bCs/>
                <w:i/>
                <w:iCs/>
                <w:sz w:val="18"/>
                <w:szCs w:val="18"/>
                <w:lang w:val="nb-NO"/>
              </w:rPr>
              <w:t>S</w:t>
            </w:r>
          </w:p>
          <w:p w14:paraId="71A58350" w14:textId="20381706" w:rsidR="00C607B3" w:rsidRPr="00C87130" w:rsidRDefault="00C607B3" w:rsidP="00C87130">
            <w:pPr>
              <w:adjustRightInd w:val="0"/>
              <w:spacing w:line="360" w:lineRule="auto"/>
              <w:contextualSpacing/>
              <w:jc w:val="center"/>
              <w:rPr>
                <w:rFonts w:ascii="Arial" w:hAnsi="Arial" w:cs="Arial"/>
                <w:sz w:val="18"/>
                <w:szCs w:val="18"/>
              </w:rPr>
            </w:pPr>
            <w:r w:rsidRPr="00C87130">
              <w:rPr>
                <w:rFonts w:ascii="Arial" w:hAnsi="Arial" w:cs="Arial"/>
                <w:b/>
                <w:bCs/>
                <w:sz w:val="18"/>
                <w:szCs w:val="18"/>
                <w:lang w:val="nb-NO"/>
              </w:rPr>
              <w:t>(</w:t>
            </w:r>
            <w:proofErr w:type="spellStart"/>
            <w:r w:rsidRPr="00C87130">
              <w:rPr>
                <w:rFonts w:ascii="Arial" w:hAnsi="Arial" w:cs="Arial"/>
                <w:b/>
                <w:bCs/>
                <w:sz w:val="18"/>
                <w:szCs w:val="18"/>
                <w:lang w:val="nb-NO"/>
              </w:rPr>
              <w:t>kJ</w:t>
            </w:r>
            <w:proofErr w:type="spellEnd"/>
            <w:r w:rsidRPr="00C87130">
              <w:rPr>
                <w:rFonts w:ascii="Arial" w:hAnsi="Arial" w:cs="Arial"/>
                <w:b/>
                <w:bCs/>
                <w:sz w:val="18"/>
                <w:szCs w:val="18"/>
                <w:lang w:val="nb-NO"/>
              </w:rPr>
              <w:t xml:space="preserve"> mol</w:t>
            </w:r>
            <w:r w:rsidRPr="00C87130">
              <w:rPr>
                <w:rFonts w:ascii="Arial" w:hAnsi="Arial" w:cs="Arial"/>
                <w:b/>
                <w:bCs/>
                <w:sz w:val="18"/>
                <w:szCs w:val="18"/>
                <w:vertAlign w:val="superscript"/>
                <w:lang w:val="nb-NO"/>
              </w:rPr>
              <w:t>–1</w:t>
            </w:r>
            <w:r w:rsidRPr="00C87130">
              <w:rPr>
                <w:rFonts w:ascii="Arial" w:hAnsi="Arial" w:cs="Arial"/>
                <w:b/>
                <w:bCs/>
                <w:sz w:val="18"/>
                <w:szCs w:val="18"/>
                <w:lang w:val="nb-NO"/>
              </w:rPr>
              <w:t>)</w:t>
            </w:r>
          </w:p>
        </w:tc>
        <w:tc>
          <w:tcPr>
            <w:tcW w:w="1134" w:type="dxa"/>
            <w:tcBorders>
              <w:left w:val="single" w:sz="4" w:space="0" w:color="auto"/>
              <w:bottom w:val="single" w:sz="4" w:space="0" w:color="auto"/>
            </w:tcBorders>
          </w:tcPr>
          <w:p w14:paraId="06EE5867" w14:textId="77777777" w:rsidR="00C607B3" w:rsidRPr="00C87130" w:rsidRDefault="00C607B3" w:rsidP="00C87130">
            <w:pPr>
              <w:contextualSpacing/>
              <w:mirrorIndents/>
              <w:jc w:val="center"/>
              <w:rPr>
                <w:rFonts w:ascii="Arial" w:hAnsi="Arial" w:cs="Arial"/>
                <w:b/>
                <w:bCs/>
                <w:sz w:val="18"/>
                <w:szCs w:val="18"/>
                <w:lang w:val="nb-NO"/>
              </w:rPr>
            </w:pPr>
            <w:r w:rsidRPr="00C87130">
              <w:rPr>
                <w:rFonts w:ascii="Arial" w:hAnsi="Arial" w:cs="Arial"/>
                <w:b/>
                <w:bCs/>
                <w:sz w:val="18"/>
                <w:szCs w:val="18"/>
                <w:lang w:val="nb-NO"/>
              </w:rPr>
              <w:t>Δ</w:t>
            </w:r>
            <w:r w:rsidRPr="00C87130">
              <w:rPr>
                <w:rFonts w:ascii="Arial" w:hAnsi="Arial" w:cs="Arial"/>
                <w:b/>
                <w:bCs/>
                <w:i/>
                <w:iCs/>
                <w:sz w:val="18"/>
                <w:szCs w:val="18"/>
                <w:lang w:val="nb-NO"/>
              </w:rPr>
              <w:t>G</w:t>
            </w:r>
          </w:p>
          <w:p w14:paraId="75AB9503" w14:textId="00C22636" w:rsidR="00C607B3" w:rsidRPr="00C87130" w:rsidRDefault="00C607B3" w:rsidP="00C87130">
            <w:pPr>
              <w:adjustRightInd w:val="0"/>
              <w:spacing w:line="360" w:lineRule="auto"/>
              <w:contextualSpacing/>
              <w:jc w:val="center"/>
              <w:rPr>
                <w:rFonts w:ascii="Arial" w:hAnsi="Arial" w:cs="Arial"/>
                <w:sz w:val="18"/>
                <w:szCs w:val="18"/>
              </w:rPr>
            </w:pPr>
            <w:r w:rsidRPr="00C87130">
              <w:rPr>
                <w:rFonts w:ascii="Arial" w:hAnsi="Arial" w:cs="Arial"/>
                <w:b/>
                <w:bCs/>
                <w:sz w:val="18"/>
                <w:szCs w:val="18"/>
                <w:lang w:val="nb-NO"/>
              </w:rPr>
              <w:t>(</w:t>
            </w:r>
            <w:proofErr w:type="spellStart"/>
            <w:r w:rsidRPr="00C87130">
              <w:rPr>
                <w:rFonts w:ascii="Arial" w:hAnsi="Arial" w:cs="Arial"/>
                <w:b/>
                <w:bCs/>
                <w:sz w:val="18"/>
                <w:szCs w:val="18"/>
                <w:lang w:val="nb-NO"/>
              </w:rPr>
              <w:t>kJ</w:t>
            </w:r>
            <w:proofErr w:type="spellEnd"/>
            <w:r w:rsidRPr="00C87130">
              <w:rPr>
                <w:rFonts w:ascii="Arial" w:hAnsi="Arial" w:cs="Arial"/>
                <w:b/>
                <w:bCs/>
                <w:sz w:val="18"/>
                <w:szCs w:val="18"/>
                <w:lang w:val="nb-NO"/>
              </w:rPr>
              <w:t xml:space="preserve"> mol</w:t>
            </w:r>
            <w:r w:rsidRPr="00C87130">
              <w:rPr>
                <w:rFonts w:ascii="Arial" w:hAnsi="Arial" w:cs="Arial"/>
                <w:b/>
                <w:bCs/>
                <w:sz w:val="18"/>
                <w:szCs w:val="18"/>
                <w:vertAlign w:val="superscript"/>
                <w:lang w:val="nb-NO"/>
              </w:rPr>
              <w:t>–1</w:t>
            </w:r>
            <w:r w:rsidRPr="00C87130">
              <w:rPr>
                <w:rFonts w:ascii="Arial" w:hAnsi="Arial" w:cs="Arial"/>
                <w:b/>
                <w:bCs/>
                <w:sz w:val="18"/>
                <w:szCs w:val="18"/>
                <w:lang w:val="nb-NO"/>
              </w:rPr>
              <w:t>)</w:t>
            </w:r>
          </w:p>
        </w:tc>
        <w:tc>
          <w:tcPr>
            <w:tcW w:w="1213" w:type="dxa"/>
            <w:tcBorders>
              <w:bottom w:val="single" w:sz="4" w:space="0" w:color="auto"/>
            </w:tcBorders>
          </w:tcPr>
          <w:p w14:paraId="69E7622A" w14:textId="77777777" w:rsidR="00C607B3" w:rsidRPr="00C87130" w:rsidRDefault="00C607B3" w:rsidP="00C87130">
            <w:pPr>
              <w:contextualSpacing/>
              <w:mirrorIndents/>
              <w:jc w:val="center"/>
              <w:rPr>
                <w:rFonts w:ascii="Arial" w:hAnsi="Arial" w:cs="Arial"/>
                <w:b/>
                <w:bCs/>
                <w:sz w:val="18"/>
                <w:szCs w:val="18"/>
                <w:lang w:val="nb-NO"/>
              </w:rPr>
            </w:pPr>
            <w:r w:rsidRPr="00C87130">
              <w:rPr>
                <w:rFonts w:ascii="Arial" w:hAnsi="Arial" w:cs="Arial"/>
                <w:b/>
                <w:bCs/>
                <w:sz w:val="18"/>
                <w:szCs w:val="18"/>
                <w:lang w:val="nb-NO"/>
              </w:rPr>
              <w:t>Δ</w:t>
            </w:r>
            <w:r w:rsidRPr="00C87130">
              <w:rPr>
                <w:rFonts w:ascii="Arial" w:hAnsi="Arial" w:cs="Arial"/>
                <w:b/>
                <w:bCs/>
                <w:i/>
                <w:iCs/>
                <w:sz w:val="18"/>
                <w:szCs w:val="18"/>
                <w:lang w:val="nb-NO"/>
              </w:rPr>
              <w:t>H</w:t>
            </w:r>
          </w:p>
          <w:p w14:paraId="52808528" w14:textId="6CADC996" w:rsidR="00C607B3" w:rsidRPr="00C87130" w:rsidRDefault="00C607B3" w:rsidP="00C87130">
            <w:pPr>
              <w:adjustRightInd w:val="0"/>
              <w:spacing w:line="360" w:lineRule="auto"/>
              <w:contextualSpacing/>
              <w:jc w:val="center"/>
              <w:rPr>
                <w:rFonts w:ascii="Arial" w:hAnsi="Arial" w:cs="Arial"/>
                <w:sz w:val="18"/>
                <w:szCs w:val="18"/>
              </w:rPr>
            </w:pPr>
            <w:r w:rsidRPr="00C87130">
              <w:rPr>
                <w:rFonts w:ascii="Arial" w:hAnsi="Arial" w:cs="Arial"/>
                <w:b/>
                <w:bCs/>
                <w:sz w:val="18"/>
                <w:szCs w:val="18"/>
                <w:lang w:val="nb-NO"/>
              </w:rPr>
              <w:t>(</w:t>
            </w:r>
            <w:proofErr w:type="spellStart"/>
            <w:r w:rsidRPr="00C87130">
              <w:rPr>
                <w:rFonts w:ascii="Arial" w:hAnsi="Arial" w:cs="Arial"/>
                <w:b/>
                <w:bCs/>
                <w:sz w:val="18"/>
                <w:szCs w:val="18"/>
                <w:lang w:val="nb-NO"/>
              </w:rPr>
              <w:t>kJ</w:t>
            </w:r>
            <w:proofErr w:type="spellEnd"/>
            <w:r w:rsidRPr="00C87130">
              <w:rPr>
                <w:rFonts w:ascii="Arial" w:hAnsi="Arial" w:cs="Arial"/>
                <w:b/>
                <w:bCs/>
                <w:sz w:val="18"/>
                <w:szCs w:val="18"/>
                <w:lang w:val="nb-NO"/>
              </w:rPr>
              <w:t xml:space="preserve"> mol</w:t>
            </w:r>
            <w:r w:rsidRPr="00C87130">
              <w:rPr>
                <w:rFonts w:ascii="Arial" w:hAnsi="Arial" w:cs="Arial"/>
                <w:b/>
                <w:bCs/>
                <w:sz w:val="18"/>
                <w:szCs w:val="18"/>
                <w:vertAlign w:val="superscript"/>
                <w:lang w:val="nb-NO"/>
              </w:rPr>
              <w:t>–1</w:t>
            </w:r>
            <w:r w:rsidRPr="00C87130">
              <w:rPr>
                <w:rFonts w:ascii="Arial" w:hAnsi="Arial" w:cs="Arial"/>
                <w:b/>
                <w:bCs/>
                <w:sz w:val="18"/>
                <w:szCs w:val="18"/>
                <w:lang w:val="nb-NO"/>
              </w:rPr>
              <w:t>)</w:t>
            </w:r>
          </w:p>
        </w:tc>
        <w:tc>
          <w:tcPr>
            <w:tcW w:w="1074" w:type="dxa"/>
            <w:tcBorders>
              <w:bottom w:val="single" w:sz="4" w:space="0" w:color="auto"/>
            </w:tcBorders>
          </w:tcPr>
          <w:p w14:paraId="5573B2C5" w14:textId="77777777" w:rsidR="00C607B3" w:rsidRPr="00C87130" w:rsidRDefault="00C607B3" w:rsidP="00C87130">
            <w:pPr>
              <w:contextualSpacing/>
              <w:mirrorIndents/>
              <w:jc w:val="center"/>
              <w:rPr>
                <w:rFonts w:ascii="Arial" w:hAnsi="Arial" w:cs="Arial"/>
                <w:b/>
                <w:bCs/>
                <w:sz w:val="18"/>
                <w:szCs w:val="18"/>
                <w:lang w:val="nb-NO"/>
              </w:rPr>
            </w:pPr>
            <w:r w:rsidRPr="00C87130">
              <w:rPr>
                <w:rFonts w:ascii="Arial" w:hAnsi="Arial" w:cs="Arial"/>
                <w:b/>
                <w:bCs/>
                <w:sz w:val="18"/>
                <w:szCs w:val="18"/>
                <w:lang w:val="nb-NO"/>
              </w:rPr>
              <w:t>–</w:t>
            </w:r>
            <w:r w:rsidRPr="00C87130">
              <w:rPr>
                <w:rFonts w:ascii="Arial" w:hAnsi="Arial" w:cs="Arial"/>
                <w:b/>
                <w:bCs/>
                <w:i/>
                <w:iCs/>
                <w:sz w:val="18"/>
                <w:szCs w:val="18"/>
                <w:lang w:val="nb-NO"/>
              </w:rPr>
              <w:t>T</w:t>
            </w:r>
            <w:r w:rsidRPr="00C87130">
              <w:rPr>
                <w:rFonts w:ascii="Arial" w:hAnsi="Arial" w:cs="Arial"/>
                <w:b/>
                <w:bCs/>
                <w:sz w:val="18"/>
                <w:szCs w:val="18"/>
                <w:lang w:val="nb-NO"/>
              </w:rPr>
              <w:t>Δ</w:t>
            </w:r>
            <w:r w:rsidRPr="00C87130">
              <w:rPr>
                <w:rFonts w:ascii="Arial" w:hAnsi="Arial" w:cs="Arial"/>
                <w:b/>
                <w:bCs/>
                <w:i/>
                <w:iCs/>
                <w:sz w:val="18"/>
                <w:szCs w:val="18"/>
                <w:lang w:val="nb-NO"/>
              </w:rPr>
              <w:t>S</w:t>
            </w:r>
          </w:p>
          <w:p w14:paraId="27812D1E" w14:textId="529E1B3D" w:rsidR="00C607B3" w:rsidRPr="00C87130" w:rsidRDefault="00C607B3" w:rsidP="00C87130">
            <w:pPr>
              <w:adjustRightInd w:val="0"/>
              <w:spacing w:line="360" w:lineRule="auto"/>
              <w:contextualSpacing/>
              <w:jc w:val="center"/>
              <w:rPr>
                <w:rFonts w:ascii="Arial" w:hAnsi="Arial" w:cs="Arial"/>
                <w:sz w:val="18"/>
                <w:szCs w:val="18"/>
              </w:rPr>
            </w:pPr>
            <w:r w:rsidRPr="00C87130">
              <w:rPr>
                <w:rFonts w:ascii="Arial" w:hAnsi="Arial" w:cs="Arial"/>
                <w:b/>
                <w:bCs/>
                <w:sz w:val="18"/>
                <w:szCs w:val="18"/>
                <w:lang w:val="nb-NO"/>
              </w:rPr>
              <w:t>(</w:t>
            </w:r>
            <w:proofErr w:type="spellStart"/>
            <w:r w:rsidRPr="00C87130">
              <w:rPr>
                <w:rFonts w:ascii="Arial" w:hAnsi="Arial" w:cs="Arial"/>
                <w:b/>
                <w:bCs/>
                <w:sz w:val="18"/>
                <w:szCs w:val="18"/>
                <w:lang w:val="nb-NO"/>
              </w:rPr>
              <w:t>kJ</w:t>
            </w:r>
            <w:proofErr w:type="spellEnd"/>
            <w:r w:rsidRPr="00C87130">
              <w:rPr>
                <w:rFonts w:ascii="Arial" w:hAnsi="Arial" w:cs="Arial"/>
                <w:b/>
                <w:bCs/>
                <w:sz w:val="18"/>
                <w:szCs w:val="18"/>
                <w:lang w:val="nb-NO"/>
              </w:rPr>
              <w:t xml:space="preserve"> mol</w:t>
            </w:r>
            <w:r w:rsidRPr="00C87130">
              <w:rPr>
                <w:rFonts w:ascii="Arial" w:hAnsi="Arial" w:cs="Arial"/>
                <w:b/>
                <w:bCs/>
                <w:sz w:val="18"/>
                <w:szCs w:val="18"/>
                <w:vertAlign w:val="superscript"/>
                <w:lang w:val="nb-NO"/>
              </w:rPr>
              <w:t>–1</w:t>
            </w:r>
            <w:r w:rsidRPr="00C87130">
              <w:rPr>
                <w:rFonts w:ascii="Arial" w:hAnsi="Arial" w:cs="Arial"/>
                <w:b/>
                <w:bCs/>
                <w:sz w:val="18"/>
                <w:szCs w:val="18"/>
                <w:lang w:val="nb-NO"/>
              </w:rPr>
              <w:t>)</w:t>
            </w:r>
          </w:p>
        </w:tc>
      </w:tr>
      <w:tr w:rsidR="00C87130" w14:paraId="2FCF65A6" w14:textId="77777777" w:rsidTr="00777B4A">
        <w:tc>
          <w:tcPr>
            <w:tcW w:w="727" w:type="dxa"/>
            <w:tcBorders>
              <w:top w:val="single" w:sz="4" w:space="0" w:color="auto"/>
              <w:right w:val="single" w:sz="4" w:space="0" w:color="auto"/>
            </w:tcBorders>
          </w:tcPr>
          <w:p w14:paraId="786AD9FE" w14:textId="257F083B" w:rsidR="00C607B3" w:rsidRPr="00C87130" w:rsidRDefault="00C607B3" w:rsidP="00C87130">
            <w:pPr>
              <w:adjustRightInd w:val="0"/>
              <w:spacing w:line="360" w:lineRule="auto"/>
              <w:contextualSpacing/>
              <w:jc w:val="center"/>
              <w:rPr>
                <w:rFonts w:ascii="Arial" w:hAnsi="Arial" w:cs="Arial"/>
                <w:b/>
                <w:bCs/>
                <w:sz w:val="18"/>
                <w:szCs w:val="18"/>
              </w:rPr>
            </w:pPr>
            <w:r w:rsidRPr="00C87130">
              <w:rPr>
                <w:rFonts w:ascii="Arial" w:hAnsi="Arial" w:cs="Arial"/>
                <w:b/>
                <w:bCs/>
                <w:sz w:val="18"/>
                <w:szCs w:val="18"/>
                <w:lang w:val="nb-NO"/>
              </w:rPr>
              <w:t>G</w:t>
            </w:r>
            <w:r w:rsidR="00FD139E">
              <w:rPr>
                <w:rFonts w:ascii="Arial" w:hAnsi="Arial" w:cs="Arial"/>
                <w:b/>
                <w:bCs/>
                <w:sz w:val="18"/>
                <w:szCs w:val="18"/>
                <w:lang w:val="nb-NO"/>
              </w:rPr>
              <w:t>1</w:t>
            </w:r>
          </w:p>
        </w:tc>
        <w:tc>
          <w:tcPr>
            <w:tcW w:w="1134" w:type="dxa"/>
            <w:tcBorders>
              <w:top w:val="single" w:sz="4" w:space="0" w:color="auto"/>
              <w:left w:val="single" w:sz="4" w:space="0" w:color="auto"/>
            </w:tcBorders>
          </w:tcPr>
          <w:p w14:paraId="3639EC98" w14:textId="1F91D063" w:rsidR="00C607B3" w:rsidRPr="00C87130" w:rsidRDefault="00C607B3" w:rsidP="00C87130">
            <w:pPr>
              <w:adjustRightInd w:val="0"/>
              <w:spacing w:line="360" w:lineRule="auto"/>
              <w:contextualSpacing/>
              <w:jc w:val="center"/>
              <w:rPr>
                <w:rFonts w:ascii="Arial" w:hAnsi="Arial" w:cs="Arial"/>
                <w:sz w:val="18"/>
                <w:szCs w:val="18"/>
              </w:rPr>
            </w:pPr>
            <w:r w:rsidRPr="00C87130">
              <w:rPr>
                <w:rFonts w:ascii="Arial" w:hAnsi="Arial" w:cs="Arial"/>
                <w:sz w:val="18"/>
                <w:szCs w:val="18"/>
                <w:lang w:val="nb-NO"/>
              </w:rPr>
              <w:t xml:space="preserve">–20.8(1) </w:t>
            </w:r>
            <w:r w:rsidRPr="00C87130">
              <w:rPr>
                <w:rFonts w:ascii="Arial" w:hAnsi="Arial" w:cs="Arial"/>
                <w:color w:val="000000" w:themeColor="text1"/>
                <w:sz w:val="18"/>
                <w:szCs w:val="18"/>
                <w:vertAlign w:val="superscript"/>
                <w:lang w:val="nb-NO"/>
              </w:rPr>
              <w:t>a</w:t>
            </w:r>
          </w:p>
        </w:tc>
        <w:tc>
          <w:tcPr>
            <w:tcW w:w="1134" w:type="dxa"/>
            <w:tcBorders>
              <w:top w:val="single" w:sz="4" w:space="0" w:color="auto"/>
            </w:tcBorders>
          </w:tcPr>
          <w:p w14:paraId="67365EDB" w14:textId="0EA5D57C" w:rsidR="00C607B3" w:rsidRPr="00C87130" w:rsidRDefault="00C607B3" w:rsidP="00C87130">
            <w:pPr>
              <w:adjustRightInd w:val="0"/>
              <w:spacing w:line="360" w:lineRule="auto"/>
              <w:contextualSpacing/>
              <w:jc w:val="center"/>
              <w:rPr>
                <w:rFonts w:ascii="Arial" w:hAnsi="Arial" w:cs="Arial"/>
                <w:sz w:val="18"/>
                <w:szCs w:val="18"/>
              </w:rPr>
            </w:pPr>
            <w:r w:rsidRPr="00C87130">
              <w:rPr>
                <w:rFonts w:ascii="Arial" w:hAnsi="Arial" w:cs="Arial"/>
                <w:sz w:val="18"/>
                <w:szCs w:val="18"/>
                <w:lang w:val="nb-NO"/>
              </w:rPr>
              <w:t xml:space="preserve">–23.2(4) </w:t>
            </w:r>
            <w:r w:rsidRPr="00C87130">
              <w:rPr>
                <w:rFonts w:ascii="Arial" w:hAnsi="Arial" w:cs="Arial"/>
                <w:color w:val="000000" w:themeColor="text1"/>
                <w:sz w:val="18"/>
                <w:szCs w:val="18"/>
                <w:vertAlign w:val="superscript"/>
                <w:lang w:val="nb-NO"/>
              </w:rPr>
              <w:t>a</w:t>
            </w:r>
          </w:p>
        </w:tc>
        <w:tc>
          <w:tcPr>
            <w:tcW w:w="1067" w:type="dxa"/>
            <w:tcBorders>
              <w:top w:val="single" w:sz="4" w:space="0" w:color="auto"/>
              <w:right w:val="single" w:sz="4" w:space="0" w:color="auto"/>
            </w:tcBorders>
          </w:tcPr>
          <w:p w14:paraId="2BE1D705" w14:textId="012EA9C6" w:rsidR="00C607B3" w:rsidRPr="00C87130" w:rsidRDefault="00C607B3" w:rsidP="00C87130">
            <w:pPr>
              <w:adjustRightInd w:val="0"/>
              <w:spacing w:line="360" w:lineRule="auto"/>
              <w:contextualSpacing/>
              <w:jc w:val="center"/>
              <w:rPr>
                <w:rFonts w:ascii="Arial" w:hAnsi="Arial" w:cs="Arial"/>
                <w:sz w:val="18"/>
                <w:szCs w:val="18"/>
              </w:rPr>
            </w:pPr>
            <w:r w:rsidRPr="00C87130">
              <w:rPr>
                <w:rFonts w:ascii="Arial" w:hAnsi="Arial" w:cs="Arial"/>
                <w:sz w:val="18"/>
                <w:szCs w:val="18"/>
                <w:lang w:val="nb-NO"/>
              </w:rPr>
              <w:t xml:space="preserve">2.4(6) </w:t>
            </w:r>
            <w:r w:rsidRPr="00C87130">
              <w:rPr>
                <w:rFonts w:ascii="Arial" w:hAnsi="Arial" w:cs="Arial"/>
                <w:color w:val="000000" w:themeColor="text1"/>
                <w:sz w:val="18"/>
                <w:szCs w:val="18"/>
                <w:vertAlign w:val="superscript"/>
                <w:lang w:val="nb-NO"/>
              </w:rPr>
              <w:t>a</w:t>
            </w:r>
          </w:p>
        </w:tc>
        <w:tc>
          <w:tcPr>
            <w:tcW w:w="1134" w:type="dxa"/>
            <w:tcBorders>
              <w:top w:val="single" w:sz="4" w:space="0" w:color="auto"/>
              <w:left w:val="single" w:sz="4" w:space="0" w:color="auto"/>
            </w:tcBorders>
          </w:tcPr>
          <w:p w14:paraId="12029E08" w14:textId="595499F7" w:rsidR="00C607B3" w:rsidRPr="00C87130" w:rsidRDefault="00C607B3" w:rsidP="00C87130">
            <w:pPr>
              <w:adjustRightInd w:val="0"/>
              <w:spacing w:line="360" w:lineRule="auto"/>
              <w:contextualSpacing/>
              <w:jc w:val="center"/>
              <w:rPr>
                <w:rFonts w:ascii="Arial" w:hAnsi="Arial" w:cs="Arial"/>
                <w:sz w:val="18"/>
                <w:szCs w:val="18"/>
              </w:rPr>
            </w:pPr>
            <w:r w:rsidRPr="00C87130">
              <w:rPr>
                <w:rFonts w:ascii="Arial" w:hAnsi="Arial" w:cs="Arial"/>
                <w:color w:val="000000" w:themeColor="text1"/>
                <w:sz w:val="18"/>
                <w:szCs w:val="18"/>
                <w:lang w:val="nb-NO"/>
              </w:rPr>
              <w:t xml:space="preserve">– </w:t>
            </w:r>
            <w:r w:rsidRPr="00C87130">
              <w:rPr>
                <w:rFonts w:ascii="Arial" w:hAnsi="Arial" w:cs="Arial"/>
                <w:color w:val="000000" w:themeColor="text1"/>
                <w:sz w:val="18"/>
                <w:szCs w:val="18"/>
                <w:vertAlign w:val="superscript"/>
                <w:lang w:val="nb-NO"/>
              </w:rPr>
              <w:t>b</w:t>
            </w:r>
          </w:p>
        </w:tc>
        <w:tc>
          <w:tcPr>
            <w:tcW w:w="1213" w:type="dxa"/>
            <w:tcBorders>
              <w:top w:val="single" w:sz="4" w:space="0" w:color="auto"/>
            </w:tcBorders>
          </w:tcPr>
          <w:p w14:paraId="097549C3" w14:textId="0FE7D40D" w:rsidR="00C607B3" w:rsidRPr="00C87130" w:rsidRDefault="00C607B3" w:rsidP="00C87130">
            <w:pPr>
              <w:adjustRightInd w:val="0"/>
              <w:spacing w:line="360" w:lineRule="auto"/>
              <w:contextualSpacing/>
              <w:jc w:val="center"/>
              <w:rPr>
                <w:rFonts w:ascii="Arial" w:hAnsi="Arial" w:cs="Arial"/>
                <w:sz w:val="18"/>
                <w:szCs w:val="18"/>
              </w:rPr>
            </w:pPr>
            <w:r w:rsidRPr="00C87130">
              <w:rPr>
                <w:rFonts w:ascii="Arial" w:hAnsi="Arial" w:cs="Arial"/>
                <w:color w:val="000000" w:themeColor="text1"/>
                <w:sz w:val="18"/>
                <w:szCs w:val="18"/>
                <w:lang w:val="nb-NO"/>
              </w:rPr>
              <w:t xml:space="preserve">– </w:t>
            </w:r>
            <w:r w:rsidRPr="00C87130">
              <w:rPr>
                <w:rFonts w:ascii="Arial" w:hAnsi="Arial" w:cs="Arial"/>
                <w:color w:val="000000" w:themeColor="text1"/>
                <w:sz w:val="18"/>
                <w:szCs w:val="18"/>
                <w:vertAlign w:val="superscript"/>
                <w:lang w:val="nb-NO"/>
              </w:rPr>
              <w:t>b</w:t>
            </w:r>
          </w:p>
        </w:tc>
        <w:tc>
          <w:tcPr>
            <w:tcW w:w="1074" w:type="dxa"/>
            <w:tcBorders>
              <w:top w:val="single" w:sz="4" w:space="0" w:color="auto"/>
            </w:tcBorders>
          </w:tcPr>
          <w:p w14:paraId="739B81CC" w14:textId="132C107B" w:rsidR="00C607B3" w:rsidRPr="00C87130" w:rsidRDefault="00C607B3" w:rsidP="00C87130">
            <w:pPr>
              <w:adjustRightInd w:val="0"/>
              <w:spacing w:line="360" w:lineRule="auto"/>
              <w:contextualSpacing/>
              <w:jc w:val="center"/>
              <w:rPr>
                <w:rFonts w:ascii="Arial" w:hAnsi="Arial" w:cs="Arial"/>
                <w:sz w:val="18"/>
                <w:szCs w:val="18"/>
              </w:rPr>
            </w:pPr>
            <w:r w:rsidRPr="00C87130">
              <w:rPr>
                <w:rFonts w:ascii="Arial" w:hAnsi="Arial" w:cs="Arial"/>
                <w:color w:val="000000" w:themeColor="text1"/>
                <w:sz w:val="18"/>
                <w:szCs w:val="18"/>
                <w:lang w:val="nb-NO"/>
              </w:rPr>
              <w:t xml:space="preserve">– </w:t>
            </w:r>
            <w:r w:rsidRPr="00C87130">
              <w:rPr>
                <w:rFonts w:ascii="Arial" w:hAnsi="Arial" w:cs="Arial"/>
                <w:color w:val="000000" w:themeColor="text1"/>
                <w:sz w:val="18"/>
                <w:szCs w:val="18"/>
                <w:vertAlign w:val="superscript"/>
                <w:lang w:val="nb-NO"/>
              </w:rPr>
              <w:t>b</w:t>
            </w:r>
          </w:p>
        </w:tc>
      </w:tr>
      <w:tr w:rsidR="00C87130" w14:paraId="6F319FC8" w14:textId="77777777" w:rsidTr="00777B4A">
        <w:tc>
          <w:tcPr>
            <w:tcW w:w="727" w:type="dxa"/>
            <w:tcBorders>
              <w:right w:val="single" w:sz="4" w:space="0" w:color="auto"/>
            </w:tcBorders>
          </w:tcPr>
          <w:p w14:paraId="660E59B2" w14:textId="0A2618B0" w:rsidR="00C607B3" w:rsidRPr="00C87130" w:rsidRDefault="00C607B3" w:rsidP="00C87130">
            <w:pPr>
              <w:adjustRightInd w:val="0"/>
              <w:spacing w:line="360" w:lineRule="auto"/>
              <w:contextualSpacing/>
              <w:jc w:val="center"/>
              <w:rPr>
                <w:rFonts w:ascii="Arial" w:hAnsi="Arial" w:cs="Arial"/>
                <w:b/>
                <w:bCs/>
                <w:sz w:val="18"/>
                <w:szCs w:val="18"/>
              </w:rPr>
            </w:pPr>
            <w:r w:rsidRPr="00C87130">
              <w:rPr>
                <w:rFonts w:ascii="Arial" w:hAnsi="Arial" w:cs="Arial"/>
                <w:b/>
                <w:bCs/>
                <w:sz w:val="18"/>
                <w:szCs w:val="18"/>
                <w:lang w:val="nb-NO"/>
              </w:rPr>
              <w:t>G2</w:t>
            </w:r>
          </w:p>
        </w:tc>
        <w:tc>
          <w:tcPr>
            <w:tcW w:w="1134" w:type="dxa"/>
            <w:tcBorders>
              <w:left w:val="single" w:sz="4" w:space="0" w:color="auto"/>
            </w:tcBorders>
          </w:tcPr>
          <w:p w14:paraId="4F93E71E" w14:textId="42F44EDE" w:rsidR="00C607B3" w:rsidRPr="00C87130" w:rsidRDefault="00C607B3" w:rsidP="00C87130">
            <w:pPr>
              <w:adjustRightInd w:val="0"/>
              <w:spacing w:line="360" w:lineRule="auto"/>
              <w:contextualSpacing/>
              <w:jc w:val="center"/>
              <w:rPr>
                <w:rFonts w:ascii="Arial" w:hAnsi="Arial" w:cs="Arial"/>
                <w:sz w:val="18"/>
                <w:szCs w:val="18"/>
              </w:rPr>
            </w:pPr>
            <w:r w:rsidRPr="00C87130">
              <w:rPr>
                <w:rFonts w:ascii="Arial" w:hAnsi="Arial" w:cs="Arial"/>
                <w:color w:val="000000" w:themeColor="text1"/>
                <w:sz w:val="18"/>
                <w:szCs w:val="18"/>
                <w:lang w:val="nb-NO"/>
              </w:rPr>
              <w:t>–28.9(1)</w:t>
            </w:r>
            <w:r w:rsidRPr="00C87130">
              <w:rPr>
                <w:rFonts w:ascii="Arial" w:hAnsi="Arial" w:cs="Arial"/>
                <w:color w:val="000000" w:themeColor="text1"/>
                <w:sz w:val="18"/>
                <w:szCs w:val="18"/>
                <w:vertAlign w:val="superscript"/>
                <w:lang w:val="nb-NO"/>
              </w:rPr>
              <w:t xml:space="preserve"> a</w:t>
            </w:r>
          </w:p>
        </w:tc>
        <w:tc>
          <w:tcPr>
            <w:tcW w:w="1134" w:type="dxa"/>
          </w:tcPr>
          <w:p w14:paraId="7816417D" w14:textId="65018EEC" w:rsidR="00C607B3" w:rsidRPr="00C87130" w:rsidRDefault="00C607B3" w:rsidP="00C87130">
            <w:pPr>
              <w:adjustRightInd w:val="0"/>
              <w:spacing w:line="360" w:lineRule="auto"/>
              <w:contextualSpacing/>
              <w:jc w:val="center"/>
              <w:rPr>
                <w:rFonts w:ascii="Arial" w:hAnsi="Arial" w:cs="Arial"/>
                <w:sz w:val="18"/>
                <w:szCs w:val="18"/>
              </w:rPr>
            </w:pPr>
            <w:r w:rsidRPr="00C87130">
              <w:rPr>
                <w:rFonts w:ascii="Arial" w:hAnsi="Arial" w:cs="Arial"/>
                <w:color w:val="000000" w:themeColor="text1"/>
                <w:sz w:val="18"/>
                <w:szCs w:val="18"/>
                <w:lang w:val="nb-NO"/>
              </w:rPr>
              <w:t>–40(1)</w:t>
            </w:r>
            <w:r w:rsidRPr="00C87130">
              <w:rPr>
                <w:rFonts w:ascii="Arial" w:hAnsi="Arial" w:cs="Arial"/>
                <w:color w:val="000000" w:themeColor="text1"/>
                <w:sz w:val="18"/>
                <w:szCs w:val="18"/>
                <w:vertAlign w:val="superscript"/>
                <w:lang w:val="nb-NO"/>
              </w:rPr>
              <w:t xml:space="preserve"> a</w:t>
            </w:r>
          </w:p>
        </w:tc>
        <w:tc>
          <w:tcPr>
            <w:tcW w:w="1067" w:type="dxa"/>
            <w:tcBorders>
              <w:right w:val="single" w:sz="4" w:space="0" w:color="auto"/>
            </w:tcBorders>
          </w:tcPr>
          <w:p w14:paraId="08DB3F37" w14:textId="6B422405" w:rsidR="00C607B3" w:rsidRPr="00C87130" w:rsidRDefault="00C607B3" w:rsidP="00C87130">
            <w:pPr>
              <w:adjustRightInd w:val="0"/>
              <w:spacing w:line="360" w:lineRule="auto"/>
              <w:contextualSpacing/>
              <w:jc w:val="center"/>
              <w:rPr>
                <w:rFonts w:ascii="Arial" w:hAnsi="Arial" w:cs="Arial"/>
                <w:sz w:val="18"/>
                <w:szCs w:val="18"/>
              </w:rPr>
            </w:pPr>
            <w:r w:rsidRPr="00C87130">
              <w:rPr>
                <w:rFonts w:ascii="Arial" w:hAnsi="Arial" w:cs="Arial"/>
                <w:color w:val="000000" w:themeColor="text1"/>
                <w:sz w:val="18"/>
                <w:szCs w:val="18"/>
                <w:lang w:val="nb-NO"/>
              </w:rPr>
              <w:t>11(1)</w:t>
            </w:r>
            <w:r w:rsidRPr="00C87130">
              <w:rPr>
                <w:rFonts w:ascii="Arial" w:hAnsi="Arial" w:cs="Arial"/>
                <w:color w:val="000000" w:themeColor="text1"/>
                <w:sz w:val="18"/>
                <w:szCs w:val="18"/>
                <w:vertAlign w:val="superscript"/>
                <w:lang w:val="nb-NO"/>
              </w:rPr>
              <w:t xml:space="preserve"> a</w:t>
            </w:r>
          </w:p>
        </w:tc>
        <w:tc>
          <w:tcPr>
            <w:tcW w:w="1134" w:type="dxa"/>
            <w:tcBorders>
              <w:left w:val="single" w:sz="4" w:space="0" w:color="auto"/>
            </w:tcBorders>
          </w:tcPr>
          <w:p w14:paraId="5E14DC8C" w14:textId="662FFEB2" w:rsidR="00C607B3" w:rsidRPr="00C87130" w:rsidRDefault="00C607B3" w:rsidP="00C87130">
            <w:pPr>
              <w:adjustRightInd w:val="0"/>
              <w:spacing w:line="360" w:lineRule="auto"/>
              <w:contextualSpacing/>
              <w:jc w:val="center"/>
              <w:rPr>
                <w:rFonts w:ascii="Arial" w:hAnsi="Arial" w:cs="Arial"/>
                <w:sz w:val="18"/>
                <w:szCs w:val="18"/>
              </w:rPr>
            </w:pPr>
            <w:r w:rsidRPr="00C87130">
              <w:rPr>
                <w:rFonts w:ascii="Arial" w:hAnsi="Arial" w:cs="Arial"/>
                <w:color w:val="000000" w:themeColor="text1"/>
                <w:sz w:val="18"/>
                <w:szCs w:val="18"/>
                <w:lang w:val="nb-NO"/>
              </w:rPr>
              <w:t>–9(3)</w:t>
            </w:r>
            <w:r w:rsidR="00820138" w:rsidRPr="00820138">
              <w:rPr>
                <w:rFonts w:ascii="Arial" w:hAnsi="Arial" w:cs="Arial"/>
                <w:color w:val="000000" w:themeColor="text1"/>
                <w:sz w:val="18"/>
                <w:szCs w:val="18"/>
                <w:vertAlign w:val="superscript"/>
                <w:lang w:val="nb-NO"/>
              </w:rPr>
              <w:t>c</w:t>
            </w:r>
          </w:p>
        </w:tc>
        <w:tc>
          <w:tcPr>
            <w:tcW w:w="1213" w:type="dxa"/>
          </w:tcPr>
          <w:p w14:paraId="615DD035" w14:textId="46ED6B27" w:rsidR="00C607B3" w:rsidRPr="00C87130" w:rsidRDefault="00C607B3" w:rsidP="00C87130">
            <w:pPr>
              <w:adjustRightInd w:val="0"/>
              <w:spacing w:line="360" w:lineRule="auto"/>
              <w:contextualSpacing/>
              <w:jc w:val="center"/>
              <w:rPr>
                <w:rFonts w:ascii="Arial" w:hAnsi="Arial" w:cs="Arial"/>
                <w:sz w:val="18"/>
                <w:szCs w:val="18"/>
              </w:rPr>
            </w:pPr>
            <w:r w:rsidRPr="00C87130">
              <w:rPr>
                <w:rFonts w:ascii="Arial" w:hAnsi="Arial" w:cs="Arial"/>
                <w:color w:val="000000" w:themeColor="text1"/>
                <w:sz w:val="18"/>
                <w:szCs w:val="18"/>
                <w:lang w:val="nb-NO"/>
              </w:rPr>
              <w:t>–</w:t>
            </w:r>
          </w:p>
        </w:tc>
        <w:tc>
          <w:tcPr>
            <w:tcW w:w="1074" w:type="dxa"/>
          </w:tcPr>
          <w:p w14:paraId="670969ED" w14:textId="74F94497" w:rsidR="00C607B3" w:rsidRPr="00C87130" w:rsidRDefault="00C607B3" w:rsidP="00C87130">
            <w:pPr>
              <w:adjustRightInd w:val="0"/>
              <w:spacing w:line="360" w:lineRule="auto"/>
              <w:contextualSpacing/>
              <w:jc w:val="center"/>
              <w:rPr>
                <w:rFonts w:ascii="Arial" w:hAnsi="Arial" w:cs="Arial"/>
                <w:sz w:val="18"/>
                <w:szCs w:val="18"/>
              </w:rPr>
            </w:pPr>
            <w:r w:rsidRPr="00C87130">
              <w:rPr>
                <w:rFonts w:ascii="Arial" w:hAnsi="Arial" w:cs="Arial"/>
                <w:color w:val="000000" w:themeColor="text1"/>
                <w:sz w:val="18"/>
                <w:szCs w:val="18"/>
                <w:lang w:val="nb-NO"/>
              </w:rPr>
              <w:t>–</w:t>
            </w:r>
          </w:p>
        </w:tc>
      </w:tr>
      <w:tr w:rsidR="00C87130" w14:paraId="56E5D58D" w14:textId="77777777" w:rsidTr="00777B4A">
        <w:tc>
          <w:tcPr>
            <w:tcW w:w="727" w:type="dxa"/>
            <w:tcBorders>
              <w:right w:val="single" w:sz="4" w:space="0" w:color="auto"/>
            </w:tcBorders>
          </w:tcPr>
          <w:p w14:paraId="5DCBB111" w14:textId="728DC292" w:rsidR="00C607B3" w:rsidRPr="00C87130" w:rsidRDefault="00C607B3" w:rsidP="00C87130">
            <w:pPr>
              <w:adjustRightInd w:val="0"/>
              <w:spacing w:line="360" w:lineRule="auto"/>
              <w:contextualSpacing/>
              <w:jc w:val="center"/>
              <w:rPr>
                <w:rFonts w:ascii="Arial" w:hAnsi="Arial" w:cs="Arial"/>
                <w:b/>
                <w:bCs/>
                <w:sz w:val="18"/>
                <w:szCs w:val="18"/>
              </w:rPr>
            </w:pPr>
            <w:r w:rsidRPr="00C87130">
              <w:rPr>
                <w:rFonts w:ascii="Arial" w:hAnsi="Arial" w:cs="Arial"/>
                <w:b/>
                <w:bCs/>
                <w:sz w:val="18"/>
                <w:szCs w:val="18"/>
                <w:lang w:val="nb-NO"/>
              </w:rPr>
              <w:t>G3</w:t>
            </w:r>
          </w:p>
        </w:tc>
        <w:tc>
          <w:tcPr>
            <w:tcW w:w="1134" w:type="dxa"/>
            <w:tcBorders>
              <w:left w:val="single" w:sz="4" w:space="0" w:color="auto"/>
            </w:tcBorders>
          </w:tcPr>
          <w:p w14:paraId="6A54CB4A" w14:textId="318283D9" w:rsidR="00C607B3" w:rsidRPr="00C87130" w:rsidRDefault="00C607B3" w:rsidP="00C87130">
            <w:pPr>
              <w:adjustRightInd w:val="0"/>
              <w:spacing w:line="360" w:lineRule="auto"/>
              <w:contextualSpacing/>
              <w:jc w:val="center"/>
              <w:rPr>
                <w:rFonts w:ascii="Arial" w:hAnsi="Arial" w:cs="Arial"/>
                <w:sz w:val="18"/>
                <w:szCs w:val="18"/>
              </w:rPr>
            </w:pPr>
            <w:r w:rsidRPr="00C87130">
              <w:rPr>
                <w:rFonts w:ascii="Arial" w:hAnsi="Arial" w:cs="Arial"/>
                <w:sz w:val="18"/>
                <w:szCs w:val="18"/>
                <w:lang w:val="nb-NO"/>
              </w:rPr>
              <w:t>–33.9(2)</w:t>
            </w:r>
          </w:p>
        </w:tc>
        <w:tc>
          <w:tcPr>
            <w:tcW w:w="1134" w:type="dxa"/>
          </w:tcPr>
          <w:p w14:paraId="5207C839" w14:textId="07D4DB10" w:rsidR="00C607B3" w:rsidRPr="00C87130" w:rsidRDefault="00C607B3" w:rsidP="00C87130">
            <w:pPr>
              <w:adjustRightInd w:val="0"/>
              <w:spacing w:line="360" w:lineRule="auto"/>
              <w:contextualSpacing/>
              <w:jc w:val="center"/>
              <w:rPr>
                <w:rFonts w:ascii="Arial" w:hAnsi="Arial" w:cs="Arial"/>
                <w:sz w:val="18"/>
                <w:szCs w:val="18"/>
              </w:rPr>
            </w:pPr>
            <w:r w:rsidRPr="00C87130">
              <w:rPr>
                <w:rFonts w:ascii="Arial" w:hAnsi="Arial" w:cs="Arial"/>
                <w:sz w:val="18"/>
                <w:szCs w:val="18"/>
                <w:lang w:val="nb-NO"/>
              </w:rPr>
              <w:t>–50.2(1)</w:t>
            </w:r>
          </w:p>
        </w:tc>
        <w:tc>
          <w:tcPr>
            <w:tcW w:w="1067" w:type="dxa"/>
            <w:tcBorders>
              <w:right w:val="single" w:sz="4" w:space="0" w:color="auto"/>
            </w:tcBorders>
          </w:tcPr>
          <w:p w14:paraId="0F991398" w14:textId="636CC615" w:rsidR="00C607B3" w:rsidRPr="00C87130" w:rsidRDefault="00C607B3" w:rsidP="00C87130">
            <w:pPr>
              <w:adjustRightInd w:val="0"/>
              <w:spacing w:line="360" w:lineRule="auto"/>
              <w:contextualSpacing/>
              <w:jc w:val="center"/>
              <w:rPr>
                <w:rFonts w:ascii="Arial" w:hAnsi="Arial" w:cs="Arial"/>
                <w:sz w:val="18"/>
                <w:szCs w:val="18"/>
              </w:rPr>
            </w:pPr>
            <w:r w:rsidRPr="00C87130">
              <w:rPr>
                <w:rFonts w:ascii="Arial" w:hAnsi="Arial" w:cs="Arial"/>
                <w:sz w:val="18"/>
                <w:szCs w:val="18"/>
                <w:lang w:val="nb-NO"/>
              </w:rPr>
              <w:t>16.3(1)</w:t>
            </w:r>
          </w:p>
        </w:tc>
        <w:tc>
          <w:tcPr>
            <w:tcW w:w="1134" w:type="dxa"/>
            <w:tcBorders>
              <w:left w:val="single" w:sz="4" w:space="0" w:color="auto"/>
            </w:tcBorders>
          </w:tcPr>
          <w:p w14:paraId="7E915C5F" w14:textId="60AC8E9B" w:rsidR="00C607B3" w:rsidRPr="00C87130" w:rsidRDefault="00C607B3" w:rsidP="00C87130">
            <w:pPr>
              <w:adjustRightInd w:val="0"/>
              <w:spacing w:line="360" w:lineRule="auto"/>
              <w:contextualSpacing/>
              <w:jc w:val="center"/>
              <w:rPr>
                <w:rFonts w:ascii="Arial" w:hAnsi="Arial" w:cs="Arial"/>
                <w:sz w:val="18"/>
                <w:szCs w:val="18"/>
              </w:rPr>
            </w:pPr>
            <w:r w:rsidRPr="00C87130">
              <w:rPr>
                <w:rFonts w:ascii="Arial" w:hAnsi="Arial" w:cs="Arial"/>
                <w:color w:val="000000" w:themeColor="text1"/>
                <w:sz w:val="18"/>
                <w:szCs w:val="18"/>
                <w:lang w:val="nb-NO"/>
              </w:rPr>
              <w:t>–1</w:t>
            </w:r>
            <w:r w:rsidR="00176CB1">
              <w:rPr>
                <w:rFonts w:ascii="Arial" w:hAnsi="Arial" w:cs="Arial"/>
                <w:color w:val="000000" w:themeColor="text1"/>
                <w:sz w:val="18"/>
                <w:szCs w:val="18"/>
                <w:lang w:val="nb-NO"/>
              </w:rPr>
              <w:t>4.1</w:t>
            </w:r>
            <w:r w:rsidRPr="00C87130">
              <w:rPr>
                <w:rFonts w:ascii="Arial" w:hAnsi="Arial" w:cs="Arial"/>
                <w:color w:val="000000" w:themeColor="text1"/>
                <w:sz w:val="18"/>
                <w:szCs w:val="18"/>
                <w:lang w:val="nb-NO"/>
              </w:rPr>
              <w:t>(</w:t>
            </w:r>
            <w:r w:rsidR="00176CB1">
              <w:rPr>
                <w:rFonts w:ascii="Arial" w:hAnsi="Arial" w:cs="Arial"/>
                <w:color w:val="000000" w:themeColor="text1"/>
                <w:sz w:val="18"/>
                <w:szCs w:val="18"/>
                <w:lang w:val="nb-NO"/>
              </w:rPr>
              <w:t>1</w:t>
            </w:r>
            <w:r w:rsidRPr="00C87130">
              <w:rPr>
                <w:rFonts w:ascii="Arial" w:hAnsi="Arial" w:cs="Arial"/>
                <w:color w:val="000000" w:themeColor="text1"/>
                <w:sz w:val="18"/>
                <w:szCs w:val="18"/>
                <w:lang w:val="nb-NO"/>
              </w:rPr>
              <w:t>)</w:t>
            </w:r>
          </w:p>
        </w:tc>
        <w:tc>
          <w:tcPr>
            <w:tcW w:w="1213" w:type="dxa"/>
          </w:tcPr>
          <w:p w14:paraId="2991A485" w14:textId="214F41D7" w:rsidR="00C607B3" w:rsidRPr="00C87130" w:rsidRDefault="00C607B3" w:rsidP="00C87130">
            <w:pPr>
              <w:adjustRightInd w:val="0"/>
              <w:spacing w:line="360" w:lineRule="auto"/>
              <w:contextualSpacing/>
              <w:jc w:val="center"/>
              <w:rPr>
                <w:rFonts w:ascii="Arial" w:hAnsi="Arial" w:cs="Arial"/>
                <w:sz w:val="18"/>
                <w:szCs w:val="18"/>
              </w:rPr>
            </w:pPr>
            <w:r w:rsidRPr="00C87130">
              <w:rPr>
                <w:rFonts w:ascii="Arial" w:hAnsi="Arial" w:cs="Arial"/>
                <w:color w:val="000000" w:themeColor="text1"/>
                <w:sz w:val="18"/>
                <w:szCs w:val="18"/>
                <w:lang w:val="nb-NO"/>
              </w:rPr>
              <w:t>–25.</w:t>
            </w:r>
            <w:r w:rsidR="00176CB1">
              <w:rPr>
                <w:rFonts w:ascii="Arial" w:hAnsi="Arial" w:cs="Arial"/>
                <w:color w:val="000000" w:themeColor="text1"/>
                <w:sz w:val="18"/>
                <w:szCs w:val="18"/>
                <w:lang w:val="nb-NO"/>
              </w:rPr>
              <w:t>2</w:t>
            </w:r>
            <w:r w:rsidRPr="00C87130">
              <w:rPr>
                <w:rFonts w:ascii="Arial" w:hAnsi="Arial" w:cs="Arial"/>
                <w:color w:val="000000" w:themeColor="text1"/>
                <w:sz w:val="18"/>
                <w:szCs w:val="18"/>
                <w:lang w:val="nb-NO"/>
              </w:rPr>
              <w:t>(</w:t>
            </w:r>
            <w:r w:rsidR="00176CB1">
              <w:rPr>
                <w:rFonts w:ascii="Arial" w:hAnsi="Arial" w:cs="Arial"/>
                <w:color w:val="000000" w:themeColor="text1"/>
                <w:sz w:val="18"/>
                <w:szCs w:val="18"/>
                <w:lang w:val="nb-NO"/>
              </w:rPr>
              <w:t>5</w:t>
            </w:r>
            <w:r w:rsidRPr="00C87130">
              <w:rPr>
                <w:rFonts w:ascii="Arial" w:hAnsi="Arial" w:cs="Arial"/>
                <w:color w:val="000000" w:themeColor="text1"/>
                <w:sz w:val="18"/>
                <w:szCs w:val="18"/>
                <w:lang w:val="nb-NO"/>
              </w:rPr>
              <w:t>)</w:t>
            </w:r>
          </w:p>
        </w:tc>
        <w:tc>
          <w:tcPr>
            <w:tcW w:w="1074" w:type="dxa"/>
          </w:tcPr>
          <w:p w14:paraId="53614D78" w14:textId="78B69E16" w:rsidR="00C607B3" w:rsidRPr="00C87130" w:rsidRDefault="00C607B3" w:rsidP="00C87130">
            <w:pPr>
              <w:adjustRightInd w:val="0"/>
              <w:spacing w:line="360" w:lineRule="auto"/>
              <w:contextualSpacing/>
              <w:jc w:val="center"/>
              <w:rPr>
                <w:rFonts w:ascii="Arial" w:hAnsi="Arial" w:cs="Arial"/>
                <w:sz w:val="18"/>
                <w:szCs w:val="18"/>
              </w:rPr>
            </w:pPr>
            <w:r w:rsidRPr="00C87130">
              <w:rPr>
                <w:rFonts w:ascii="Arial" w:hAnsi="Arial" w:cs="Arial"/>
                <w:color w:val="000000" w:themeColor="text1"/>
                <w:sz w:val="18"/>
                <w:szCs w:val="18"/>
                <w:lang w:val="nb-NO"/>
              </w:rPr>
              <w:t>11.7(1)</w:t>
            </w:r>
          </w:p>
        </w:tc>
      </w:tr>
      <w:tr w:rsidR="00FD139E" w14:paraId="4973BB1A" w14:textId="77777777" w:rsidTr="00777B4A">
        <w:tc>
          <w:tcPr>
            <w:tcW w:w="727" w:type="dxa"/>
            <w:tcBorders>
              <w:right w:val="single" w:sz="4" w:space="0" w:color="auto"/>
            </w:tcBorders>
          </w:tcPr>
          <w:p w14:paraId="79CE1131" w14:textId="334DF01B" w:rsidR="00FD139E" w:rsidRPr="00C87130" w:rsidRDefault="00FD139E" w:rsidP="00FD139E">
            <w:pPr>
              <w:adjustRightInd w:val="0"/>
              <w:spacing w:line="360" w:lineRule="auto"/>
              <w:contextualSpacing/>
              <w:jc w:val="center"/>
              <w:rPr>
                <w:rFonts w:ascii="Arial" w:hAnsi="Arial" w:cs="Arial"/>
                <w:b/>
                <w:bCs/>
                <w:color w:val="000000" w:themeColor="text1"/>
                <w:sz w:val="18"/>
                <w:szCs w:val="18"/>
                <w:lang w:val="nb-NO"/>
              </w:rPr>
            </w:pPr>
            <w:r w:rsidRPr="00C87130">
              <w:rPr>
                <w:rFonts w:ascii="Arial" w:hAnsi="Arial" w:cs="Arial"/>
                <w:b/>
                <w:bCs/>
                <w:sz w:val="18"/>
                <w:szCs w:val="18"/>
                <w:lang w:val="nb-NO"/>
              </w:rPr>
              <w:t>G</w:t>
            </w:r>
            <w:r>
              <w:rPr>
                <w:rFonts w:ascii="Arial" w:hAnsi="Arial" w:cs="Arial"/>
                <w:b/>
                <w:bCs/>
                <w:sz w:val="18"/>
                <w:szCs w:val="18"/>
                <w:lang w:val="nb-NO"/>
              </w:rPr>
              <w:t>4</w:t>
            </w:r>
          </w:p>
        </w:tc>
        <w:tc>
          <w:tcPr>
            <w:tcW w:w="1134" w:type="dxa"/>
            <w:tcBorders>
              <w:left w:val="single" w:sz="4" w:space="0" w:color="auto"/>
            </w:tcBorders>
          </w:tcPr>
          <w:p w14:paraId="71766B86" w14:textId="50011546" w:rsidR="00FD139E" w:rsidRPr="008D73F7" w:rsidRDefault="00FD139E" w:rsidP="00FD139E">
            <w:pPr>
              <w:adjustRightInd w:val="0"/>
              <w:spacing w:line="360" w:lineRule="auto"/>
              <w:contextualSpacing/>
              <w:jc w:val="center"/>
              <w:rPr>
                <w:rFonts w:ascii="Arial" w:hAnsi="Arial" w:cs="Arial"/>
                <w:color w:val="000000" w:themeColor="text1"/>
                <w:sz w:val="18"/>
                <w:szCs w:val="18"/>
                <w:lang w:val="nb-NO"/>
              </w:rPr>
            </w:pPr>
            <w:r w:rsidRPr="00C87130">
              <w:rPr>
                <w:rFonts w:ascii="Arial" w:hAnsi="Arial" w:cs="Arial"/>
                <w:sz w:val="18"/>
                <w:szCs w:val="18"/>
                <w:lang w:val="nb-NO"/>
              </w:rPr>
              <w:t>–28.4(</w:t>
            </w:r>
            <w:r>
              <w:rPr>
                <w:rFonts w:ascii="Arial" w:hAnsi="Arial" w:cs="Arial"/>
                <w:sz w:val="18"/>
                <w:szCs w:val="18"/>
                <w:lang w:val="nb-NO"/>
              </w:rPr>
              <w:t>2</w:t>
            </w:r>
            <w:r w:rsidRPr="00C87130">
              <w:rPr>
                <w:rFonts w:ascii="Arial" w:hAnsi="Arial" w:cs="Arial"/>
                <w:sz w:val="18"/>
                <w:szCs w:val="18"/>
                <w:lang w:val="nb-NO"/>
              </w:rPr>
              <w:t>)</w:t>
            </w:r>
          </w:p>
        </w:tc>
        <w:tc>
          <w:tcPr>
            <w:tcW w:w="1134" w:type="dxa"/>
          </w:tcPr>
          <w:p w14:paraId="6707F514" w14:textId="5499F39F" w:rsidR="00FD139E" w:rsidRPr="008D73F7" w:rsidRDefault="00FD139E" w:rsidP="00FD139E">
            <w:pPr>
              <w:adjustRightInd w:val="0"/>
              <w:spacing w:line="360" w:lineRule="auto"/>
              <w:contextualSpacing/>
              <w:jc w:val="center"/>
              <w:rPr>
                <w:rFonts w:ascii="Arial" w:hAnsi="Arial" w:cs="Arial"/>
                <w:color w:val="000000" w:themeColor="text1"/>
                <w:sz w:val="18"/>
                <w:szCs w:val="18"/>
                <w:lang w:val="nb-NO"/>
              </w:rPr>
            </w:pPr>
            <w:r w:rsidRPr="00C87130">
              <w:rPr>
                <w:rFonts w:ascii="Arial" w:hAnsi="Arial" w:cs="Arial"/>
                <w:sz w:val="18"/>
                <w:szCs w:val="18"/>
                <w:lang w:val="nb-NO"/>
              </w:rPr>
              <w:t>–2</w:t>
            </w:r>
            <w:r>
              <w:rPr>
                <w:rFonts w:ascii="Arial" w:hAnsi="Arial" w:cs="Arial"/>
                <w:sz w:val="18"/>
                <w:szCs w:val="18"/>
                <w:lang w:val="nb-NO"/>
              </w:rPr>
              <w:t>8.0</w:t>
            </w:r>
            <w:r w:rsidRPr="00C87130">
              <w:rPr>
                <w:rFonts w:ascii="Arial" w:hAnsi="Arial" w:cs="Arial"/>
                <w:sz w:val="18"/>
                <w:szCs w:val="18"/>
                <w:lang w:val="nb-NO"/>
              </w:rPr>
              <w:t>(6)</w:t>
            </w:r>
          </w:p>
        </w:tc>
        <w:tc>
          <w:tcPr>
            <w:tcW w:w="1067" w:type="dxa"/>
            <w:tcBorders>
              <w:right w:val="single" w:sz="4" w:space="0" w:color="auto"/>
            </w:tcBorders>
          </w:tcPr>
          <w:p w14:paraId="3751F4C8" w14:textId="312408C2" w:rsidR="00FD139E" w:rsidRDefault="00FD139E" w:rsidP="00FD139E">
            <w:pPr>
              <w:adjustRightInd w:val="0"/>
              <w:spacing w:line="360" w:lineRule="auto"/>
              <w:contextualSpacing/>
              <w:jc w:val="center"/>
              <w:rPr>
                <w:rFonts w:ascii="Arial" w:hAnsi="Arial" w:cs="Arial"/>
                <w:color w:val="000000" w:themeColor="text1"/>
                <w:sz w:val="18"/>
                <w:szCs w:val="18"/>
                <w:lang w:val="nb-NO"/>
              </w:rPr>
            </w:pPr>
            <w:r w:rsidRPr="00C87130">
              <w:rPr>
                <w:rFonts w:ascii="Arial" w:hAnsi="Arial" w:cs="Arial"/>
                <w:sz w:val="18"/>
                <w:szCs w:val="18"/>
                <w:lang w:val="nb-NO"/>
              </w:rPr>
              <w:t>–0.</w:t>
            </w:r>
            <w:r>
              <w:rPr>
                <w:rFonts w:ascii="Arial" w:hAnsi="Arial" w:cs="Arial"/>
                <w:sz w:val="18"/>
                <w:szCs w:val="18"/>
                <w:lang w:val="nb-NO"/>
              </w:rPr>
              <w:t>3</w:t>
            </w:r>
            <w:r w:rsidRPr="00C87130">
              <w:rPr>
                <w:rFonts w:ascii="Arial" w:hAnsi="Arial" w:cs="Arial"/>
                <w:sz w:val="18"/>
                <w:szCs w:val="18"/>
                <w:lang w:val="nb-NO"/>
              </w:rPr>
              <w:t>(1)</w:t>
            </w:r>
          </w:p>
        </w:tc>
        <w:tc>
          <w:tcPr>
            <w:tcW w:w="1134" w:type="dxa"/>
            <w:tcBorders>
              <w:left w:val="single" w:sz="4" w:space="0" w:color="auto"/>
            </w:tcBorders>
          </w:tcPr>
          <w:p w14:paraId="5E286170" w14:textId="4E70C6D4" w:rsidR="00FD139E" w:rsidRPr="00C87130" w:rsidRDefault="00FD139E" w:rsidP="00FD139E">
            <w:pPr>
              <w:adjustRightInd w:val="0"/>
              <w:spacing w:line="360" w:lineRule="auto"/>
              <w:contextualSpacing/>
              <w:jc w:val="center"/>
              <w:rPr>
                <w:rFonts w:ascii="Arial" w:hAnsi="Arial" w:cs="Arial"/>
                <w:sz w:val="18"/>
                <w:szCs w:val="18"/>
                <w:lang w:val="nb-NO"/>
              </w:rPr>
            </w:pPr>
            <w:r w:rsidRPr="00C87130">
              <w:rPr>
                <w:rFonts w:ascii="Arial" w:hAnsi="Arial" w:cs="Arial"/>
                <w:color w:val="000000" w:themeColor="text1"/>
                <w:sz w:val="18"/>
                <w:szCs w:val="18"/>
                <w:lang w:val="nb-NO"/>
              </w:rPr>
              <w:t>–</w:t>
            </w:r>
            <w:r>
              <w:rPr>
                <w:rFonts w:ascii="Arial" w:hAnsi="Arial" w:cs="Arial"/>
                <w:color w:val="000000" w:themeColor="text1"/>
                <w:sz w:val="18"/>
                <w:szCs w:val="18"/>
                <w:lang w:val="nb-NO"/>
              </w:rPr>
              <w:t>15.1</w:t>
            </w:r>
            <w:r w:rsidRPr="00C87130">
              <w:rPr>
                <w:rFonts w:ascii="Arial" w:hAnsi="Arial" w:cs="Arial"/>
                <w:color w:val="000000" w:themeColor="text1"/>
                <w:sz w:val="18"/>
                <w:szCs w:val="18"/>
                <w:lang w:val="nb-NO"/>
              </w:rPr>
              <w:t>(</w:t>
            </w:r>
            <w:r>
              <w:rPr>
                <w:rFonts w:ascii="Arial" w:hAnsi="Arial" w:cs="Arial"/>
                <w:color w:val="000000" w:themeColor="text1"/>
                <w:sz w:val="18"/>
                <w:szCs w:val="18"/>
                <w:lang w:val="nb-NO"/>
              </w:rPr>
              <w:t>1</w:t>
            </w:r>
            <w:r w:rsidRPr="00C87130">
              <w:rPr>
                <w:rFonts w:ascii="Arial" w:hAnsi="Arial" w:cs="Arial"/>
                <w:color w:val="000000" w:themeColor="text1"/>
                <w:sz w:val="18"/>
                <w:szCs w:val="18"/>
                <w:lang w:val="nb-NO"/>
              </w:rPr>
              <w:t>)</w:t>
            </w:r>
          </w:p>
        </w:tc>
        <w:tc>
          <w:tcPr>
            <w:tcW w:w="1213" w:type="dxa"/>
          </w:tcPr>
          <w:p w14:paraId="4E2EFC26" w14:textId="57889060" w:rsidR="00FD139E" w:rsidRPr="00C87130" w:rsidRDefault="00FD139E" w:rsidP="00FD139E">
            <w:pPr>
              <w:adjustRightInd w:val="0"/>
              <w:spacing w:line="360" w:lineRule="auto"/>
              <w:contextualSpacing/>
              <w:jc w:val="center"/>
              <w:rPr>
                <w:rFonts w:ascii="Arial" w:hAnsi="Arial" w:cs="Arial"/>
                <w:sz w:val="18"/>
                <w:szCs w:val="18"/>
                <w:lang w:val="nb-NO"/>
              </w:rPr>
            </w:pPr>
            <w:r w:rsidRPr="00C87130">
              <w:rPr>
                <w:rFonts w:ascii="Arial" w:hAnsi="Arial" w:cs="Arial"/>
                <w:color w:val="000000" w:themeColor="text1"/>
                <w:sz w:val="18"/>
                <w:szCs w:val="18"/>
                <w:lang w:val="nb-NO"/>
              </w:rPr>
              <w:t>–</w:t>
            </w:r>
            <w:r>
              <w:rPr>
                <w:rFonts w:ascii="Arial" w:hAnsi="Arial" w:cs="Arial"/>
                <w:color w:val="000000" w:themeColor="text1"/>
                <w:sz w:val="18"/>
                <w:szCs w:val="18"/>
                <w:lang w:val="nb-NO"/>
              </w:rPr>
              <w:t>31(2</w:t>
            </w:r>
            <w:r w:rsidRPr="00C87130">
              <w:rPr>
                <w:rFonts w:ascii="Arial" w:hAnsi="Arial" w:cs="Arial"/>
                <w:color w:val="000000" w:themeColor="text1"/>
                <w:sz w:val="18"/>
                <w:szCs w:val="18"/>
                <w:lang w:val="nb-NO"/>
              </w:rPr>
              <w:t>)</w:t>
            </w:r>
          </w:p>
        </w:tc>
        <w:tc>
          <w:tcPr>
            <w:tcW w:w="1074" w:type="dxa"/>
          </w:tcPr>
          <w:p w14:paraId="7B8C1E4F" w14:textId="2D179927" w:rsidR="00FD139E" w:rsidRDefault="00FD139E" w:rsidP="00FD139E">
            <w:pPr>
              <w:adjustRightInd w:val="0"/>
              <w:spacing w:line="360" w:lineRule="auto"/>
              <w:contextualSpacing/>
              <w:jc w:val="center"/>
              <w:rPr>
                <w:rFonts w:ascii="Arial" w:hAnsi="Arial" w:cs="Arial"/>
                <w:sz w:val="18"/>
                <w:szCs w:val="18"/>
                <w:lang w:val="nb-NO"/>
              </w:rPr>
            </w:pPr>
            <w:r>
              <w:rPr>
                <w:rFonts w:ascii="Arial" w:hAnsi="Arial" w:cs="Arial"/>
                <w:color w:val="000000" w:themeColor="text1"/>
                <w:sz w:val="18"/>
                <w:szCs w:val="18"/>
                <w:lang w:val="nb-NO"/>
              </w:rPr>
              <w:t>15</w:t>
            </w:r>
            <w:r w:rsidRPr="00C87130">
              <w:rPr>
                <w:rFonts w:ascii="Arial" w:hAnsi="Arial" w:cs="Arial"/>
                <w:color w:val="000000" w:themeColor="text1"/>
                <w:sz w:val="18"/>
                <w:szCs w:val="18"/>
                <w:lang w:val="nb-NO"/>
              </w:rPr>
              <w:t>(</w:t>
            </w:r>
            <w:r>
              <w:rPr>
                <w:rFonts w:ascii="Arial" w:hAnsi="Arial" w:cs="Arial"/>
                <w:color w:val="000000" w:themeColor="text1"/>
                <w:sz w:val="18"/>
                <w:szCs w:val="18"/>
                <w:lang w:val="nb-NO"/>
              </w:rPr>
              <w:t>3</w:t>
            </w:r>
            <w:r w:rsidRPr="00C87130">
              <w:rPr>
                <w:rFonts w:ascii="Arial" w:hAnsi="Arial" w:cs="Arial"/>
                <w:color w:val="000000" w:themeColor="text1"/>
                <w:sz w:val="18"/>
                <w:szCs w:val="18"/>
                <w:lang w:val="nb-NO"/>
              </w:rPr>
              <w:t>)</w:t>
            </w:r>
          </w:p>
        </w:tc>
      </w:tr>
      <w:tr w:rsidR="00FD139E" w14:paraId="5FBCE059" w14:textId="77777777" w:rsidTr="00777B4A">
        <w:tc>
          <w:tcPr>
            <w:tcW w:w="727" w:type="dxa"/>
            <w:tcBorders>
              <w:right w:val="single" w:sz="4" w:space="0" w:color="auto"/>
            </w:tcBorders>
          </w:tcPr>
          <w:p w14:paraId="51D6F0EF" w14:textId="14FAEA7C" w:rsidR="00FD139E" w:rsidRPr="00C87130" w:rsidRDefault="00FD139E" w:rsidP="00FD139E">
            <w:pPr>
              <w:adjustRightInd w:val="0"/>
              <w:spacing w:line="360" w:lineRule="auto"/>
              <w:contextualSpacing/>
              <w:jc w:val="center"/>
              <w:rPr>
                <w:rFonts w:ascii="Arial" w:hAnsi="Arial" w:cs="Arial"/>
                <w:b/>
                <w:bCs/>
                <w:color w:val="000000" w:themeColor="text1"/>
                <w:sz w:val="18"/>
                <w:szCs w:val="18"/>
                <w:lang w:val="nb-NO"/>
              </w:rPr>
            </w:pPr>
            <w:r w:rsidRPr="00C87130">
              <w:rPr>
                <w:rFonts w:ascii="Arial" w:hAnsi="Arial" w:cs="Arial"/>
                <w:b/>
                <w:bCs/>
                <w:sz w:val="18"/>
                <w:szCs w:val="18"/>
                <w:lang w:val="nb-NO"/>
              </w:rPr>
              <w:t>G</w:t>
            </w:r>
            <w:r>
              <w:rPr>
                <w:rFonts w:ascii="Arial" w:hAnsi="Arial" w:cs="Arial"/>
                <w:b/>
                <w:bCs/>
                <w:sz w:val="18"/>
                <w:szCs w:val="18"/>
                <w:lang w:val="nb-NO"/>
              </w:rPr>
              <w:t>5</w:t>
            </w:r>
          </w:p>
        </w:tc>
        <w:tc>
          <w:tcPr>
            <w:tcW w:w="1134" w:type="dxa"/>
            <w:tcBorders>
              <w:left w:val="single" w:sz="4" w:space="0" w:color="auto"/>
            </w:tcBorders>
          </w:tcPr>
          <w:p w14:paraId="3DE5E8FA" w14:textId="79025A08" w:rsidR="00FD139E" w:rsidRPr="008D73F7" w:rsidRDefault="00FD139E" w:rsidP="00FD139E">
            <w:pPr>
              <w:adjustRightInd w:val="0"/>
              <w:spacing w:line="360" w:lineRule="auto"/>
              <w:contextualSpacing/>
              <w:jc w:val="center"/>
              <w:rPr>
                <w:rFonts w:ascii="Arial" w:hAnsi="Arial" w:cs="Arial"/>
                <w:color w:val="000000" w:themeColor="text1"/>
                <w:sz w:val="18"/>
                <w:szCs w:val="18"/>
                <w:lang w:val="nb-NO"/>
              </w:rPr>
            </w:pPr>
            <w:r w:rsidRPr="00C87130">
              <w:rPr>
                <w:rFonts w:ascii="Arial" w:hAnsi="Arial" w:cs="Arial"/>
                <w:sz w:val="18"/>
                <w:szCs w:val="18"/>
                <w:lang w:val="nb-NO"/>
              </w:rPr>
              <w:t>–1</w:t>
            </w:r>
            <w:r>
              <w:rPr>
                <w:rFonts w:ascii="Arial" w:hAnsi="Arial" w:cs="Arial"/>
                <w:sz w:val="18"/>
                <w:szCs w:val="18"/>
                <w:lang w:val="nb-NO"/>
              </w:rPr>
              <w:t>9.8(1</w:t>
            </w:r>
            <w:r w:rsidRPr="00C87130">
              <w:rPr>
                <w:rFonts w:ascii="Arial" w:hAnsi="Arial" w:cs="Arial"/>
                <w:sz w:val="18"/>
                <w:szCs w:val="18"/>
                <w:lang w:val="nb-NO"/>
              </w:rPr>
              <w:t>)</w:t>
            </w:r>
            <w:r w:rsidRPr="00C87130">
              <w:rPr>
                <w:rFonts w:ascii="Arial" w:hAnsi="Arial" w:cs="Arial"/>
                <w:sz w:val="18"/>
                <w:szCs w:val="18"/>
                <w:vertAlign w:val="superscript"/>
              </w:rPr>
              <w:t xml:space="preserve"> </w:t>
            </w:r>
            <w:r>
              <w:rPr>
                <w:rFonts w:ascii="Arial" w:hAnsi="Arial" w:cs="Arial"/>
                <w:sz w:val="18"/>
                <w:szCs w:val="18"/>
                <w:vertAlign w:val="superscript"/>
              </w:rPr>
              <w:t>d</w:t>
            </w:r>
          </w:p>
        </w:tc>
        <w:tc>
          <w:tcPr>
            <w:tcW w:w="1134" w:type="dxa"/>
          </w:tcPr>
          <w:p w14:paraId="382784BB" w14:textId="6A44CD94" w:rsidR="00FD139E" w:rsidRPr="008D73F7" w:rsidRDefault="00FD139E" w:rsidP="00FD139E">
            <w:pPr>
              <w:adjustRightInd w:val="0"/>
              <w:spacing w:line="360" w:lineRule="auto"/>
              <w:contextualSpacing/>
              <w:jc w:val="center"/>
              <w:rPr>
                <w:rFonts w:ascii="Arial" w:hAnsi="Arial" w:cs="Arial"/>
                <w:color w:val="000000" w:themeColor="text1"/>
                <w:sz w:val="18"/>
                <w:szCs w:val="18"/>
                <w:lang w:val="nb-NO"/>
              </w:rPr>
            </w:pPr>
            <w:r w:rsidRPr="00C87130">
              <w:rPr>
                <w:rFonts w:ascii="Arial" w:hAnsi="Arial" w:cs="Arial"/>
                <w:sz w:val="18"/>
                <w:szCs w:val="18"/>
                <w:lang w:val="nb-NO"/>
              </w:rPr>
              <w:t>–</w:t>
            </w:r>
            <w:r>
              <w:rPr>
                <w:rFonts w:ascii="Arial" w:hAnsi="Arial" w:cs="Arial"/>
                <w:sz w:val="18"/>
                <w:szCs w:val="18"/>
                <w:lang w:val="nb-NO"/>
              </w:rPr>
              <w:t>31.3(2</w:t>
            </w:r>
            <w:r w:rsidRPr="00C87130">
              <w:rPr>
                <w:rFonts w:ascii="Arial" w:hAnsi="Arial" w:cs="Arial"/>
                <w:sz w:val="18"/>
                <w:szCs w:val="18"/>
                <w:lang w:val="nb-NO"/>
              </w:rPr>
              <w:t>)</w:t>
            </w:r>
            <w:r w:rsidRPr="00C87130">
              <w:rPr>
                <w:rFonts w:ascii="Arial" w:hAnsi="Arial" w:cs="Arial"/>
                <w:sz w:val="18"/>
                <w:szCs w:val="18"/>
                <w:vertAlign w:val="superscript"/>
              </w:rPr>
              <w:t xml:space="preserve"> </w:t>
            </w:r>
            <w:r>
              <w:rPr>
                <w:rFonts w:ascii="Arial" w:hAnsi="Arial" w:cs="Arial"/>
                <w:sz w:val="18"/>
                <w:szCs w:val="18"/>
                <w:vertAlign w:val="superscript"/>
              </w:rPr>
              <w:t>d</w:t>
            </w:r>
          </w:p>
        </w:tc>
        <w:tc>
          <w:tcPr>
            <w:tcW w:w="1067" w:type="dxa"/>
            <w:tcBorders>
              <w:right w:val="single" w:sz="4" w:space="0" w:color="auto"/>
            </w:tcBorders>
          </w:tcPr>
          <w:p w14:paraId="5F1BBF77" w14:textId="6C8F9D86" w:rsidR="00FD139E" w:rsidRDefault="00FD139E" w:rsidP="00FD139E">
            <w:pPr>
              <w:adjustRightInd w:val="0"/>
              <w:spacing w:line="360" w:lineRule="auto"/>
              <w:contextualSpacing/>
              <w:jc w:val="center"/>
              <w:rPr>
                <w:rFonts w:ascii="Arial" w:hAnsi="Arial" w:cs="Arial"/>
                <w:color w:val="000000" w:themeColor="text1"/>
                <w:sz w:val="18"/>
                <w:szCs w:val="18"/>
                <w:lang w:val="nb-NO"/>
              </w:rPr>
            </w:pPr>
            <w:r>
              <w:rPr>
                <w:rFonts w:ascii="Arial" w:hAnsi="Arial" w:cs="Arial"/>
                <w:sz w:val="18"/>
                <w:szCs w:val="18"/>
                <w:lang w:val="nb-NO"/>
              </w:rPr>
              <w:t>11.5(2)</w:t>
            </w:r>
            <w:r w:rsidRPr="00C87130">
              <w:rPr>
                <w:rFonts w:ascii="Arial" w:hAnsi="Arial" w:cs="Arial"/>
                <w:sz w:val="18"/>
                <w:szCs w:val="18"/>
                <w:vertAlign w:val="superscript"/>
              </w:rPr>
              <w:t xml:space="preserve"> </w:t>
            </w:r>
            <w:r>
              <w:rPr>
                <w:rFonts w:ascii="Arial" w:hAnsi="Arial" w:cs="Arial"/>
                <w:sz w:val="18"/>
                <w:szCs w:val="18"/>
                <w:vertAlign w:val="superscript"/>
              </w:rPr>
              <w:t>d</w:t>
            </w:r>
          </w:p>
        </w:tc>
        <w:tc>
          <w:tcPr>
            <w:tcW w:w="1134" w:type="dxa"/>
            <w:tcBorders>
              <w:left w:val="single" w:sz="4" w:space="0" w:color="auto"/>
            </w:tcBorders>
          </w:tcPr>
          <w:p w14:paraId="468D27A6" w14:textId="5C9B1A0F" w:rsidR="00FD139E" w:rsidRPr="00C87130" w:rsidRDefault="00FD139E" w:rsidP="00FD139E">
            <w:pPr>
              <w:adjustRightInd w:val="0"/>
              <w:spacing w:line="360" w:lineRule="auto"/>
              <w:contextualSpacing/>
              <w:jc w:val="center"/>
              <w:rPr>
                <w:rFonts w:ascii="Arial" w:hAnsi="Arial" w:cs="Arial"/>
                <w:sz w:val="18"/>
                <w:szCs w:val="18"/>
                <w:lang w:val="nb-NO"/>
              </w:rPr>
            </w:pPr>
            <w:r w:rsidRPr="00C87130">
              <w:rPr>
                <w:rFonts w:ascii="Arial" w:hAnsi="Arial" w:cs="Arial"/>
                <w:sz w:val="18"/>
                <w:szCs w:val="18"/>
                <w:lang w:val="nb-NO"/>
              </w:rPr>
              <w:t>–2</w:t>
            </w:r>
            <w:r>
              <w:rPr>
                <w:rFonts w:ascii="Arial" w:hAnsi="Arial" w:cs="Arial"/>
                <w:sz w:val="18"/>
                <w:szCs w:val="18"/>
                <w:lang w:val="nb-NO"/>
              </w:rPr>
              <w:t>3.3</w:t>
            </w:r>
            <w:r w:rsidRPr="00C87130">
              <w:rPr>
                <w:rFonts w:ascii="Arial" w:hAnsi="Arial" w:cs="Arial"/>
                <w:sz w:val="18"/>
                <w:szCs w:val="18"/>
                <w:lang w:val="nb-NO"/>
              </w:rPr>
              <w:t>(</w:t>
            </w:r>
            <w:r>
              <w:rPr>
                <w:rFonts w:ascii="Arial" w:hAnsi="Arial" w:cs="Arial"/>
                <w:sz w:val="18"/>
                <w:szCs w:val="18"/>
                <w:lang w:val="nb-NO"/>
              </w:rPr>
              <w:t>1</w:t>
            </w:r>
            <w:r w:rsidRPr="00C87130">
              <w:rPr>
                <w:rFonts w:ascii="Arial" w:hAnsi="Arial" w:cs="Arial"/>
                <w:sz w:val="18"/>
                <w:szCs w:val="18"/>
                <w:lang w:val="nb-NO"/>
              </w:rPr>
              <w:t>)</w:t>
            </w:r>
          </w:p>
        </w:tc>
        <w:tc>
          <w:tcPr>
            <w:tcW w:w="1213" w:type="dxa"/>
          </w:tcPr>
          <w:p w14:paraId="3036E8F7" w14:textId="45439F5E" w:rsidR="00FD139E" w:rsidRPr="00C87130" w:rsidRDefault="00FD139E" w:rsidP="00FD139E">
            <w:pPr>
              <w:adjustRightInd w:val="0"/>
              <w:spacing w:line="360" w:lineRule="auto"/>
              <w:contextualSpacing/>
              <w:jc w:val="center"/>
              <w:rPr>
                <w:rFonts w:ascii="Arial" w:hAnsi="Arial" w:cs="Arial"/>
                <w:sz w:val="18"/>
                <w:szCs w:val="18"/>
                <w:lang w:val="nb-NO"/>
              </w:rPr>
            </w:pPr>
            <w:r w:rsidRPr="00C87130">
              <w:rPr>
                <w:rFonts w:ascii="Arial" w:hAnsi="Arial" w:cs="Arial"/>
                <w:sz w:val="18"/>
                <w:szCs w:val="18"/>
                <w:lang w:val="nb-NO"/>
              </w:rPr>
              <w:t>–2</w:t>
            </w:r>
            <w:r>
              <w:rPr>
                <w:rFonts w:ascii="Arial" w:hAnsi="Arial" w:cs="Arial"/>
                <w:sz w:val="18"/>
                <w:szCs w:val="18"/>
                <w:lang w:val="nb-NO"/>
              </w:rPr>
              <w:t>5</w:t>
            </w:r>
            <w:r w:rsidRPr="00C87130">
              <w:rPr>
                <w:rFonts w:ascii="Arial" w:hAnsi="Arial" w:cs="Arial"/>
                <w:sz w:val="18"/>
                <w:szCs w:val="18"/>
                <w:lang w:val="nb-NO"/>
              </w:rPr>
              <w:t>.</w:t>
            </w:r>
            <w:r>
              <w:rPr>
                <w:rFonts w:ascii="Arial" w:hAnsi="Arial" w:cs="Arial"/>
                <w:sz w:val="18"/>
                <w:szCs w:val="18"/>
                <w:lang w:val="nb-NO"/>
              </w:rPr>
              <w:t>8</w:t>
            </w:r>
            <w:r w:rsidRPr="00C87130">
              <w:rPr>
                <w:rFonts w:ascii="Arial" w:hAnsi="Arial" w:cs="Arial"/>
                <w:sz w:val="18"/>
                <w:szCs w:val="18"/>
                <w:lang w:val="nb-NO"/>
              </w:rPr>
              <w:t>(</w:t>
            </w:r>
            <w:r>
              <w:rPr>
                <w:rFonts w:ascii="Arial" w:hAnsi="Arial" w:cs="Arial"/>
                <w:sz w:val="18"/>
                <w:szCs w:val="18"/>
                <w:lang w:val="nb-NO"/>
              </w:rPr>
              <w:t>1</w:t>
            </w:r>
            <w:r w:rsidRPr="00C87130">
              <w:rPr>
                <w:rFonts w:ascii="Arial" w:hAnsi="Arial" w:cs="Arial"/>
                <w:sz w:val="18"/>
                <w:szCs w:val="18"/>
                <w:lang w:val="nb-NO"/>
              </w:rPr>
              <w:t>)</w:t>
            </w:r>
          </w:p>
        </w:tc>
        <w:tc>
          <w:tcPr>
            <w:tcW w:w="1074" w:type="dxa"/>
          </w:tcPr>
          <w:p w14:paraId="45942785" w14:textId="4E45C4E5" w:rsidR="00FD139E" w:rsidRDefault="00FD139E" w:rsidP="00FD139E">
            <w:pPr>
              <w:adjustRightInd w:val="0"/>
              <w:spacing w:line="360" w:lineRule="auto"/>
              <w:contextualSpacing/>
              <w:jc w:val="center"/>
              <w:rPr>
                <w:rFonts w:ascii="Arial" w:hAnsi="Arial" w:cs="Arial"/>
                <w:sz w:val="18"/>
                <w:szCs w:val="18"/>
                <w:lang w:val="nb-NO"/>
              </w:rPr>
            </w:pPr>
            <w:r>
              <w:rPr>
                <w:rFonts w:ascii="Arial" w:hAnsi="Arial" w:cs="Arial"/>
                <w:sz w:val="18"/>
                <w:szCs w:val="18"/>
                <w:lang w:val="nb-NO"/>
              </w:rPr>
              <w:t>2.5</w:t>
            </w:r>
            <w:r w:rsidRPr="00C87130">
              <w:rPr>
                <w:rFonts w:ascii="Arial" w:hAnsi="Arial" w:cs="Arial"/>
                <w:sz w:val="18"/>
                <w:szCs w:val="18"/>
                <w:lang w:val="nb-NO"/>
              </w:rPr>
              <w:t>(</w:t>
            </w:r>
            <w:r>
              <w:rPr>
                <w:rFonts w:ascii="Arial" w:hAnsi="Arial" w:cs="Arial"/>
                <w:sz w:val="18"/>
                <w:szCs w:val="18"/>
                <w:lang w:val="nb-NO"/>
              </w:rPr>
              <w:t>1</w:t>
            </w:r>
            <w:r w:rsidRPr="00C87130">
              <w:rPr>
                <w:rFonts w:ascii="Arial" w:hAnsi="Arial" w:cs="Arial"/>
                <w:sz w:val="18"/>
                <w:szCs w:val="18"/>
                <w:lang w:val="nb-NO"/>
              </w:rPr>
              <w:t>)</w:t>
            </w:r>
          </w:p>
        </w:tc>
      </w:tr>
      <w:tr w:rsidR="00FD139E" w14:paraId="2918D0CA" w14:textId="77777777" w:rsidTr="00777B4A">
        <w:tc>
          <w:tcPr>
            <w:tcW w:w="727" w:type="dxa"/>
            <w:tcBorders>
              <w:right w:val="single" w:sz="4" w:space="0" w:color="auto"/>
            </w:tcBorders>
          </w:tcPr>
          <w:p w14:paraId="4A3E5DB6" w14:textId="02ED73AB" w:rsidR="00FD139E" w:rsidRPr="00C87130" w:rsidRDefault="00FD139E" w:rsidP="00FD139E">
            <w:pPr>
              <w:adjustRightInd w:val="0"/>
              <w:spacing w:line="360" w:lineRule="auto"/>
              <w:contextualSpacing/>
              <w:jc w:val="center"/>
              <w:rPr>
                <w:rFonts w:ascii="Arial" w:hAnsi="Arial" w:cs="Arial"/>
                <w:b/>
                <w:bCs/>
                <w:sz w:val="18"/>
                <w:szCs w:val="18"/>
              </w:rPr>
            </w:pPr>
            <w:r w:rsidRPr="00C87130">
              <w:rPr>
                <w:rFonts w:ascii="Arial" w:hAnsi="Arial" w:cs="Arial"/>
                <w:b/>
                <w:bCs/>
                <w:color w:val="000000" w:themeColor="text1"/>
                <w:sz w:val="18"/>
                <w:szCs w:val="18"/>
                <w:lang w:val="nb-NO"/>
              </w:rPr>
              <w:t>G</w:t>
            </w:r>
            <w:r>
              <w:rPr>
                <w:rFonts w:ascii="Arial" w:hAnsi="Arial" w:cs="Arial"/>
                <w:b/>
                <w:bCs/>
                <w:color w:val="000000" w:themeColor="text1"/>
                <w:sz w:val="18"/>
                <w:szCs w:val="18"/>
                <w:lang w:val="nb-NO"/>
              </w:rPr>
              <w:t>6</w:t>
            </w:r>
          </w:p>
        </w:tc>
        <w:tc>
          <w:tcPr>
            <w:tcW w:w="1134" w:type="dxa"/>
            <w:tcBorders>
              <w:left w:val="single" w:sz="4" w:space="0" w:color="auto"/>
            </w:tcBorders>
          </w:tcPr>
          <w:p w14:paraId="559DE0A3" w14:textId="40D4C893" w:rsidR="00FD139E" w:rsidRPr="008D73F7" w:rsidRDefault="00FD139E" w:rsidP="00FD139E">
            <w:pPr>
              <w:adjustRightInd w:val="0"/>
              <w:spacing w:line="360" w:lineRule="auto"/>
              <w:contextualSpacing/>
              <w:jc w:val="center"/>
              <w:rPr>
                <w:rFonts w:ascii="Arial" w:hAnsi="Arial" w:cs="Arial"/>
                <w:sz w:val="18"/>
                <w:szCs w:val="18"/>
              </w:rPr>
            </w:pPr>
            <w:r w:rsidRPr="008D73F7">
              <w:rPr>
                <w:rFonts w:ascii="Arial" w:hAnsi="Arial" w:cs="Arial"/>
                <w:color w:val="000000" w:themeColor="text1"/>
                <w:sz w:val="18"/>
                <w:szCs w:val="18"/>
                <w:lang w:val="nb-NO"/>
              </w:rPr>
              <w:t>–</w:t>
            </w:r>
            <w:r>
              <w:rPr>
                <w:rFonts w:ascii="Arial" w:hAnsi="Arial" w:cs="Arial"/>
                <w:color w:val="000000" w:themeColor="text1"/>
                <w:sz w:val="18"/>
                <w:szCs w:val="18"/>
                <w:lang w:val="nb-NO"/>
              </w:rPr>
              <w:t>20.8</w:t>
            </w:r>
            <w:r w:rsidRPr="008D73F7">
              <w:rPr>
                <w:rFonts w:ascii="Arial" w:hAnsi="Arial" w:cs="Arial"/>
                <w:color w:val="000000" w:themeColor="text1"/>
                <w:sz w:val="18"/>
                <w:szCs w:val="18"/>
                <w:lang w:val="nb-NO"/>
              </w:rPr>
              <w:t>(</w:t>
            </w:r>
            <w:r>
              <w:rPr>
                <w:rFonts w:ascii="Arial" w:hAnsi="Arial" w:cs="Arial"/>
                <w:color w:val="000000" w:themeColor="text1"/>
                <w:sz w:val="18"/>
                <w:szCs w:val="18"/>
                <w:lang w:val="nb-NO"/>
              </w:rPr>
              <w:t>1</w:t>
            </w:r>
            <w:r w:rsidRPr="008D73F7">
              <w:rPr>
                <w:rFonts w:ascii="Arial" w:hAnsi="Arial" w:cs="Arial"/>
                <w:color w:val="000000" w:themeColor="text1"/>
                <w:sz w:val="18"/>
                <w:szCs w:val="18"/>
                <w:lang w:val="nb-NO"/>
              </w:rPr>
              <w:t xml:space="preserve">) </w:t>
            </w:r>
            <w:r w:rsidRPr="008D73F7">
              <w:rPr>
                <w:rFonts w:ascii="Arial" w:hAnsi="Arial" w:cs="Arial"/>
                <w:color w:val="000000" w:themeColor="text1"/>
                <w:sz w:val="18"/>
                <w:szCs w:val="18"/>
                <w:vertAlign w:val="superscript"/>
                <w:lang w:val="nb-NO"/>
              </w:rPr>
              <w:t>d</w:t>
            </w:r>
          </w:p>
        </w:tc>
        <w:tc>
          <w:tcPr>
            <w:tcW w:w="1134" w:type="dxa"/>
          </w:tcPr>
          <w:p w14:paraId="24BFBF08" w14:textId="200FB2DC" w:rsidR="00FD139E" w:rsidRPr="008D73F7" w:rsidRDefault="00FD139E" w:rsidP="00FD139E">
            <w:pPr>
              <w:adjustRightInd w:val="0"/>
              <w:spacing w:line="360" w:lineRule="auto"/>
              <w:contextualSpacing/>
              <w:jc w:val="center"/>
              <w:rPr>
                <w:rFonts w:ascii="Arial" w:hAnsi="Arial" w:cs="Arial"/>
                <w:sz w:val="18"/>
                <w:szCs w:val="18"/>
              </w:rPr>
            </w:pPr>
            <w:r w:rsidRPr="008D73F7">
              <w:rPr>
                <w:rFonts w:ascii="Arial" w:hAnsi="Arial" w:cs="Arial"/>
                <w:color w:val="000000" w:themeColor="text1"/>
                <w:sz w:val="18"/>
                <w:szCs w:val="18"/>
                <w:lang w:val="nb-NO"/>
              </w:rPr>
              <w:t>–</w:t>
            </w:r>
            <w:r>
              <w:rPr>
                <w:rFonts w:ascii="Arial" w:hAnsi="Arial" w:cs="Arial"/>
                <w:color w:val="000000" w:themeColor="text1"/>
                <w:sz w:val="18"/>
                <w:szCs w:val="18"/>
                <w:lang w:val="nb-NO"/>
              </w:rPr>
              <w:t>30</w:t>
            </w:r>
            <w:r w:rsidRPr="008D73F7">
              <w:rPr>
                <w:rFonts w:ascii="Arial" w:hAnsi="Arial" w:cs="Arial"/>
                <w:color w:val="000000" w:themeColor="text1"/>
                <w:sz w:val="18"/>
                <w:szCs w:val="18"/>
                <w:lang w:val="nb-NO"/>
              </w:rPr>
              <w:t xml:space="preserve">(1) </w:t>
            </w:r>
            <w:r w:rsidRPr="008D73F7">
              <w:rPr>
                <w:rFonts w:ascii="Arial" w:hAnsi="Arial" w:cs="Arial"/>
                <w:color w:val="000000" w:themeColor="text1"/>
                <w:sz w:val="18"/>
                <w:szCs w:val="18"/>
                <w:vertAlign w:val="superscript"/>
                <w:lang w:val="nb-NO"/>
              </w:rPr>
              <w:t>d</w:t>
            </w:r>
          </w:p>
        </w:tc>
        <w:tc>
          <w:tcPr>
            <w:tcW w:w="1067" w:type="dxa"/>
            <w:tcBorders>
              <w:right w:val="single" w:sz="4" w:space="0" w:color="auto"/>
            </w:tcBorders>
          </w:tcPr>
          <w:p w14:paraId="6B106C5F" w14:textId="68895CB6" w:rsidR="00FD139E" w:rsidRPr="008D73F7" w:rsidRDefault="00FD139E" w:rsidP="00FD139E">
            <w:pPr>
              <w:adjustRightInd w:val="0"/>
              <w:spacing w:line="360" w:lineRule="auto"/>
              <w:contextualSpacing/>
              <w:jc w:val="center"/>
              <w:rPr>
                <w:rFonts w:ascii="Arial" w:hAnsi="Arial" w:cs="Arial"/>
                <w:sz w:val="18"/>
                <w:szCs w:val="18"/>
              </w:rPr>
            </w:pPr>
            <w:r>
              <w:rPr>
                <w:rFonts w:ascii="Arial" w:hAnsi="Arial" w:cs="Arial"/>
                <w:color w:val="000000" w:themeColor="text1"/>
                <w:sz w:val="18"/>
                <w:szCs w:val="18"/>
                <w:lang w:val="nb-NO"/>
              </w:rPr>
              <w:t>10</w:t>
            </w:r>
            <w:r w:rsidRPr="008D73F7">
              <w:rPr>
                <w:rFonts w:ascii="Arial" w:hAnsi="Arial" w:cs="Arial"/>
                <w:color w:val="000000" w:themeColor="text1"/>
                <w:sz w:val="18"/>
                <w:szCs w:val="18"/>
                <w:lang w:val="nb-NO"/>
              </w:rPr>
              <w:t>(</w:t>
            </w:r>
            <w:r>
              <w:rPr>
                <w:rFonts w:ascii="Arial" w:hAnsi="Arial" w:cs="Arial"/>
                <w:color w:val="000000" w:themeColor="text1"/>
                <w:sz w:val="18"/>
                <w:szCs w:val="18"/>
                <w:lang w:val="nb-NO"/>
              </w:rPr>
              <w:t>1</w:t>
            </w:r>
            <w:r w:rsidRPr="008D73F7">
              <w:rPr>
                <w:rFonts w:ascii="Arial" w:hAnsi="Arial" w:cs="Arial"/>
                <w:color w:val="000000" w:themeColor="text1"/>
                <w:sz w:val="18"/>
                <w:szCs w:val="18"/>
                <w:lang w:val="nb-NO"/>
              </w:rPr>
              <w:t xml:space="preserve">) </w:t>
            </w:r>
            <w:r w:rsidRPr="008D73F7">
              <w:rPr>
                <w:rFonts w:ascii="Arial" w:hAnsi="Arial" w:cs="Arial"/>
                <w:color w:val="000000" w:themeColor="text1"/>
                <w:sz w:val="18"/>
                <w:szCs w:val="18"/>
                <w:vertAlign w:val="superscript"/>
                <w:lang w:val="nb-NO"/>
              </w:rPr>
              <w:t>d</w:t>
            </w:r>
          </w:p>
        </w:tc>
        <w:tc>
          <w:tcPr>
            <w:tcW w:w="1134" w:type="dxa"/>
            <w:tcBorders>
              <w:left w:val="single" w:sz="4" w:space="0" w:color="auto"/>
            </w:tcBorders>
          </w:tcPr>
          <w:p w14:paraId="701A69E0" w14:textId="5CC90E57" w:rsidR="00FD139E" w:rsidRPr="00C87130" w:rsidRDefault="00FD139E" w:rsidP="00FD139E">
            <w:pPr>
              <w:adjustRightInd w:val="0"/>
              <w:spacing w:line="360" w:lineRule="auto"/>
              <w:contextualSpacing/>
              <w:jc w:val="center"/>
              <w:rPr>
                <w:rFonts w:ascii="Arial" w:hAnsi="Arial" w:cs="Arial"/>
                <w:sz w:val="18"/>
                <w:szCs w:val="18"/>
              </w:rPr>
            </w:pPr>
            <w:r w:rsidRPr="00C87130">
              <w:rPr>
                <w:rFonts w:ascii="Arial" w:hAnsi="Arial" w:cs="Arial"/>
                <w:sz w:val="18"/>
                <w:szCs w:val="18"/>
                <w:lang w:val="nb-NO"/>
              </w:rPr>
              <w:t>–24.</w:t>
            </w:r>
            <w:r>
              <w:rPr>
                <w:rFonts w:ascii="Arial" w:hAnsi="Arial" w:cs="Arial"/>
                <w:sz w:val="18"/>
                <w:szCs w:val="18"/>
                <w:lang w:val="nb-NO"/>
              </w:rPr>
              <w:t>4</w:t>
            </w:r>
            <w:r w:rsidRPr="00C87130">
              <w:rPr>
                <w:rFonts w:ascii="Arial" w:hAnsi="Arial" w:cs="Arial"/>
                <w:sz w:val="18"/>
                <w:szCs w:val="18"/>
                <w:lang w:val="nb-NO"/>
              </w:rPr>
              <w:t>(</w:t>
            </w:r>
            <w:r>
              <w:rPr>
                <w:rFonts w:ascii="Arial" w:hAnsi="Arial" w:cs="Arial"/>
                <w:sz w:val="18"/>
                <w:szCs w:val="18"/>
                <w:lang w:val="nb-NO"/>
              </w:rPr>
              <w:t>1</w:t>
            </w:r>
            <w:r w:rsidRPr="00C87130">
              <w:rPr>
                <w:rFonts w:ascii="Arial" w:hAnsi="Arial" w:cs="Arial"/>
                <w:sz w:val="18"/>
                <w:szCs w:val="18"/>
                <w:lang w:val="nb-NO"/>
              </w:rPr>
              <w:t>)</w:t>
            </w:r>
          </w:p>
        </w:tc>
        <w:tc>
          <w:tcPr>
            <w:tcW w:w="1213" w:type="dxa"/>
          </w:tcPr>
          <w:p w14:paraId="405CAFD6" w14:textId="049A8C2E" w:rsidR="00FD139E" w:rsidRPr="00C87130" w:rsidRDefault="00FD139E" w:rsidP="00FD139E">
            <w:pPr>
              <w:adjustRightInd w:val="0"/>
              <w:spacing w:line="360" w:lineRule="auto"/>
              <w:contextualSpacing/>
              <w:jc w:val="center"/>
              <w:rPr>
                <w:rFonts w:ascii="Arial" w:hAnsi="Arial" w:cs="Arial"/>
                <w:sz w:val="18"/>
                <w:szCs w:val="18"/>
              </w:rPr>
            </w:pPr>
            <w:r w:rsidRPr="00C87130">
              <w:rPr>
                <w:rFonts w:ascii="Arial" w:hAnsi="Arial" w:cs="Arial"/>
                <w:sz w:val="18"/>
                <w:szCs w:val="18"/>
                <w:lang w:val="nb-NO"/>
              </w:rPr>
              <w:t>-13.6(1)</w:t>
            </w:r>
          </w:p>
        </w:tc>
        <w:tc>
          <w:tcPr>
            <w:tcW w:w="1074" w:type="dxa"/>
          </w:tcPr>
          <w:p w14:paraId="3ED26927" w14:textId="44283074" w:rsidR="00FD139E" w:rsidRPr="00C87130" w:rsidRDefault="00FD139E" w:rsidP="00FD139E">
            <w:pPr>
              <w:adjustRightInd w:val="0"/>
              <w:spacing w:line="360" w:lineRule="auto"/>
              <w:contextualSpacing/>
              <w:jc w:val="center"/>
              <w:rPr>
                <w:rFonts w:ascii="Arial" w:hAnsi="Arial" w:cs="Arial"/>
                <w:sz w:val="18"/>
                <w:szCs w:val="18"/>
              </w:rPr>
            </w:pPr>
            <w:r>
              <w:rPr>
                <w:rFonts w:ascii="Arial" w:hAnsi="Arial" w:cs="Arial"/>
                <w:sz w:val="18"/>
                <w:szCs w:val="18"/>
                <w:lang w:val="nb-NO"/>
              </w:rPr>
              <w:t>–</w:t>
            </w:r>
            <w:r w:rsidRPr="00C87130">
              <w:rPr>
                <w:rFonts w:ascii="Arial" w:hAnsi="Arial" w:cs="Arial"/>
                <w:sz w:val="18"/>
                <w:szCs w:val="18"/>
                <w:lang w:val="nb-NO"/>
              </w:rPr>
              <w:t>10.</w:t>
            </w:r>
            <w:r>
              <w:rPr>
                <w:rFonts w:ascii="Arial" w:hAnsi="Arial" w:cs="Arial"/>
                <w:sz w:val="18"/>
                <w:szCs w:val="18"/>
                <w:lang w:val="nb-NO"/>
              </w:rPr>
              <w:t>8</w:t>
            </w:r>
            <w:r w:rsidRPr="00C87130">
              <w:rPr>
                <w:rFonts w:ascii="Arial" w:hAnsi="Arial" w:cs="Arial"/>
                <w:sz w:val="18"/>
                <w:szCs w:val="18"/>
                <w:lang w:val="nb-NO"/>
              </w:rPr>
              <w:t>(</w:t>
            </w:r>
            <w:r>
              <w:rPr>
                <w:rFonts w:ascii="Arial" w:hAnsi="Arial" w:cs="Arial"/>
                <w:sz w:val="18"/>
                <w:szCs w:val="18"/>
                <w:lang w:val="nb-NO"/>
              </w:rPr>
              <w:t>2</w:t>
            </w:r>
            <w:r w:rsidRPr="00C87130">
              <w:rPr>
                <w:rFonts w:ascii="Arial" w:hAnsi="Arial" w:cs="Arial"/>
                <w:sz w:val="18"/>
                <w:szCs w:val="18"/>
                <w:lang w:val="nb-NO"/>
              </w:rPr>
              <w:t>)</w:t>
            </w:r>
          </w:p>
        </w:tc>
      </w:tr>
      <w:tr w:rsidR="00FD139E" w14:paraId="53A72B76" w14:textId="77777777" w:rsidTr="00777B4A">
        <w:tc>
          <w:tcPr>
            <w:tcW w:w="727" w:type="dxa"/>
            <w:tcBorders>
              <w:right w:val="single" w:sz="4" w:space="0" w:color="auto"/>
            </w:tcBorders>
          </w:tcPr>
          <w:p w14:paraId="380EA422" w14:textId="0E3142D9" w:rsidR="00FD139E" w:rsidRPr="00C87130" w:rsidRDefault="00FD139E" w:rsidP="00FD139E">
            <w:pPr>
              <w:adjustRightInd w:val="0"/>
              <w:spacing w:line="360" w:lineRule="auto"/>
              <w:contextualSpacing/>
              <w:jc w:val="center"/>
              <w:rPr>
                <w:rFonts w:ascii="Arial" w:hAnsi="Arial" w:cs="Arial"/>
                <w:b/>
                <w:bCs/>
                <w:sz w:val="18"/>
                <w:szCs w:val="18"/>
              </w:rPr>
            </w:pPr>
            <w:r w:rsidRPr="00C87130">
              <w:rPr>
                <w:rFonts w:ascii="Arial" w:hAnsi="Arial" w:cs="Arial"/>
                <w:b/>
                <w:bCs/>
                <w:sz w:val="18"/>
                <w:szCs w:val="18"/>
                <w:lang w:val="nb-NO"/>
              </w:rPr>
              <w:t>G</w:t>
            </w:r>
            <w:r>
              <w:rPr>
                <w:rFonts w:ascii="Arial" w:hAnsi="Arial" w:cs="Arial"/>
                <w:b/>
                <w:bCs/>
                <w:sz w:val="18"/>
                <w:szCs w:val="18"/>
                <w:lang w:val="nb-NO"/>
              </w:rPr>
              <w:t>7</w:t>
            </w:r>
          </w:p>
        </w:tc>
        <w:tc>
          <w:tcPr>
            <w:tcW w:w="1134" w:type="dxa"/>
            <w:tcBorders>
              <w:left w:val="single" w:sz="4" w:space="0" w:color="auto"/>
            </w:tcBorders>
          </w:tcPr>
          <w:p w14:paraId="24BB8285" w14:textId="2DE8179B" w:rsidR="00FD139E" w:rsidRPr="00C87130" w:rsidRDefault="00FD139E" w:rsidP="00FD139E">
            <w:pPr>
              <w:adjustRightInd w:val="0"/>
              <w:spacing w:line="360" w:lineRule="auto"/>
              <w:contextualSpacing/>
              <w:jc w:val="center"/>
              <w:rPr>
                <w:rFonts w:ascii="Arial" w:hAnsi="Arial" w:cs="Arial"/>
                <w:sz w:val="18"/>
                <w:szCs w:val="18"/>
              </w:rPr>
            </w:pPr>
            <w:r w:rsidRPr="00C87130">
              <w:rPr>
                <w:rFonts w:ascii="Arial" w:hAnsi="Arial" w:cs="Arial"/>
                <w:color w:val="000000" w:themeColor="text1"/>
                <w:sz w:val="18"/>
                <w:szCs w:val="18"/>
                <w:lang w:val="nb-NO"/>
              </w:rPr>
              <w:t>–25.4(2)</w:t>
            </w:r>
          </w:p>
        </w:tc>
        <w:tc>
          <w:tcPr>
            <w:tcW w:w="1134" w:type="dxa"/>
          </w:tcPr>
          <w:p w14:paraId="488AFDCF" w14:textId="60DEF09C" w:rsidR="00FD139E" w:rsidRPr="00C87130" w:rsidRDefault="00FD139E" w:rsidP="00FD139E">
            <w:pPr>
              <w:adjustRightInd w:val="0"/>
              <w:spacing w:line="360" w:lineRule="auto"/>
              <w:contextualSpacing/>
              <w:jc w:val="center"/>
              <w:rPr>
                <w:rFonts w:ascii="Arial" w:hAnsi="Arial" w:cs="Arial"/>
                <w:sz w:val="18"/>
                <w:szCs w:val="18"/>
              </w:rPr>
            </w:pPr>
            <w:r w:rsidRPr="00C87130">
              <w:rPr>
                <w:rFonts w:ascii="Arial" w:hAnsi="Arial" w:cs="Arial"/>
                <w:color w:val="000000" w:themeColor="text1"/>
                <w:sz w:val="18"/>
                <w:szCs w:val="18"/>
                <w:lang w:val="nb-NO"/>
              </w:rPr>
              <w:t>–24.0(6)</w:t>
            </w:r>
          </w:p>
        </w:tc>
        <w:tc>
          <w:tcPr>
            <w:tcW w:w="1067" w:type="dxa"/>
            <w:tcBorders>
              <w:right w:val="single" w:sz="4" w:space="0" w:color="auto"/>
            </w:tcBorders>
          </w:tcPr>
          <w:p w14:paraId="1737D1B5" w14:textId="6C3FF1F2" w:rsidR="00FD139E" w:rsidRPr="00C87130" w:rsidRDefault="00FD139E" w:rsidP="00FD139E">
            <w:pPr>
              <w:adjustRightInd w:val="0"/>
              <w:spacing w:line="360" w:lineRule="auto"/>
              <w:contextualSpacing/>
              <w:jc w:val="center"/>
              <w:rPr>
                <w:rFonts w:ascii="Arial" w:hAnsi="Arial" w:cs="Arial"/>
                <w:sz w:val="18"/>
                <w:szCs w:val="18"/>
              </w:rPr>
            </w:pPr>
            <w:r w:rsidRPr="00C87130">
              <w:rPr>
                <w:rFonts w:ascii="Arial" w:hAnsi="Arial" w:cs="Arial"/>
                <w:color w:val="000000" w:themeColor="text1"/>
                <w:sz w:val="18"/>
                <w:szCs w:val="18"/>
                <w:lang w:val="nb-NO"/>
              </w:rPr>
              <w:t>–1.4(</w:t>
            </w:r>
            <w:r>
              <w:rPr>
                <w:rFonts w:ascii="Arial" w:hAnsi="Arial" w:cs="Arial"/>
                <w:color w:val="000000" w:themeColor="text1"/>
                <w:sz w:val="18"/>
                <w:szCs w:val="18"/>
                <w:lang w:val="nb-NO"/>
              </w:rPr>
              <w:t>6</w:t>
            </w:r>
            <w:r w:rsidRPr="00C87130">
              <w:rPr>
                <w:rFonts w:ascii="Arial" w:hAnsi="Arial" w:cs="Arial"/>
                <w:color w:val="000000" w:themeColor="text1"/>
                <w:sz w:val="18"/>
                <w:szCs w:val="18"/>
                <w:lang w:val="nb-NO"/>
              </w:rPr>
              <w:t>)</w:t>
            </w:r>
          </w:p>
        </w:tc>
        <w:tc>
          <w:tcPr>
            <w:tcW w:w="1134" w:type="dxa"/>
            <w:tcBorders>
              <w:left w:val="single" w:sz="4" w:space="0" w:color="auto"/>
            </w:tcBorders>
          </w:tcPr>
          <w:p w14:paraId="5374C89F" w14:textId="59F86951" w:rsidR="00FD139E" w:rsidRPr="00E92849" w:rsidRDefault="00FD139E" w:rsidP="00FD139E">
            <w:pPr>
              <w:adjustRightInd w:val="0"/>
              <w:spacing w:line="360" w:lineRule="auto"/>
              <w:contextualSpacing/>
              <w:jc w:val="center"/>
              <w:rPr>
                <w:rFonts w:ascii="Arial" w:hAnsi="Arial" w:cs="Arial"/>
                <w:sz w:val="18"/>
                <w:szCs w:val="18"/>
              </w:rPr>
            </w:pPr>
            <w:r w:rsidRPr="00E92849">
              <w:rPr>
                <w:rFonts w:ascii="Arial" w:hAnsi="Arial" w:cs="Arial"/>
                <w:sz w:val="18"/>
                <w:szCs w:val="18"/>
                <w:lang w:val="nb-NO"/>
              </w:rPr>
              <w:t>–2</w:t>
            </w:r>
            <w:r>
              <w:rPr>
                <w:rFonts w:ascii="Arial" w:hAnsi="Arial" w:cs="Arial"/>
                <w:sz w:val="18"/>
                <w:szCs w:val="18"/>
                <w:lang w:val="nb-NO"/>
              </w:rPr>
              <w:t>9</w:t>
            </w:r>
            <w:r w:rsidRPr="00E92849">
              <w:rPr>
                <w:rFonts w:ascii="Arial" w:hAnsi="Arial" w:cs="Arial"/>
                <w:sz w:val="18"/>
                <w:szCs w:val="18"/>
                <w:lang w:val="nb-NO"/>
              </w:rPr>
              <w:t>.2(</w:t>
            </w:r>
            <w:r>
              <w:rPr>
                <w:rFonts w:ascii="Arial" w:hAnsi="Arial" w:cs="Arial"/>
                <w:sz w:val="18"/>
                <w:szCs w:val="18"/>
                <w:lang w:val="nb-NO"/>
              </w:rPr>
              <w:t>5</w:t>
            </w:r>
            <w:r w:rsidRPr="00E92849">
              <w:rPr>
                <w:rFonts w:ascii="Arial" w:hAnsi="Arial" w:cs="Arial"/>
                <w:sz w:val="18"/>
                <w:szCs w:val="18"/>
                <w:lang w:val="nb-NO"/>
              </w:rPr>
              <w:t>)</w:t>
            </w:r>
          </w:p>
        </w:tc>
        <w:tc>
          <w:tcPr>
            <w:tcW w:w="1213" w:type="dxa"/>
          </w:tcPr>
          <w:p w14:paraId="42415A9F" w14:textId="7623A016" w:rsidR="00FD139E" w:rsidRPr="00E92849" w:rsidRDefault="00FD139E" w:rsidP="00FD139E">
            <w:pPr>
              <w:adjustRightInd w:val="0"/>
              <w:spacing w:line="360" w:lineRule="auto"/>
              <w:contextualSpacing/>
              <w:jc w:val="center"/>
              <w:rPr>
                <w:rFonts w:ascii="Arial" w:hAnsi="Arial" w:cs="Arial"/>
                <w:sz w:val="18"/>
                <w:szCs w:val="18"/>
              </w:rPr>
            </w:pPr>
            <w:r w:rsidRPr="00E92849">
              <w:rPr>
                <w:rFonts w:ascii="Arial" w:hAnsi="Arial" w:cs="Arial"/>
                <w:sz w:val="18"/>
                <w:szCs w:val="18"/>
                <w:lang w:val="nb-NO"/>
              </w:rPr>
              <w:t>–2</w:t>
            </w:r>
            <w:r>
              <w:rPr>
                <w:rFonts w:ascii="Arial" w:hAnsi="Arial" w:cs="Arial"/>
                <w:sz w:val="18"/>
                <w:szCs w:val="18"/>
                <w:lang w:val="nb-NO"/>
              </w:rPr>
              <w:t>0</w:t>
            </w:r>
            <w:r w:rsidRPr="00E92849">
              <w:rPr>
                <w:rFonts w:ascii="Arial" w:hAnsi="Arial" w:cs="Arial"/>
                <w:sz w:val="18"/>
                <w:szCs w:val="18"/>
                <w:lang w:val="nb-NO"/>
              </w:rPr>
              <w:t>.8(</w:t>
            </w:r>
            <w:r>
              <w:rPr>
                <w:rFonts w:ascii="Arial" w:hAnsi="Arial" w:cs="Arial"/>
                <w:sz w:val="18"/>
                <w:szCs w:val="18"/>
                <w:lang w:val="nb-NO"/>
              </w:rPr>
              <w:t>3</w:t>
            </w:r>
            <w:r w:rsidRPr="00E92849">
              <w:rPr>
                <w:rFonts w:ascii="Arial" w:hAnsi="Arial" w:cs="Arial"/>
                <w:sz w:val="18"/>
                <w:szCs w:val="18"/>
                <w:lang w:val="nb-NO"/>
              </w:rPr>
              <w:t>)</w:t>
            </w:r>
          </w:p>
        </w:tc>
        <w:tc>
          <w:tcPr>
            <w:tcW w:w="1074" w:type="dxa"/>
          </w:tcPr>
          <w:p w14:paraId="603E5DF3" w14:textId="10DBA862" w:rsidR="00FD139E" w:rsidRPr="00E92849" w:rsidRDefault="00FD139E" w:rsidP="00FD139E">
            <w:pPr>
              <w:adjustRightInd w:val="0"/>
              <w:spacing w:line="360" w:lineRule="auto"/>
              <w:contextualSpacing/>
              <w:jc w:val="center"/>
              <w:rPr>
                <w:rFonts w:ascii="Arial" w:hAnsi="Arial" w:cs="Arial"/>
                <w:sz w:val="18"/>
                <w:szCs w:val="18"/>
              </w:rPr>
            </w:pPr>
            <w:r>
              <w:rPr>
                <w:rFonts w:ascii="Arial" w:hAnsi="Arial" w:cs="Arial"/>
                <w:sz w:val="18"/>
                <w:szCs w:val="18"/>
                <w:lang w:val="nb-NO"/>
              </w:rPr>
              <w:t>–8.4</w:t>
            </w:r>
            <w:r w:rsidRPr="00E92849">
              <w:rPr>
                <w:rFonts w:ascii="Arial" w:hAnsi="Arial" w:cs="Arial"/>
                <w:sz w:val="18"/>
                <w:szCs w:val="18"/>
                <w:lang w:val="nb-NO"/>
              </w:rPr>
              <w:t>(9)</w:t>
            </w:r>
          </w:p>
        </w:tc>
      </w:tr>
      <w:tr w:rsidR="00FD139E" w14:paraId="7084A61D" w14:textId="77777777" w:rsidTr="00777B4A">
        <w:tc>
          <w:tcPr>
            <w:tcW w:w="727" w:type="dxa"/>
            <w:tcBorders>
              <w:right w:val="single" w:sz="4" w:space="0" w:color="auto"/>
            </w:tcBorders>
          </w:tcPr>
          <w:p w14:paraId="05FE1FDF" w14:textId="440A93C6" w:rsidR="00FD139E" w:rsidRPr="00C87130" w:rsidRDefault="00FD139E" w:rsidP="00FD139E">
            <w:pPr>
              <w:adjustRightInd w:val="0"/>
              <w:spacing w:line="360" w:lineRule="auto"/>
              <w:contextualSpacing/>
              <w:jc w:val="center"/>
              <w:rPr>
                <w:rFonts w:ascii="Arial" w:hAnsi="Arial" w:cs="Arial"/>
                <w:b/>
                <w:bCs/>
                <w:sz w:val="18"/>
                <w:szCs w:val="18"/>
              </w:rPr>
            </w:pPr>
            <w:r w:rsidRPr="00C87130">
              <w:rPr>
                <w:rFonts w:ascii="Arial" w:hAnsi="Arial" w:cs="Arial"/>
                <w:b/>
                <w:bCs/>
                <w:sz w:val="18"/>
                <w:szCs w:val="18"/>
                <w:lang w:val="nb-NO"/>
              </w:rPr>
              <w:t>G</w:t>
            </w:r>
            <w:r>
              <w:rPr>
                <w:rFonts w:ascii="Arial" w:hAnsi="Arial" w:cs="Arial"/>
                <w:b/>
                <w:bCs/>
                <w:sz w:val="18"/>
                <w:szCs w:val="18"/>
                <w:lang w:val="nb-NO"/>
              </w:rPr>
              <w:t>8</w:t>
            </w:r>
          </w:p>
        </w:tc>
        <w:tc>
          <w:tcPr>
            <w:tcW w:w="1134" w:type="dxa"/>
            <w:tcBorders>
              <w:left w:val="single" w:sz="4" w:space="0" w:color="auto"/>
            </w:tcBorders>
          </w:tcPr>
          <w:p w14:paraId="01196DEE" w14:textId="5DA5EA22" w:rsidR="00FD139E" w:rsidRPr="00C87130" w:rsidRDefault="00FD139E" w:rsidP="00FD139E">
            <w:pPr>
              <w:adjustRightInd w:val="0"/>
              <w:spacing w:line="360" w:lineRule="auto"/>
              <w:contextualSpacing/>
              <w:jc w:val="center"/>
              <w:rPr>
                <w:rFonts w:ascii="Arial" w:hAnsi="Arial" w:cs="Arial"/>
                <w:sz w:val="18"/>
                <w:szCs w:val="18"/>
              </w:rPr>
            </w:pPr>
            <w:r w:rsidRPr="00C87130">
              <w:rPr>
                <w:rFonts w:ascii="Arial" w:hAnsi="Arial" w:cs="Arial"/>
                <w:sz w:val="18"/>
                <w:szCs w:val="18"/>
                <w:lang w:val="nb-NO"/>
              </w:rPr>
              <w:t>–34(2)</w:t>
            </w:r>
          </w:p>
        </w:tc>
        <w:tc>
          <w:tcPr>
            <w:tcW w:w="1134" w:type="dxa"/>
          </w:tcPr>
          <w:p w14:paraId="479AF49D" w14:textId="10BDB722" w:rsidR="00FD139E" w:rsidRPr="00C87130" w:rsidRDefault="00FD139E" w:rsidP="00FD139E">
            <w:pPr>
              <w:adjustRightInd w:val="0"/>
              <w:spacing w:line="360" w:lineRule="auto"/>
              <w:contextualSpacing/>
              <w:jc w:val="center"/>
              <w:rPr>
                <w:rFonts w:ascii="Arial" w:hAnsi="Arial" w:cs="Arial"/>
                <w:sz w:val="18"/>
                <w:szCs w:val="18"/>
              </w:rPr>
            </w:pPr>
            <w:r w:rsidRPr="00C87130">
              <w:rPr>
                <w:rFonts w:ascii="Arial" w:hAnsi="Arial" w:cs="Arial"/>
                <w:sz w:val="18"/>
                <w:szCs w:val="18"/>
                <w:lang w:val="nb-NO"/>
              </w:rPr>
              <w:t>–32.7(7)</w:t>
            </w:r>
          </w:p>
        </w:tc>
        <w:tc>
          <w:tcPr>
            <w:tcW w:w="1067" w:type="dxa"/>
            <w:tcBorders>
              <w:right w:val="single" w:sz="4" w:space="0" w:color="auto"/>
            </w:tcBorders>
          </w:tcPr>
          <w:p w14:paraId="1EA70ADF" w14:textId="430B3F59" w:rsidR="00FD139E" w:rsidRPr="00C87130" w:rsidRDefault="00FD139E" w:rsidP="00FD139E">
            <w:pPr>
              <w:adjustRightInd w:val="0"/>
              <w:spacing w:line="360" w:lineRule="auto"/>
              <w:contextualSpacing/>
              <w:jc w:val="center"/>
              <w:rPr>
                <w:rFonts w:ascii="Arial" w:hAnsi="Arial" w:cs="Arial"/>
                <w:sz w:val="18"/>
                <w:szCs w:val="18"/>
              </w:rPr>
            </w:pPr>
            <w:r w:rsidRPr="00C87130">
              <w:rPr>
                <w:rFonts w:ascii="Arial" w:hAnsi="Arial" w:cs="Arial"/>
                <w:sz w:val="18"/>
                <w:szCs w:val="18"/>
                <w:lang w:val="nb-NO"/>
              </w:rPr>
              <w:t>–1.7(9)</w:t>
            </w:r>
          </w:p>
        </w:tc>
        <w:tc>
          <w:tcPr>
            <w:tcW w:w="1134" w:type="dxa"/>
            <w:tcBorders>
              <w:left w:val="single" w:sz="4" w:space="0" w:color="auto"/>
            </w:tcBorders>
          </w:tcPr>
          <w:p w14:paraId="0958D82B" w14:textId="7B5A8939" w:rsidR="00FD139E" w:rsidRPr="00C87130" w:rsidRDefault="00FD139E" w:rsidP="00FD139E">
            <w:pPr>
              <w:adjustRightInd w:val="0"/>
              <w:spacing w:line="360" w:lineRule="auto"/>
              <w:contextualSpacing/>
              <w:jc w:val="center"/>
              <w:rPr>
                <w:rFonts w:ascii="Arial" w:hAnsi="Arial" w:cs="Arial"/>
                <w:sz w:val="18"/>
                <w:szCs w:val="18"/>
              </w:rPr>
            </w:pPr>
            <w:r w:rsidRPr="00C87130">
              <w:rPr>
                <w:rFonts w:ascii="Arial" w:hAnsi="Arial" w:cs="Arial"/>
                <w:sz w:val="18"/>
                <w:szCs w:val="18"/>
                <w:lang w:val="nb-NO"/>
              </w:rPr>
              <w:t>–32.1(4)</w:t>
            </w:r>
          </w:p>
        </w:tc>
        <w:tc>
          <w:tcPr>
            <w:tcW w:w="1213" w:type="dxa"/>
          </w:tcPr>
          <w:p w14:paraId="3069A437" w14:textId="4811731E" w:rsidR="00FD139E" w:rsidRPr="00C87130" w:rsidRDefault="00FD139E" w:rsidP="00FD139E">
            <w:pPr>
              <w:adjustRightInd w:val="0"/>
              <w:spacing w:line="360" w:lineRule="auto"/>
              <w:contextualSpacing/>
              <w:jc w:val="center"/>
              <w:rPr>
                <w:rFonts w:ascii="Arial" w:hAnsi="Arial" w:cs="Arial"/>
                <w:sz w:val="18"/>
                <w:szCs w:val="18"/>
              </w:rPr>
            </w:pPr>
            <w:r w:rsidRPr="00C87130">
              <w:rPr>
                <w:rFonts w:ascii="Arial" w:hAnsi="Arial" w:cs="Arial"/>
                <w:sz w:val="18"/>
                <w:szCs w:val="18"/>
                <w:lang w:val="nb-NO"/>
              </w:rPr>
              <w:t>–21.1(2)</w:t>
            </w:r>
          </w:p>
        </w:tc>
        <w:tc>
          <w:tcPr>
            <w:tcW w:w="1074" w:type="dxa"/>
          </w:tcPr>
          <w:p w14:paraId="5FCDAD77" w14:textId="1863DAD9" w:rsidR="00FD139E" w:rsidRPr="00C87130" w:rsidRDefault="00FD139E" w:rsidP="00FD139E">
            <w:pPr>
              <w:adjustRightInd w:val="0"/>
              <w:spacing w:line="360" w:lineRule="auto"/>
              <w:contextualSpacing/>
              <w:jc w:val="center"/>
              <w:rPr>
                <w:rFonts w:ascii="Arial" w:hAnsi="Arial" w:cs="Arial"/>
                <w:sz w:val="18"/>
                <w:szCs w:val="18"/>
              </w:rPr>
            </w:pPr>
            <w:r w:rsidRPr="00C87130">
              <w:rPr>
                <w:rFonts w:ascii="Arial" w:hAnsi="Arial" w:cs="Arial"/>
                <w:sz w:val="18"/>
                <w:szCs w:val="18"/>
                <w:lang w:val="nb-NO"/>
              </w:rPr>
              <w:t>–1</w:t>
            </w:r>
            <w:r>
              <w:rPr>
                <w:rFonts w:ascii="Arial" w:hAnsi="Arial" w:cs="Arial"/>
                <w:sz w:val="18"/>
                <w:szCs w:val="18"/>
                <w:lang w:val="nb-NO"/>
              </w:rPr>
              <w:t>1(1</w:t>
            </w:r>
            <w:r w:rsidRPr="00C87130">
              <w:rPr>
                <w:rFonts w:ascii="Arial" w:hAnsi="Arial" w:cs="Arial"/>
                <w:sz w:val="18"/>
                <w:szCs w:val="18"/>
                <w:lang w:val="nb-NO"/>
              </w:rPr>
              <w:t>)</w:t>
            </w:r>
          </w:p>
        </w:tc>
      </w:tr>
    </w:tbl>
    <w:p w14:paraId="06465FA2" w14:textId="10908EC6" w:rsidR="003A49CE" w:rsidRPr="003A49CE" w:rsidRDefault="003A49CE" w:rsidP="003A49CE">
      <w:pPr>
        <w:contextualSpacing/>
        <w:mirrorIndents/>
        <w:jc w:val="both"/>
        <w:rPr>
          <w:rFonts w:ascii="Arial" w:hAnsi="Arial" w:cs="Arial"/>
          <w:sz w:val="18"/>
          <w:szCs w:val="18"/>
        </w:rPr>
      </w:pPr>
      <w:r w:rsidRPr="003A49CE">
        <w:rPr>
          <w:rFonts w:ascii="Arial" w:hAnsi="Arial" w:cs="Arial"/>
          <w:sz w:val="18"/>
          <w:szCs w:val="18"/>
          <w:vertAlign w:val="superscript"/>
        </w:rPr>
        <w:t>a</w:t>
      </w:r>
      <w:r w:rsidRPr="003A49CE">
        <w:rPr>
          <w:rFonts w:ascii="Arial" w:hAnsi="Arial" w:cs="Arial"/>
          <w:sz w:val="18"/>
          <w:szCs w:val="18"/>
        </w:rPr>
        <w:t xml:space="preserve"> Data for this host-guest combination was determined as part of SAMPL4 in 50 mM borate.</w:t>
      </w:r>
      <w:r w:rsidR="00791E52" w:rsidRPr="00791E52">
        <w:rPr>
          <w:rFonts w:ascii="Arial" w:hAnsi="Arial" w:cs="Arial"/>
          <w:sz w:val="22"/>
          <w:szCs w:val="22"/>
        </w:rPr>
        <w:t xml:space="preserve"> </w:t>
      </w:r>
      <w:r w:rsidR="00791E52">
        <w:rPr>
          <w:rFonts w:ascii="Arial" w:hAnsi="Arial" w:cs="Arial"/>
          <w:sz w:val="18"/>
          <w:szCs w:val="18"/>
        </w:rPr>
        <w:fldChar w:fldCharType="begin"/>
      </w:r>
      <w:r w:rsidR="003F4B28">
        <w:rPr>
          <w:rFonts w:ascii="Arial" w:hAnsi="Arial" w:cs="Arial"/>
          <w:sz w:val="18"/>
          <w:szCs w:val="18"/>
        </w:rPr>
        <w:instrText xml:space="preserve"> ADDIN EN.CITE &lt;EndNote&gt;&lt;Cite&gt;&lt;Author&gt;Gibb&lt;/Author&gt;&lt;Year&gt;2014&lt;/Year&gt;&lt;RecNum&gt;4872&lt;/RecNum&gt;&lt;DisplayText&gt;&lt;style face="superscript"&gt;1&lt;/style&gt;&lt;/DisplayText&gt;&lt;record&gt;&lt;rec-number&gt;4872&lt;/rec-number&gt;&lt;foreign-keys&gt;&lt;key app="EN" db-id="pxrzewzacrw0saexxdjpat0cfwxetts5eetx" timestamp="1389371835"&gt;4872&lt;/key&gt;&lt;/foreign-keys&gt;&lt;ref-type name="Journal Article"&gt;17&lt;/ref-type&gt;&lt;contributors&gt;&lt;authors&gt;&lt;author&gt;Gibb, C. L. D.&lt;/author&gt;&lt;author&gt;Gibb, B. C.&lt;/author&gt;&lt;/authors&gt;&lt;/contributors&gt;&lt;auth-address&gt;Department of Chemistry, Tulane University, New Orleans, LA, 70118, USA.&lt;/auth-address&gt;&lt;titles&gt;&lt;title&gt;Binding of cyclic carboxylates to octa-acid deep-cavity cavitand&lt;/title&gt;&lt;secondary-title&gt;J Comput Aided Mol Des&lt;/secondary-title&gt;&lt;alt-title&gt;Journal of computer-aided molecular design&lt;/alt-title&gt;&lt;/titles&gt;&lt;periodical&gt;&lt;full-title&gt;Journal of Computer-Aided Molecular Design&lt;/full-title&gt;&lt;abbr-1&gt;J. Comput. Aided Mol. Des.&lt;/abbr-1&gt;&lt;abbr-2&gt;J Comput Aided Mol Des&lt;/abbr-2&gt;&lt;/periodical&gt;&lt;alt-periodical&gt;&lt;full-title&gt;Journal of Computer-Aided Molecular Design&lt;/full-title&gt;&lt;abbr-1&gt;J. Comput. Aided Mol. Des.&lt;/abbr-1&gt;&lt;abbr-2&gt;J Comput Aided Mol Des&lt;/abbr-2&gt;&lt;/alt-periodical&gt;&lt;pages&gt;319-25&lt;/pages&gt;&lt;volume&gt;28&lt;/volume&gt;&lt;number&gt;4&lt;/number&gt;&lt;keywords&gt;&lt;keyword&gt;Benzoates/chemistry&lt;/keyword&gt;&lt;keyword&gt;Binding Sites&lt;/keyword&gt;&lt;keyword&gt;Carboxylic Acids/*chemistry&lt;/keyword&gt;&lt;keyword&gt;Cyclization&lt;/keyword&gt;&lt;keyword&gt;Ethers, Cyclic/*chemistry&lt;/keyword&gt;&lt;keyword&gt;Models, Molecular&lt;/keyword&gt;&lt;keyword&gt;Resorcinols/*chemistry&lt;/keyword&gt;&lt;keyword&gt;Thermodynamics&lt;/keyword&gt;&lt;/keywords&gt;&lt;dates&gt;&lt;year&gt;2014&lt;/year&gt;&lt;pub-dates&gt;&lt;date&gt;Apr&lt;/date&gt;&lt;/pub-dates&gt;&lt;/dates&gt;&lt;isbn&gt;1573-4951 (Electronic)&amp;#xD;0920-654X (Linking)&lt;/isbn&gt;&lt;accession-num&gt;24218290&lt;/accession-num&gt;&lt;urls&gt;&lt;related-urls&gt;&lt;url&gt;http://www.ncbi.nlm.nih.gov/pubmed/24218290&lt;/url&gt;&lt;/related-urls&gt;&lt;/urls&gt;&lt;custom2&gt;4018434&lt;/custom2&gt;&lt;electronic-resource-num&gt;10.1007/s10822-013-9690-2&lt;/electronic-resource-num&gt;&lt;/record&gt;&lt;/Cite&gt;&lt;/EndNote&gt;</w:instrText>
      </w:r>
      <w:r w:rsidR="00791E52">
        <w:rPr>
          <w:rFonts w:ascii="Arial" w:hAnsi="Arial" w:cs="Arial"/>
          <w:sz w:val="18"/>
          <w:szCs w:val="18"/>
        </w:rPr>
        <w:fldChar w:fldCharType="separate"/>
      </w:r>
      <w:r w:rsidR="003F4B28" w:rsidRPr="003F4B28">
        <w:rPr>
          <w:rFonts w:ascii="Arial" w:hAnsi="Arial" w:cs="Arial"/>
          <w:noProof/>
          <w:sz w:val="18"/>
          <w:szCs w:val="18"/>
          <w:vertAlign w:val="superscript"/>
        </w:rPr>
        <w:t>1</w:t>
      </w:r>
      <w:r w:rsidR="00791E52">
        <w:rPr>
          <w:rFonts w:ascii="Arial" w:hAnsi="Arial" w:cs="Arial"/>
          <w:sz w:val="18"/>
          <w:szCs w:val="18"/>
        </w:rPr>
        <w:fldChar w:fldCharType="end"/>
      </w:r>
    </w:p>
    <w:p w14:paraId="54CF70BD" w14:textId="5E8576D4" w:rsidR="003A49CE" w:rsidRDefault="003A49CE" w:rsidP="003A49CE">
      <w:pPr>
        <w:contextualSpacing/>
        <w:mirrorIndents/>
        <w:jc w:val="both"/>
        <w:rPr>
          <w:rFonts w:ascii="Arial" w:hAnsi="Arial" w:cs="Arial"/>
          <w:sz w:val="18"/>
          <w:szCs w:val="18"/>
        </w:rPr>
      </w:pPr>
      <w:r w:rsidRPr="003A49CE">
        <w:rPr>
          <w:rFonts w:ascii="Arial" w:hAnsi="Arial" w:cs="Arial"/>
          <w:sz w:val="18"/>
          <w:szCs w:val="18"/>
          <w:vertAlign w:val="superscript"/>
        </w:rPr>
        <w:t>b</w:t>
      </w:r>
      <w:r w:rsidRPr="003A49CE">
        <w:rPr>
          <w:rFonts w:ascii="Arial" w:hAnsi="Arial" w:cs="Arial"/>
          <w:sz w:val="18"/>
          <w:szCs w:val="18"/>
        </w:rPr>
        <w:t xml:space="preserve"> No binding </w:t>
      </w:r>
      <w:r w:rsidR="00791E52">
        <w:rPr>
          <w:rFonts w:ascii="Arial" w:hAnsi="Arial" w:cs="Arial"/>
          <w:sz w:val="18"/>
          <w:szCs w:val="18"/>
        </w:rPr>
        <w:t>observed</w:t>
      </w:r>
      <w:r w:rsidRPr="003A49CE">
        <w:rPr>
          <w:rFonts w:ascii="Arial" w:hAnsi="Arial" w:cs="Arial"/>
          <w:sz w:val="18"/>
          <w:szCs w:val="18"/>
        </w:rPr>
        <w:t>.</w:t>
      </w:r>
    </w:p>
    <w:p w14:paraId="412C8F70" w14:textId="21EE3CAE" w:rsidR="00820138" w:rsidRPr="003A49CE" w:rsidRDefault="00820138" w:rsidP="003A49CE">
      <w:pPr>
        <w:contextualSpacing/>
        <w:mirrorIndents/>
        <w:jc w:val="both"/>
        <w:rPr>
          <w:rFonts w:ascii="Arial" w:hAnsi="Arial" w:cs="Arial"/>
          <w:sz w:val="18"/>
          <w:szCs w:val="18"/>
        </w:rPr>
      </w:pPr>
      <w:r>
        <w:rPr>
          <w:rFonts w:ascii="Arial" w:hAnsi="Arial" w:cs="Arial"/>
          <w:sz w:val="18"/>
          <w:szCs w:val="18"/>
        </w:rPr>
        <w:t xml:space="preserve">C Determined by </w:t>
      </w:r>
      <w:r w:rsidRPr="0065043E">
        <w:rPr>
          <w:rFonts w:ascii="Arial" w:hAnsi="Arial" w:cs="Arial"/>
          <w:sz w:val="18"/>
          <w:szCs w:val="18"/>
          <w:vertAlign w:val="superscript"/>
        </w:rPr>
        <w:t>1</w:t>
      </w:r>
      <w:r>
        <w:rPr>
          <w:rFonts w:ascii="Arial" w:hAnsi="Arial" w:cs="Arial"/>
          <w:sz w:val="18"/>
          <w:szCs w:val="18"/>
        </w:rPr>
        <w:t>H NMR spectr</w:t>
      </w:r>
      <w:r w:rsidR="0065043E">
        <w:rPr>
          <w:rFonts w:ascii="Arial" w:hAnsi="Arial" w:cs="Arial"/>
          <w:sz w:val="18"/>
          <w:szCs w:val="18"/>
        </w:rPr>
        <w:t>oscopy.</w:t>
      </w:r>
    </w:p>
    <w:p w14:paraId="3524E6EA" w14:textId="4C4F554C" w:rsidR="003A49CE" w:rsidRPr="00791E52" w:rsidRDefault="00820138" w:rsidP="003A49CE">
      <w:pPr>
        <w:contextualSpacing/>
        <w:mirrorIndents/>
        <w:jc w:val="both"/>
        <w:rPr>
          <w:rFonts w:ascii="Arial" w:hAnsi="Arial" w:cs="Arial"/>
          <w:sz w:val="18"/>
          <w:szCs w:val="18"/>
        </w:rPr>
      </w:pPr>
      <w:r>
        <w:rPr>
          <w:rFonts w:ascii="Arial" w:hAnsi="Arial" w:cs="Arial"/>
          <w:sz w:val="18"/>
          <w:szCs w:val="18"/>
          <w:vertAlign w:val="superscript"/>
        </w:rPr>
        <w:t>d</w:t>
      </w:r>
      <w:r w:rsidR="003A49CE" w:rsidRPr="003A49CE">
        <w:rPr>
          <w:rFonts w:ascii="Arial" w:hAnsi="Arial" w:cs="Arial"/>
          <w:sz w:val="18"/>
          <w:szCs w:val="18"/>
        </w:rPr>
        <w:t xml:space="preserve"> Data for this host-guest combination was determined as part of SAMPL5 in 50 mM </w:t>
      </w:r>
      <w:r w:rsidR="003A49CE" w:rsidRPr="00791E52">
        <w:rPr>
          <w:rFonts w:ascii="Arial" w:hAnsi="Arial" w:cs="Arial"/>
          <w:sz w:val="18"/>
          <w:szCs w:val="18"/>
        </w:rPr>
        <w:t>phosphate.</w:t>
      </w:r>
      <w:r w:rsidR="00791E52">
        <w:rPr>
          <w:rFonts w:ascii="Arial" w:hAnsi="Arial" w:cs="Arial"/>
          <w:sz w:val="18"/>
          <w:szCs w:val="18"/>
        </w:rPr>
        <w:fldChar w:fldCharType="begin">
          <w:fldData xml:space="preserve">PEVuZE5vdGU+PENpdGU+PEF1dGhvcj5TdWxsaXZhbjwvQXV0aG9yPjxZZWFyPjIwMTc8L1llYXI+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=
</w:fldData>
        </w:fldChar>
      </w:r>
      <w:r w:rsidR="003F4B28">
        <w:rPr>
          <w:rFonts w:ascii="Arial" w:hAnsi="Arial" w:cs="Arial"/>
          <w:sz w:val="18"/>
          <w:szCs w:val="18"/>
        </w:rPr>
        <w:instrText xml:space="preserve"> ADDIN EN.CITE </w:instrText>
      </w:r>
      <w:r w:rsidR="003F4B28">
        <w:rPr>
          <w:rFonts w:ascii="Arial" w:hAnsi="Arial" w:cs="Arial"/>
          <w:sz w:val="18"/>
          <w:szCs w:val="18"/>
        </w:rPr>
        <w:fldChar w:fldCharType="begin">
          <w:fldData xml:space="preserve">PEVuZE5vdGU+PENpdGU+PEF1dGhvcj5TdWxsaXZhbjwvQXV0aG9yPjxZZWFyPjIwMTc8L1llYXI+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=
</w:fldData>
        </w:fldChar>
      </w:r>
      <w:r w:rsidR="003F4B28">
        <w:rPr>
          <w:rFonts w:ascii="Arial" w:hAnsi="Arial" w:cs="Arial"/>
          <w:sz w:val="18"/>
          <w:szCs w:val="18"/>
        </w:rPr>
        <w:instrText xml:space="preserve"> ADDIN EN.CITE.DATA </w:instrText>
      </w:r>
      <w:r w:rsidR="003F4B28">
        <w:rPr>
          <w:rFonts w:ascii="Arial" w:hAnsi="Arial" w:cs="Arial"/>
          <w:sz w:val="18"/>
          <w:szCs w:val="18"/>
        </w:rPr>
      </w:r>
      <w:r w:rsidR="003F4B28">
        <w:rPr>
          <w:rFonts w:ascii="Arial" w:hAnsi="Arial" w:cs="Arial"/>
          <w:sz w:val="18"/>
          <w:szCs w:val="18"/>
        </w:rPr>
        <w:fldChar w:fldCharType="end"/>
      </w:r>
      <w:r w:rsidR="00791E52">
        <w:rPr>
          <w:rFonts w:ascii="Arial" w:hAnsi="Arial" w:cs="Arial"/>
          <w:sz w:val="18"/>
          <w:szCs w:val="18"/>
        </w:rPr>
      </w:r>
      <w:r w:rsidR="00791E52">
        <w:rPr>
          <w:rFonts w:ascii="Arial" w:hAnsi="Arial" w:cs="Arial"/>
          <w:sz w:val="18"/>
          <w:szCs w:val="18"/>
        </w:rPr>
        <w:fldChar w:fldCharType="separate"/>
      </w:r>
      <w:r w:rsidR="003F4B28" w:rsidRPr="003F4B28">
        <w:rPr>
          <w:rFonts w:ascii="Arial" w:hAnsi="Arial" w:cs="Arial"/>
          <w:noProof/>
          <w:sz w:val="18"/>
          <w:szCs w:val="18"/>
          <w:vertAlign w:val="superscript"/>
        </w:rPr>
        <w:t>2</w:t>
      </w:r>
      <w:r w:rsidR="00791E52">
        <w:rPr>
          <w:rFonts w:ascii="Arial" w:hAnsi="Arial" w:cs="Arial"/>
          <w:sz w:val="18"/>
          <w:szCs w:val="18"/>
        </w:rPr>
        <w:fldChar w:fldCharType="end"/>
      </w:r>
      <w:r w:rsidR="00791E52" w:rsidRPr="00791E52">
        <w:rPr>
          <w:rFonts w:ascii="Arial" w:hAnsi="Arial" w:cs="Arial"/>
          <w:sz w:val="18"/>
          <w:szCs w:val="18"/>
        </w:rPr>
        <w:t xml:space="preserve">  </w:t>
      </w:r>
    </w:p>
    <w:p w14:paraId="1154C34A" w14:textId="77777777" w:rsidR="002318B4" w:rsidRDefault="002318B4" w:rsidP="00CF2A51">
      <w:pPr>
        <w:adjustRightInd w:val="0"/>
        <w:spacing w:line="360" w:lineRule="auto"/>
        <w:contextualSpacing/>
        <w:rPr>
          <w:rFonts w:ascii="Arial" w:hAnsi="Arial" w:cs="Arial"/>
          <w:sz w:val="22"/>
          <w:szCs w:val="22"/>
        </w:rPr>
      </w:pPr>
      <w:r>
        <w:rPr>
          <w:rFonts w:ascii="Arial" w:hAnsi="Arial" w:cs="Arial"/>
          <w:sz w:val="22"/>
          <w:szCs w:val="22"/>
        </w:rPr>
        <w:tab/>
      </w:r>
    </w:p>
    <w:p w14:paraId="16860033" w14:textId="58884B70" w:rsidR="00DF081F" w:rsidRPr="00DF081F" w:rsidRDefault="00DF081F" w:rsidP="00DF081F">
      <w:pPr>
        <w:shd w:val="clear" w:color="auto" w:fill="FFFFFF"/>
        <w:spacing w:after="100"/>
        <w:rPr>
          <w:rFonts w:ascii="Arial" w:eastAsia="Times New Roman" w:hAnsi="Arial" w:cs="Arial"/>
          <w:color w:val="222222"/>
          <w:lang w:eastAsia="en-US"/>
        </w:rPr>
      </w:pPr>
      <w:r w:rsidRPr="00DF081F">
        <w:rPr>
          <w:rFonts w:ascii="Arial" w:eastAsia="Times New Roman" w:hAnsi="Arial" w:cs="Arial"/>
          <w:color w:val="222222"/>
          <w:lang w:eastAsia="en-US"/>
        </w:rPr>
        <w:t>The numbers in parentheses are the indicated errors in the last digit, e.g. 19(1) indicates 19±1, and 20.2(3) indicates 20.2 ± 0.3.  All uncertainties were determined by taking the standard deviation of three different ITC runs (each experiment is triplicated, or in some instances, quadruplicated). The three runs were performed on two different instruments set to the same experimental parameters, and the runs were performed using three different solutions of host, and three different solutions of guest. The three different solutions (of host and guest) were made using the same stock of sample. The numerical errors also account for slight (&lt;5%) variations in buffer and solute concentrations.</w:t>
      </w:r>
      <w:r w:rsidRPr="00DF081F">
        <w:rPr>
          <w:rFonts w:ascii="Arial" w:eastAsia="Times New Roman" w:hAnsi="Arial" w:cs="Arial"/>
          <w:color w:val="222222"/>
          <w:lang w:eastAsia="en-US"/>
        </w:rPr>
        <w:br/>
      </w:r>
      <w:r w:rsidRPr="00DF081F">
        <w:rPr>
          <w:rFonts w:ascii="Arial" w:eastAsia="Times New Roman" w:hAnsi="Arial" w:cs="Arial"/>
          <w:color w:val="222222"/>
          <w:lang w:eastAsia="en-US"/>
        </w:rPr>
        <w:br/>
        <w:t>No evidence of binding could be observed by ITC for G</w:t>
      </w:r>
      <w:r w:rsidR="00FD139E">
        <w:rPr>
          <w:rFonts w:ascii="Arial" w:eastAsia="Times New Roman" w:hAnsi="Arial" w:cs="Arial"/>
          <w:color w:val="222222"/>
          <w:lang w:eastAsia="en-US"/>
        </w:rPr>
        <w:t>4</w:t>
      </w:r>
      <w:r w:rsidRPr="00DF081F">
        <w:rPr>
          <w:rFonts w:ascii="Arial" w:eastAsia="Times New Roman" w:hAnsi="Arial" w:cs="Arial"/>
          <w:color w:val="222222"/>
          <w:lang w:eastAsia="en-US"/>
        </w:rPr>
        <w:t>@exo-OA; similarly, no clear evidence of binding could be observed by 1H NMR spectroscopy, indicating a binding constant Ka(G</w:t>
      </w:r>
      <w:r w:rsidR="00FD139E">
        <w:rPr>
          <w:rFonts w:ascii="Arial" w:eastAsia="Times New Roman" w:hAnsi="Arial" w:cs="Arial"/>
          <w:color w:val="222222"/>
          <w:lang w:eastAsia="en-US"/>
        </w:rPr>
        <w:t>1</w:t>
      </w:r>
      <w:r w:rsidRPr="00DF081F">
        <w:rPr>
          <w:rFonts w:ascii="Arial" w:eastAsia="Times New Roman" w:hAnsi="Arial" w:cs="Arial"/>
          <w:color w:val="222222"/>
          <w:lang w:eastAsia="en-US"/>
        </w:rPr>
        <w:t>@exo-OA) &lt; 5. Very weak binding was observed via ITC for G2@exo-OA, so much so that 1H NMR was the only way to determine a binding constant. All 1H NMR titrations were done in triplicate, with similar solution preparation as those of the ITC experiments.</w:t>
      </w:r>
    </w:p>
    <w:p w14:paraId="03C12E42" w14:textId="77777777" w:rsidR="00DF081F" w:rsidRDefault="00DF081F" w:rsidP="00CF2A51">
      <w:pPr>
        <w:adjustRightInd w:val="0"/>
        <w:spacing w:line="360" w:lineRule="auto"/>
        <w:contextualSpacing/>
        <w:jc w:val="both"/>
        <w:rPr>
          <w:rFonts w:ascii="Arial" w:hAnsi="Arial" w:cs="Arial"/>
          <w:b/>
          <w:bCs/>
          <w:sz w:val="22"/>
          <w:szCs w:val="22"/>
        </w:rPr>
      </w:pPr>
    </w:p>
    <w:p w14:paraId="325A160D" w14:textId="77777777" w:rsidR="00DF081F" w:rsidRDefault="00DF081F" w:rsidP="00CF2A51">
      <w:pPr>
        <w:adjustRightInd w:val="0"/>
        <w:spacing w:line="360" w:lineRule="auto"/>
        <w:contextualSpacing/>
        <w:jc w:val="both"/>
        <w:rPr>
          <w:rFonts w:ascii="Arial" w:hAnsi="Arial" w:cs="Arial"/>
          <w:b/>
          <w:bCs/>
          <w:sz w:val="22"/>
          <w:szCs w:val="22"/>
        </w:rPr>
      </w:pPr>
    </w:p>
    <w:p w14:paraId="69DAAC4C" w14:textId="25185AA4" w:rsidR="005C5BCF" w:rsidRPr="003905B3" w:rsidRDefault="005C5BCF" w:rsidP="00CF2A51">
      <w:pPr>
        <w:adjustRightInd w:val="0"/>
        <w:spacing w:line="360" w:lineRule="auto"/>
        <w:contextualSpacing/>
        <w:jc w:val="both"/>
        <w:rPr>
          <w:rFonts w:ascii="Arial" w:hAnsi="Arial" w:cs="Arial"/>
          <w:b/>
          <w:bCs/>
          <w:sz w:val="22"/>
          <w:szCs w:val="22"/>
        </w:rPr>
      </w:pPr>
      <w:r w:rsidRPr="003905B3">
        <w:rPr>
          <w:rFonts w:ascii="Arial" w:hAnsi="Arial" w:cs="Arial"/>
          <w:b/>
          <w:bCs/>
          <w:sz w:val="22"/>
          <w:szCs w:val="22"/>
        </w:rPr>
        <w:t>References</w:t>
      </w:r>
    </w:p>
    <w:p w14:paraId="651AEDA5" w14:textId="77777777" w:rsidR="003F4B28" w:rsidRPr="003F4B28" w:rsidRDefault="00C74F60" w:rsidP="003F4B28">
      <w:pPr>
        <w:pStyle w:val="EndNoteBibliography"/>
        <w:spacing w:after="0"/>
        <w:ind w:left="720" w:hanging="720"/>
        <w:rPr>
          <w:noProof/>
        </w:rPr>
      </w:pPr>
      <w:r>
        <w:rPr>
          <w:szCs w:val="22"/>
        </w:rPr>
        <w:fldChar w:fldCharType="begin"/>
      </w:r>
      <w:r>
        <w:rPr>
          <w:szCs w:val="22"/>
        </w:rPr>
        <w:instrText xml:space="preserve"> ADDIN EN.REFLIST </w:instrText>
      </w:r>
      <w:r>
        <w:rPr>
          <w:szCs w:val="22"/>
        </w:rPr>
        <w:fldChar w:fldCharType="separate"/>
      </w:r>
      <w:r w:rsidR="003F4B28" w:rsidRPr="003F4B28">
        <w:rPr>
          <w:noProof/>
        </w:rPr>
        <w:t>1.</w:t>
      </w:r>
      <w:r w:rsidR="003F4B28" w:rsidRPr="003F4B28">
        <w:rPr>
          <w:noProof/>
        </w:rPr>
        <w:tab/>
        <w:t xml:space="preserve">Gibb C. L. D., Gibb B. C. </w:t>
      </w:r>
      <w:r w:rsidR="003F4B28" w:rsidRPr="003F4B28">
        <w:rPr>
          <w:i/>
          <w:noProof/>
        </w:rPr>
        <w:t>Binding of cyclic carboxylates to octa-acid deep-cavity cavitand</w:t>
      </w:r>
      <w:r w:rsidR="003F4B28" w:rsidRPr="003F4B28">
        <w:rPr>
          <w:noProof/>
        </w:rPr>
        <w:t xml:space="preserve">. J. Comput. Aided Mol. Des., </w:t>
      </w:r>
      <w:r w:rsidR="003F4B28" w:rsidRPr="003F4B28">
        <w:rPr>
          <w:b/>
          <w:noProof/>
        </w:rPr>
        <w:t>2014</w:t>
      </w:r>
      <w:r w:rsidR="003F4B28" w:rsidRPr="003F4B28">
        <w:rPr>
          <w:noProof/>
        </w:rPr>
        <w:t xml:space="preserve">, </w:t>
      </w:r>
      <w:r w:rsidR="003F4B28" w:rsidRPr="003F4B28">
        <w:rPr>
          <w:i/>
          <w:noProof/>
        </w:rPr>
        <w:t>28</w:t>
      </w:r>
      <w:r w:rsidR="003F4B28" w:rsidRPr="003F4B28">
        <w:rPr>
          <w:noProof/>
        </w:rPr>
        <w:t>(4), 319-25. doi: 10.1007/s10822-013-9690-2. PubMed PMID: 24218290; PubMed Central PMCID: PMC4018434.</w:t>
      </w:r>
    </w:p>
    <w:p w14:paraId="5617A142" w14:textId="77777777" w:rsidR="003F4B28" w:rsidRPr="003F4B28" w:rsidRDefault="003F4B28" w:rsidP="003F4B28">
      <w:pPr>
        <w:pStyle w:val="EndNoteBibliography"/>
        <w:ind w:left="720" w:hanging="720"/>
        <w:rPr>
          <w:noProof/>
        </w:rPr>
      </w:pPr>
      <w:r w:rsidRPr="003F4B28">
        <w:rPr>
          <w:noProof/>
        </w:rPr>
        <w:t>2.</w:t>
      </w:r>
      <w:r w:rsidRPr="003F4B28">
        <w:rPr>
          <w:noProof/>
        </w:rPr>
        <w:tab/>
        <w:t xml:space="preserve">Sullivan M. R., Sokkalingam P., Nguyen T., Donahue J. P., Gibb B. C. </w:t>
      </w:r>
      <w:r w:rsidRPr="003F4B28">
        <w:rPr>
          <w:i/>
          <w:noProof/>
        </w:rPr>
        <w:t>Binding of carboxylate and trimethylammonium salts to octa-acid and TEMOA deep-cavity cavitands</w:t>
      </w:r>
      <w:r w:rsidRPr="003F4B28">
        <w:rPr>
          <w:noProof/>
        </w:rPr>
        <w:t xml:space="preserve">. </w:t>
      </w:r>
      <w:r w:rsidRPr="003F4B28">
        <w:rPr>
          <w:noProof/>
        </w:rPr>
        <w:lastRenderedPageBreak/>
        <w:t xml:space="preserve">J. Comput. Aided Mol. Des., </w:t>
      </w:r>
      <w:r w:rsidRPr="003F4B28">
        <w:rPr>
          <w:b/>
          <w:noProof/>
        </w:rPr>
        <w:t>2017</w:t>
      </w:r>
      <w:r w:rsidRPr="003F4B28">
        <w:rPr>
          <w:noProof/>
        </w:rPr>
        <w:t xml:space="preserve">, </w:t>
      </w:r>
      <w:r w:rsidRPr="003F4B28">
        <w:rPr>
          <w:i/>
          <w:noProof/>
        </w:rPr>
        <w:t>31</w:t>
      </w:r>
      <w:r w:rsidRPr="003F4B28">
        <w:rPr>
          <w:noProof/>
        </w:rPr>
        <w:t>(1), 21-8. Epub 2016/07/20. doi: 10.1007/s10822-016-9925-0. PubMed PMID: 27432339; PubMed Central PMCID: PMCPMC5571645.</w:t>
      </w:r>
    </w:p>
    <w:p w14:paraId="38B49918" w14:textId="16F5284C" w:rsidR="00236BE7" w:rsidRPr="00533B0C" w:rsidRDefault="00C74F60" w:rsidP="00CF2A51">
      <w:pPr>
        <w:adjustRightInd w:val="0"/>
        <w:spacing w:line="360" w:lineRule="auto"/>
        <w:contextualSpacing/>
        <w:jc w:val="both"/>
        <w:rPr>
          <w:rFonts w:ascii="Arial" w:hAnsi="Arial" w:cs="Arial"/>
          <w:sz w:val="22"/>
          <w:szCs w:val="22"/>
        </w:rPr>
      </w:pPr>
      <w:r>
        <w:rPr>
          <w:rFonts w:ascii="Arial" w:hAnsi="Arial" w:cs="Arial"/>
          <w:sz w:val="22"/>
          <w:szCs w:val="22"/>
        </w:rPr>
        <w:fldChar w:fldCharType="end"/>
      </w:r>
    </w:p>
    <w:sectPr w:rsidR="00236BE7" w:rsidRPr="00533B0C" w:rsidSect="00533B0C">
      <w:footerReference w:type="even" r:id="rId10"/>
      <w:footerReference w:type="default" r:id="rId11"/>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5D8019" w14:textId="77777777" w:rsidR="00BB292C" w:rsidRDefault="00BB292C" w:rsidP="00647891">
      <w:pPr>
        <w:spacing w:after="0"/>
      </w:pPr>
      <w:r>
        <w:separator/>
      </w:r>
    </w:p>
  </w:endnote>
  <w:endnote w:type="continuationSeparator" w:id="0">
    <w:p w14:paraId="3058A4F7" w14:textId="77777777" w:rsidR="00BB292C" w:rsidRDefault="00BB292C" w:rsidP="006478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60983370"/>
      <w:docPartObj>
        <w:docPartGallery w:val="Page Numbers (Bottom of Page)"/>
        <w:docPartUnique/>
      </w:docPartObj>
    </w:sdtPr>
    <w:sdtEndPr>
      <w:rPr>
        <w:rStyle w:val="PageNumber"/>
      </w:rPr>
    </w:sdtEndPr>
    <w:sdtContent>
      <w:p w14:paraId="3783C26D" w14:textId="6461DF3A" w:rsidR="009B0EAE" w:rsidRDefault="009B0EAE" w:rsidP="00F6490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719C3E" w14:textId="77777777" w:rsidR="009B0EAE" w:rsidRDefault="009B0EAE" w:rsidP="006478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sz w:val="22"/>
        <w:szCs w:val="22"/>
      </w:rPr>
      <w:id w:val="1092198147"/>
      <w:docPartObj>
        <w:docPartGallery w:val="Page Numbers (Bottom of Page)"/>
        <w:docPartUnique/>
      </w:docPartObj>
    </w:sdtPr>
    <w:sdtEndPr>
      <w:rPr>
        <w:rStyle w:val="PageNumber"/>
      </w:rPr>
    </w:sdtEndPr>
    <w:sdtContent>
      <w:p w14:paraId="001FE33A" w14:textId="056386F1" w:rsidR="009B0EAE" w:rsidRPr="00791E52" w:rsidRDefault="009B0EAE" w:rsidP="00F64903">
        <w:pPr>
          <w:pStyle w:val="Footer"/>
          <w:framePr w:wrap="none" w:vAnchor="text" w:hAnchor="margin" w:xAlign="right" w:y="1"/>
          <w:rPr>
            <w:rStyle w:val="PageNumber"/>
            <w:rFonts w:ascii="Arial" w:hAnsi="Arial" w:cs="Arial"/>
            <w:sz w:val="22"/>
            <w:szCs w:val="22"/>
          </w:rPr>
        </w:pPr>
        <w:r w:rsidRPr="00791E52">
          <w:rPr>
            <w:rStyle w:val="PageNumber"/>
            <w:rFonts w:ascii="Arial" w:hAnsi="Arial" w:cs="Arial"/>
            <w:sz w:val="22"/>
            <w:szCs w:val="22"/>
          </w:rPr>
          <w:fldChar w:fldCharType="begin"/>
        </w:r>
        <w:r w:rsidRPr="00791E52">
          <w:rPr>
            <w:rStyle w:val="PageNumber"/>
            <w:rFonts w:ascii="Arial" w:hAnsi="Arial" w:cs="Arial"/>
            <w:sz w:val="22"/>
            <w:szCs w:val="22"/>
          </w:rPr>
          <w:instrText xml:space="preserve"> PAGE </w:instrText>
        </w:r>
        <w:r w:rsidRPr="00791E52">
          <w:rPr>
            <w:rStyle w:val="PageNumber"/>
            <w:rFonts w:ascii="Arial" w:hAnsi="Arial" w:cs="Arial"/>
            <w:sz w:val="22"/>
            <w:szCs w:val="22"/>
          </w:rPr>
          <w:fldChar w:fldCharType="separate"/>
        </w:r>
        <w:r w:rsidRPr="00791E52">
          <w:rPr>
            <w:rStyle w:val="PageNumber"/>
            <w:rFonts w:ascii="Arial" w:hAnsi="Arial" w:cs="Arial"/>
            <w:noProof/>
            <w:sz w:val="22"/>
            <w:szCs w:val="22"/>
          </w:rPr>
          <w:t>1</w:t>
        </w:r>
        <w:r w:rsidRPr="00791E52">
          <w:rPr>
            <w:rStyle w:val="PageNumber"/>
            <w:rFonts w:ascii="Arial" w:hAnsi="Arial" w:cs="Arial"/>
            <w:sz w:val="22"/>
            <w:szCs w:val="22"/>
          </w:rPr>
          <w:fldChar w:fldCharType="end"/>
        </w:r>
      </w:p>
    </w:sdtContent>
  </w:sdt>
  <w:p w14:paraId="4E5DD0CB" w14:textId="77777777" w:rsidR="009B0EAE" w:rsidRPr="00791E52" w:rsidRDefault="009B0EAE" w:rsidP="00647891">
    <w:pPr>
      <w:pStyle w:val="Footer"/>
      <w:ind w:right="360"/>
      <w:rPr>
        <w:rFonts w:ascii="Arial" w:hAnsi="Arial" w:cs="Arial"/>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01D638" w14:textId="77777777" w:rsidR="00BB292C" w:rsidRDefault="00BB292C" w:rsidP="00647891">
      <w:pPr>
        <w:spacing w:after="0"/>
      </w:pPr>
      <w:r>
        <w:separator/>
      </w:r>
    </w:p>
  </w:footnote>
  <w:footnote w:type="continuationSeparator" w:id="0">
    <w:p w14:paraId="4E859339" w14:textId="77777777" w:rsidR="00BB292C" w:rsidRDefault="00BB292C" w:rsidP="0064789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604F89"/>
    <w:multiLevelType w:val="hybridMultilevel"/>
    <w:tmpl w:val="FDFAE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NIH Copy&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E60784"/>
    <w:rsid w:val="00000F3C"/>
    <w:rsid w:val="00012101"/>
    <w:rsid w:val="0003035F"/>
    <w:rsid w:val="00030515"/>
    <w:rsid w:val="00040272"/>
    <w:rsid w:val="00053B2C"/>
    <w:rsid w:val="000565F1"/>
    <w:rsid w:val="00072CA1"/>
    <w:rsid w:val="0007463F"/>
    <w:rsid w:val="000749BC"/>
    <w:rsid w:val="0007799E"/>
    <w:rsid w:val="00085ADB"/>
    <w:rsid w:val="00095941"/>
    <w:rsid w:val="000A0F9E"/>
    <w:rsid w:val="000A3909"/>
    <w:rsid w:val="000A51BF"/>
    <w:rsid w:val="000B27C9"/>
    <w:rsid w:val="000E5644"/>
    <w:rsid w:val="00111BFE"/>
    <w:rsid w:val="00120B67"/>
    <w:rsid w:val="00133ECD"/>
    <w:rsid w:val="00176CB1"/>
    <w:rsid w:val="00181F92"/>
    <w:rsid w:val="001A2612"/>
    <w:rsid w:val="001D2DBE"/>
    <w:rsid w:val="001D53AA"/>
    <w:rsid w:val="001D7305"/>
    <w:rsid w:val="001E4F56"/>
    <w:rsid w:val="001F2B7B"/>
    <w:rsid w:val="001F53E0"/>
    <w:rsid w:val="002057A3"/>
    <w:rsid w:val="00213E44"/>
    <w:rsid w:val="00215B64"/>
    <w:rsid w:val="002318B4"/>
    <w:rsid w:val="0023515E"/>
    <w:rsid w:val="00236BE7"/>
    <w:rsid w:val="00292806"/>
    <w:rsid w:val="00292B95"/>
    <w:rsid w:val="0029596E"/>
    <w:rsid w:val="002B06A9"/>
    <w:rsid w:val="002D0238"/>
    <w:rsid w:val="00303E8F"/>
    <w:rsid w:val="00314C35"/>
    <w:rsid w:val="00316356"/>
    <w:rsid w:val="003204CE"/>
    <w:rsid w:val="003346D5"/>
    <w:rsid w:val="00340671"/>
    <w:rsid w:val="00340C3C"/>
    <w:rsid w:val="00353F91"/>
    <w:rsid w:val="003549A0"/>
    <w:rsid w:val="003577E0"/>
    <w:rsid w:val="00360CFF"/>
    <w:rsid w:val="0036786D"/>
    <w:rsid w:val="0038246F"/>
    <w:rsid w:val="003832AD"/>
    <w:rsid w:val="003905B3"/>
    <w:rsid w:val="003A1605"/>
    <w:rsid w:val="003A172A"/>
    <w:rsid w:val="003A4814"/>
    <w:rsid w:val="003A49CE"/>
    <w:rsid w:val="003C0B25"/>
    <w:rsid w:val="003D09FF"/>
    <w:rsid w:val="003D6341"/>
    <w:rsid w:val="003F4B28"/>
    <w:rsid w:val="004048A4"/>
    <w:rsid w:val="0042045C"/>
    <w:rsid w:val="004215D4"/>
    <w:rsid w:val="00436338"/>
    <w:rsid w:val="00467C0F"/>
    <w:rsid w:val="00474AD0"/>
    <w:rsid w:val="004A67C1"/>
    <w:rsid w:val="004C3675"/>
    <w:rsid w:val="004D49D4"/>
    <w:rsid w:val="004F5355"/>
    <w:rsid w:val="004F7BA0"/>
    <w:rsid w:val="00527D22"/>
    <w:rsid w:val="00533B0C"/>
    <w:rsid w:val="0054511B"/>
    <w:rsid w:val="005535C1"/>
    <w:rsid w:val="00561377"/>
    <w:rsid w:val="00561AE5"/>
    <w:rsid w:val="00575572"/>
    <w:rsid w:val="00584A4F"/>
    <w:rsid w:val="005952FA"/>
    <w:rsid w:val="005A3B24"/>
    <w:rsid w:val="005A4CDC"/>
    <w:rsid w:val="005B25A4"/>
    <w:rsid w:val="005C1EA1"/>
    <w:rsid w:val="005C5BCF"/>
    <w:rsid w:val="005E75D4"/>
    <w:rsid w:val="005F0C0E"/>
    <w:rsid w:val="005F37E9"/>
    <w:rsid w:val="0062558F"/>
    <w:rsid w:val="00627190"/>
    <w:rsid w:val="00635CB0"/>
    <w:rsid w:val="00647891"/>
    <w:rsid w:val="0065043E"/>
    <w:rsid w:val="00686467"/>
    <w:rsid w:val="006952F7"/>
    <w:rsid w:val="006A18F7"/>
    <w:rsid w:val="006A63DB"/>
    <w:rsid w:val="006A651E"/>
    <w:rsid w:val="006B631B"/>
    <w:rsid w:val="006B7907"/>
    <w:rsid w:val="006D399C"/>
    <w:rsid w:val="006D445E"/>
    <w:rsid w:val="006D5199"/>
    <w:rsid w:val="00705DED"/>
    <w:rsid w:val="0071314C"/>
    <w:rsid w:val="007149A5"/>
    <w:rsid w:val="007279C7"/>
    <w:rsid w:val="00741C4A"/>
    <w:rsid w:val="00744273"/>
    <w:rsid w:val="007769B3"/>
    <w:rsid w:val="00777B4A"/>
    <w:rsid w:val="00780F34"/>
    <w:rsid w:val="00787902"/>
    <w:rsid w:val="00791E52"/>
    <w:rsid w:val="00793555"/>
    <w:rsid w:val="007B5159"/>
    <w:rsid w:val="007B7BB0"/>
    <w:rsid w:val="007C3C5E"/>
    <w:rsid w:val="007E48DE"/>
    <w:rsid w:val="007E4ED4"/>
    <w:rsid w:val="0080595A"/>
    <w:rsid w:val="00820138"/>
    <w:rsid w:val="00824A5A"/>
    <w:rsid w:val="00826FA5"/>
    <w:rsid w:val="008417D4"/>
    <w:rsid w:val="00844651"/>
    <w:rsid w:val="00856053"/>
    <w:rsid w:val="008638CE"/>
    <w:rsid w:val="00872B89"/>
    <w:rsid w:val="00880046"/>
    <w:rsid w:val="008A4105"/>
    <w:rsid w:val="008A705A"/>
    <w:rsid w:val="008D73F7"/>
    <w:rsid w:val="008F46F8"/>
    <w:rsid w:val="009018CE"/>
    <w:rsid w:val="00907F01"/>
    <w:rsid w:val="00913AD9"/>
    <w:rsid w:val="009311DD"/>
    <w:rsid w:val="0094016D"/>
    <w:rsid w:val="00951155"/>
    <w:rsid w:val="0095670A"/>
    <w:rsid w:val="00982B67"/>
    <w:rsid w:val="00996C60"/>
    <w:rsid w:val="009A3B42"/>
    <w:rsid w:val="009A708A"/>
    <w:rsid w:val="009B0EAE"/>
    <w:rsid w:val="009D2FC6"/>
    <w:rsid w:val="009F0061"/>
    <w:rsid w:val="009F4A24"/>
    <w:rsid w:val="00A16B10"/>
    <w:rsid w:val="00A705F7"/>
    <w:rsid w:val="00A90BF4"/>
    <w:rsid w:val="00A96A90"/>
    <w:rsid w:val="00AA2C95"/>
    <w:rsid w:val="00AA2DDE"/>
    <w:rsid w:val="00AB2E74"/>
    <w:rsid w:val="00AC07D7"/>
    <w:rsid w:val="00AD6A46"/>
    <w:rsid w:val="00AF44F0"/>
    <w:rsid w:val="00AF53B1"/>
    <w:rsid w:val="00AF5629"/>
    <w:rsid w:val="00B14697"/>
    <w:rsid w:val="00B24A1D"/>
    <w:rsid w:val="00B26194"/>
    <w:rsid w:val="00B2734F"/>
    <w:rsid w:val="00B310F4"/>
    <w:rsid w:val="00B453DF"/>
    <w:rsid w:val="00B760F4"/>
    <w:rsid w:val="00B7669F"/>
    <w:rsid w:val="00B91442"/>
    <w:rsid w:val="00BA2E06"/>
    <w:rsid w:val="00BB04D7"/>
    <w:rsid w:val="00BB292C"/>
    <w:rsid w:val="00BB2DCA"/>
    <w:rsid w:val="00BB55BB"/>
    <w:rsid w:val="00BB6C96"/>
    <w:rsid w:val="00BC0466"/>
    <w:rsid w:val="00BC22D4"/>
    <w:rsid w:val="00BE1F8D"/>
    <w:rsid w:val="00BF129C"/>
    <w:rsid w:val="00C02D55"/>
    <w:rsid w:val="00C06162"/>
    <w:rsid w:val="00C607B3"/>
    <w:rsid w:val="00C74F60"/>
    <w:rsid w:val="00C820DA"/>
    <w:rsid w:val="00C84061"/>
    <w:rsid w:val="00C87130"/>
    <w:rsid w:val="00C93C6C"/>
    <w:rsid w:val="00CA3C5E"/>
    <w:rsid w:val="00CA3CE8"/>
    <w:rsid w:val="00CB6637"/>
    <w:rsid w:val="00CC1500"/>
    <w:rsid w:val="00CD288F"/>
    <w:rsid w:val="00CF0343"/>
    <w:rsid w:val="00CF2A51"/>
    <w:rsid w:val="00D0523E"/>
    <w:rsid w:val="00D15254"/>
    <w:rsid w:val="00D23B92"/>
    <w:rsid w:val="00D26BD5"/>
    <w:rsid w:val="00D75C80"/>
    <w:rsid w:val="00D9114D"/>
    <w:rsid w:val="00DA7EC1"/>
    <w:rsid w:val="00DC5408"/>
    <w:rsid w:val="00DC5646"/>
    <w:rsid w:val="00DD053C"/>
    <w:rsid w:val="00DE3264"/>
    <w:rsid w:val="00DE6EA0"/>
    <w:rsid w:val="00DF081F"/>
    <w:rsid w:val="00E103CC"/>
    <w:rsid w:val="00E144E6"/>
    <w:rsid w:val="00E20F89"/>
    <w:rsid w:val="00E25A29"/>
    <w:rsid w:val="00E50B34"/>
    <w:rsid w:val="00E548A1"/>
    <w:rsid w:val="00E60784"/>
    <w:rsid w:val="00E74CDD"/>
    <w:rsid w:val="00E774A4"/>
    <w:rsid w:val="00E84E05"/>
    <w:rsid w:val="00E92849"/>
    <w:rsid w:val="00E956FB"/>
    <w:rsid w:val="00EA40D6"/>
    <w:rsid w:val="00EB0B2A"/>
    <w:rsid w:val="00EB266F"/>
    <w:rsid w:val="00EC045B"/>
    <w:rsid w:val="00EC05D7"/>
    <w:rsid w:val="00EC325F"/>
    <w:rsid w:val="00EE117B"/>
    <w:rsid w:val="00EE1555"/>
    <w:rsid w:val="00EE7C21"/>
    <w:rsid w:val="00EF230B"/>
    <w:rsid w:val="00F046BA"/>
    <w:rsid w:val="00F213D3"/>
    <w:rsid w:val="00F36A0C"/>
    <w:rsid w:val="00F513B6"/>
    <w:rsid w:val="00F64903"/>
    <w:rsid w:val="00F82115"/>
    <w:rsid w:val="00F82519"/>
    <w:rsid w:val="00FA2BF2"/>
    <w:rsid w:val="00FB3B9D"/>
    <w:rsid w:val="00FC5AA7"/>
    <w:rsid w:val="00FD139E"/>
    <w:rsid w:val="00FD7DDB"/>
    <w:rsid w:val="00FE28AB"/>
    <w:rsid w:val="00FF39A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210D2E5"/>
  <w15:docId w15:val="{3BA468A3-F73D-1B4C-ADF5-B209BBF94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B2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ruces">
    <w:name w:val="Bruce's"/>
    <w:basedOn w:val="NoSpacing"/>
    <w:next w:val="NoSpacing"/>
    <w:qFormat/>
    <w:rsid w:val="009F4A24"/>
    <w:pPr>
      <w:contextualSpacing/>
    </w:pPr>
    <w:rPr>
      <w:rFonts w:ascii="Arial" w:hAnsi="Arial"/>
      <w:sz w:val="22"/>
      <w:szCs w:val="22"/>
    </w:rPr>
  </w:style>
  <w:style w:type="paragraph" w:styleId="NoSpacing">
    <w:name w:val="No Spacing"/>
    <w:uiPriority w:val="1"/>
    <w:qFormat/>
    <w:rsid w:val="009F4A24"/>
    <w:pPr>
      <w:spacing w:after="0"/>
    </w:pPr>
    <w:rPr>
      <w:sz w:val="24"/>
      <w:szCs w:val="24"/>
    </w:rPr>
  </w:style>
  <w:style w:type="paragraph" w:styleId="BalloonText">
    <w:name w:val="Balloon Text"/>
    <w:basedOn w:val="Normal"/>
    <w:link w:val="BalloonTextChar"/>
    <w:uiPriority w:val="99"/>
    <w:semiHidden/>
    <w:unhideWhenUsed/>
    <w:rsid w:val="003C0B25"/>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C0B25"/>
    <w:rPr>
      <w:rFonts w:ascii="Times New Roman" w:hAnsi="Times New Roman" w:cs="Times New Roman"/>
      <w:sz w:val="18"/>
      <w:szCs w:val="18"/>
    </w:rPr>
  </w:style>
  <w:style w:type="character" w:styleId="Hyperlink">
    <w:name w:val="Hyperlink"/>
    <w:basedOn w:val="DefaultParagraphFont"/>
    <w:uiPriority w:val="99"/>
    <w:unhideWhenUsed/>
    <w:rsid w:val="003C0B25"/>
    <w:rPr>
      <w:color w:val="0000FF" w:themeColor="hyperlink"/>
      <w:u w:val="single"/>
    </w:rPr>
  </w:style>
  <w:style w:type="character" w:styleId="UnresolvedMention">
    <w:name w:val="Unresolved Mention"/>
    <w:basedOn w:val="DefaultParagraphFont"/>
    <w:uiPriority w:val="99"/>
    <w:semiHidden/>
    <w:unhideWhenUsed/>
    <w:rsid w:val="003C0B25"/>
    <w:rPr>
      <w:color w:val="605E5C"/>
      <w:shd w:val="clear" w:color="auto" w:fill="E1DFDD"/>
    </w:rPr>
  </w:style>
  <w:style w:type="paragraph" w:styleId="CommentText">
    <w:name w:val="annotation text"/>
    <w:basedOn w:val="Normal"/>
    <w:link w:val="CommentTextChar"/>
    <w:uiPriority w:val="99"/>
    <w:unhideWhenUsed/>
    <w:rsid w:val="003C0B25"/>
    <w:rPr>
      <w:rFonts w:ascii="Arial" w:hAnsi="Arial"/>
      <w:sz w:val="20"/>
      <w:szCs w:val="20"/>
    </w:rPr>
  </w:style>
  <w:style w:type="character" w:customStyle="1" w:styleId="CommentTextChar">
    <w:name w:val="Comment Text Char"/>
    <w:basedOn w:val="DefaultParagraphFont"/>
    <w:link w:val="CommentText"/>
    <w:uiPriority w:val="99"/>
    <w:rsid w:val="003C0B25"/>
    <w:rPr>
      <w:rFonts w:ascii="Arial" w:hAnsi="Arial"/>
    </w:rPr>
  </w:style>
  <w:style w:type="paragraph" w:customStyle="1" w:styleId="EndNoteBibliographyTitle">
    <w:name w:val="EndNote Bibliography Title"/>
    <w:basedOn w:val="Normal"/>
    <w:link w:val="EndNoteBibliographyTitleChar"/>
    <w:rsid w:val="00C74F60"/>
    <w:pPr>
      <w:spacing w:after="0"/>
      <w:jc w:val="center"/>
    </w:pPr>
    <w:rPr>
      <w:rFonts w:ascii="Arial" w:hAnsi="Arial" w:cs="Arial"/>
      <w:sz w:val="22"/>
    </w:rPr>
  </w:style>
  <w:style w:type="character" w:customStyle="1" w:styleId="EndNoteBibliographyTitleChar">
    <w:name w:val="EndNote Bibliography Title Char"/>
    <w:basedOn w:val="DefaultParagraphFont"/>
    <w:link w:val="EndNoteBibliographyTitle"/>
    <w:rsid w:val="00C74F60"/>
    <w:rPr>
      <w:rFonts w:ascii="Arial" w:hAnsi="Arial" w:cs="Arial"/>
      <w:sz w:val="22"/>
      <w:szCs w:val="24"/>
    </w:rPr>
  </w:style>
  <w:style w:type="paragraph" w:customStyle="1" w:styleId="EndNoteBibliography">
    <w:name w:val="EndNote Bibliography"/>
    <w:basedOn w:val="Normal"/>
    <w:link w:val="EndNoteBibliographyChar"/>
    <w:rsid w:val="00C74F60"/>
    <w:pPr>
      <w:jc w:val="both"/>
    </w:pPr>
    <w:rPr>
      <w:rFonts w:ascii="Arial" w:hAnsi="Arial" w:cs="Arial"/>
      <w:sz w:val="22"/>
    </w:rPr>
  </w:style>
  <w:style w:type="character" w:customStyle="1" w:styleId="EndNoteBibliographyChar">
    <w:name w:val="EndNote Bibliography Char"/>
    <w:basedOn w:val="DefaultParagraphFont"/>
    <w:link w:val="EndNoteBibliography"/>
    <w:rsid w:val="00C74F60"/>
    <w:rPr>
      <w:rFonts w:ascii="Arial" w:hAnsi="Arial" w:cs="Arial"/>
      <w:sz w:val="22"/>
      <w:szCs w:val="24"/>
    </w:rPr>
  </w:style>
  <w:style w:type="paragraph" w:styleId="Footer">
    <w:name w:val="footer"/>
    <w:basedOn w:val="Normal"/>
    <w:link w:val="FooterChar"/>
    <w:uiPriority w:val="99"/>
    <w:unhideWhenUsed/>
    <w:rsid w:val="00647891"/>
    <w:pPr>
      <w:tabs>
        <w:tab w:val="center" w:pos="4680"/>
        <w:tab w:val="right" w:pos="9360"/>
      </w:tabs>
      <w:spacing w:after="0"/>
    </w:pPr>
  </w:style>
  <w:style w:type="character" w:customStyle="1" w:styleId="FooterChar">
    <w:name w:val="Footer Char"/>
    <w:basedOn w:val="DefaultParagraphFont"/>
    <w:link w:val="Footer"/>
    <w:uiPriority w:val="99"/>
    <w:rsid w:val="00647891"/>
    <w:rPr>
      <w:sz w:val="24"/>
      <w:szCs w:val="24"/>
    </w:rPr>
  </w:style>
  <w:style w:type="character" w:styleId="PageNumber">
    <w:name w:val="page number"/>
    <w:basedOn w:val="DefaultParagraphFont"/>
    <w:uiPriority w:val="99"/>
    <w:semiHidden/>
    <w:unhideWhenUsed/>
    <w:rsid w:val="00647891"/>
  </w:style>
  <w:style w:type="table" w:styleId="TableGrid">
    <w:name w:val="Table Grid"/>
    <w:basedOn w:val="TableNormal"/>
    <w:uiPriority w:val="59"/>
    <w:rsid w:val="00C607B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1E52"/>
    <w:pPr>
      <w:tabs>
        <w:tab w:val="center" w:pos="4680"/>
        <w:tab w:val="right" w:pos="9360"/>
      </w:tabs>
      <w:spacing w:after="0"/>
    </w:pPr>
  </w:style>
  <w:style w:type="character" w:customStyle="1" w:styleId="HeaderChar">
    <w:name w:val="Header Char"/>
    <w:basedOn w:val="DefaultParagraphFont"/>
    <w:link w:val="Header"/>
    <w:uiPriority w:val="99"/>
    <w:rsid w:val="00791E52"/>
    <w:rPr>
      <w:sz w:val="24"/>
      <w:szCs w:val="24"/>
    </w:rPr>
  </w:style>
  <w:style w:type="character" w:styleId="CommentReference">
    <w:name w:val="annotation reference"/>
    <w:basedOn w:val="DefaultParagraphFont"/>
    <w:uiPriority w:val="99"/>
    <w:semiHidden/>
    <w:unhideWhenUsed/>
    <w:rsid w:val="00686467"/>
    <w:rPr>
      <w:sz w:val="16"/>
      <w:szCs w:val="16"/>
    </w:rPr>
  </w:style>
  <w:style w:type="paragraph" w:styleId="CommentSubject">
    <w:name w:val="annotation subject"/>
    <w:basedOn w:val="CommentText"/>
    <w:next w:val="CommentText"/>
    <w:link w:val="CommentSubjectChar"/>
    <w:uiPriority w:val="99"/>
    <w:semiHidden/>
    <w:unhideWhenUsed/>
    <w:rsid w:val="00686467"/>
    <w:rPr>
      <w:rFonts w:asciiTheme="minorHAnsi" w:hAnsiTheme="minorHAnsi"/>
      <w:b/>
      <w:bCs/>
    </w:rPr>
  </w:style>
  <w:style w:type="character" w:customStyle="1" w:styleId="CommentSubjectChar">
    <w:name w:val="Comment Subject Char"/>
    <w:basedOn w:val="CommentTextChar"/>
    <w:link w:val="CommentSubject"/>
    <w:uiPriority w:val="99"/>
    <w:semiHidden/>
    <w:rsid w:val="00686467"/>
    <w:rPr>
      <w:rFonts w:ascii="Arial" w:hAnsi="Arial"/>
      <w:b/>
      <w:bCs/>
    </w:rPr>
  </w:style>
  <w:style w:type="character" w:styleId="PlaceholderText">
    <w:name w:val="Placeholder Text"/>
    <w:basedOn w:val="DefaultParagraphFont"/>
    <w:uiPriority w:val="99"/>
    <w:semiHidden/>
    <w:rsid w:val="00E144E6"/>
    <w:rPr>
      <w:color w:val="808080"/>
    </w:rPr>
  </w:style>
  <w:style w:type="paragraph" w:styleId="ListParagraph">
    <w:name w:val="List Paragraph"/>
    <w:basedOn w:val="Normal"/>
    <w:uiPriority w:val="34"/>
    <w:qFormat/>
    <w:rsid w:val="003D63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95742">
      <w:bodyDiv w:val="1"/>
      <w:marLeft w:val="0"/>
      <w:marRight w:val="0"/>
      <w:marTop w:val="0"/>
      <w:marBottom w:val="0"/>
      <w:divBdr>
        <w:top w:val="none" w:sz="0" w:space="0" w:color="auto"/>
        <w:left w:val="none" w:sz="0" w:space="0" w:color="auto"/>
        <w:bottom w:val="none" w:sz="0" w:space="0" w:color="auto"/>
        <w:right w:val="none" w:sz="0" w:space="0" w:color="auto"/>
      </w:divBdr>
    </w:div>
    <w:div w:id="1107506985">
      <w:bodyDiv w:val="1"/>
      <w:marLeft w:val="0"/>
      <w:marRight w:val="0"/>
      <w:marTop w:val="0"/>
      <w:marBottom w:val="0"/>
      <w:divBdr>
        <w:top w:val="none" w:sz="0" w:space="0" w:color="auto"/>
        <w:left w:val="none" w:sz="0" w:space="0" w:color="auto"/>
        <w:bottom w:val="none" w:sz="0" w:space="0" w:color="auto"/>
        <w:right w:val="none" w:sz="0" w:space="0" w:color="auto"/>
      </w:divBdr>
    </w:div>
    <w:div w:id="2095123800">
      <w:bodyDiv w:val="1"/>
      <w:marLeft w:val="0"/>
      <w:marRight w:val="0"/>
      <w:marTop w:val="0"/>
      <w:marBottom w:val="0"/>
      <w:divBdr>
        <w:top w:val="none" w:sz="0" w:space="0" w:color="auto"/>
        <w:left w:val="none" w:sz="0" w:space="0" w:color="auto"/>
        <w:bottom w:val="none" w:sz="0" w:space="0" w:color="auto"/>
        <w:right w:val="none" w:sz="0" w:space="0" w:color="auto"/>
      </w:divBdr>
      <w:divsChild>
        <w:div w:id="143709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gibb/Library/Group%20Containers/UBF8T346G9.Office/User%20Content.localized/Templates.localized/Arial%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32B28-1607-FA43-A79F-02BBF58D4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Arial 11.dotx</Template>
  <TotalTime>0</TotalTime>
  <Pages>4</Pages>
  <Words>847</Words>
  <Characters>4830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UNO</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David Mobley</cp:lastModifiedBy>
  <cp:revision>2</cp:revision>
  <cp:lastPrinted>2019-10-24T20:22:00Z</cp:lastPrinted>
  <dcterms:created xsi:type="dcterms:W3CDTF">2019-11-13T01:23:00Z</dcterms:created>
  <dcterms:modified xsi:type="dcterms:W3CDTF">2019-11-13T01:23:00Z</dcterms:modified>
</cp:coreProperties>
</file>