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Data and its Sources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1st data source</w:t>
      </w:r>
      <w:r>
        <w:rPr>
          <w:rFonts w:ascii="Calibri" w:hAnsi="Calibri" w:cs="Calibri" w:eastAsia="Calibri"/>
          <w:color w:val="auto"/>
          <w:spacing w:val="0"/>
          <w:position w:val="0"/>
          <w:sz w:val="24"/>
          <w:shd w:fill="auto" w:val="clear"/>
        </w:rPr>
        <w:t xml:space="preserve">: </w:t>
      </w: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https://data.cdc.gov/api/views/g4ie-h725/rows.json?accessType=DOWNLOAD</w:t>
        </w:r>
      </w:hyperlink>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first dataset utilized in this analysis originates from the Data.gov data catalog, specifically sourced from the CDC's Division of Population Health. This division has established a comprehensive collection of 124 indicators, which have been carefully developed through consensus. These indicators enable consistent definition, collection, and reporting of chronic disease data, thus supporting public health practices across various states, territories, and large metropolitan areas. In addition to offering access to state-specific indicator data, the CDI website also serves as a valuable gateway, providing further information and additional data resources.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2nd data source</w:t>
      </w:r>
      <w:r>
        <w:rPr>
          <w:rFonts w:ascii="Calibri" w:hAnsi="Calibri" w:cs="Calibri" w:eastAsia="Calibri"/>
          <w:color w:val="auto"/>
          <w:spacing w:val="0"/>
          <w:position w:val="0"/>
          <w:sz w:val="24"/>
          <w:shd w:fill="auto" w:val="clear"/>
        </w:rPr>
        <w:t xml:space="preserve">: </w:t>
      </w:r>
      <w:hyperlink xmlns:r="http://schemas.openxmlformats.org/officeDocument/2006/relationships" r:id="docRId1">
        <w:r>
          <w:rPr>
            <w:rFonts w:ascii="Calibri" w:hAnsi="Calibri" w:cs="Calibri" w:eastAsia="Calibri"/>
            <w:color w:val="0000FF"/>
            <w:spacing w:val="0"/>
            <w:position w:val="0"/>
            <w:sz w:val="24"/>
            <w:u w:val="single"/>
            <w:shd w:fill="auto" w:val="clear"/>
          </w:rPr>
          <w:t xml:space="preserve">https://data.cdc.gov/api/views/bi63-dtpu/rows.json</w:t>
        </w:r>
      </w:hyperlink>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second CDC json data set utilized for analysis looks at state data by year from 1999-</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2017 identifying 10 causes of death (e.g., cancer, heart disease, diabetes, etc.), the number of raw deaths, and the average “age-adjusted death rate” which is a method by which the CDC weights deaths by age in order to determine a normalized “Deaths-per-100K” people by state/year.   This dataset had 10868 rows of data over 19 years for all states, the District of Columbia, as well as totals for the United States.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Data Exploration and Cleaning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i/>
          <w:color w:val="auto"/>
          <w:spacing w:val="0"/>
          <w:position w:val="0"/>
          <w:sz w:val="24"/>
          <w:u w:val="single"/>
          <w:shd w:fill="auto" w:val="clear"/>
        </w:rPr>
      </w:pPr>
      <w:r>
        <w:rPr>
          <w:rFonts w:ascii="Calibri" w:hAnsi="Calibri" w:cs="Calibri" w:eastAsia="Calibri"/>
          <w:i/>
          <w:color w:val="auto"/>
          <w:spacing w:val="0"/>
          <w:position w:val="0"/>
          <w:sz w:val="24"/>
          <w:u w:val="single"/>
          <w:shd w:fill="auto" w:val="clear"/>
        </w:rPr>
        <w:t xml:space="preserve">First dataset:</w:t>
      </w:r>
      <w:r>
        <w:rPr>
          <w:rFonts w:ascii="Calibri" w:hAnsi="Calibri" w:cs="Calibri" w:eastAsia="Calibri"/>
          <w:i/>
          <w:color w:val="auto"/>
          <w:spacing w:val="0"/>
          <w:position w:val="0"/>
          <w:sz w:val="24"/>
          <w:shd w:fill="auto" w:val="clear"/>
        </w:rPr>
        <w:t xml:space="preserve"> </w:t>
      </w:r>
      <w:hyperlink xmlns:r="http://schemas.openxmlformats.org/officeDocument/2006/relationships" r:id="docRId2">
        <w:r>
          <w:rPr>
            <w:rFonts w:ascii="Calibri" w:hAnsi="Calibri" w:cs="Calibri" w:eastAsia="Calibri"/>
            <w:color w:val="0000FF"/>
            <w:spacing w:val="0"/>
            <w:position w:val="0"/>
            <w:sz w:val="24"/>
            <w:u w:val="single"/>
            <w:shd w:fill="auto" w:val="clear"/>
          </w:rPr>
          <w:t xml:space="preserve">https://data.cdc.gov/api/views/g4ie-h725/rows.json?accessType=DOWNLOAD</w:t>
        </w:r>
      </w:hyperlink>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 data was imported from a JSON formatted file. A custom function was developed to read the JSON data and display its hierarchical structure. This helped identify the necessary name-value pairs for analysis. Once the relevant data was extracted from the JSON file, it was loaded into a pandas dataframe.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Next, exploratory analysis was conducted to identify any issues such as missing values (NaN), infinite values (inf), or other discrepancies in the dataset. Columns with a significant number of missing values and observations without any measurements were removed from further analysis. To enhance the dataset, feature engineering techniques were applied. Specifically, two new columns, "year_bins" and "us_regions," were created. Since some measurements covered two, three, or five-year periods, bins were introduced to indicate this temporal aspect. Additionally, a "region" column was added to categorize states based on their respective regions.</w:t>
      </w:r>
    </w:p>
    <w:p>
      <w:pPr>
        <w:spacing w:before="0" w:after="0" w:line="240"/>
        <w:ind w:right="0" w:left="0" w:firstLine="0"/>
        <w:jc w:val="left"/>
        <w:rPr>
          <w:rFonts w:ascii="Calibri" w:hAnsi="Calibri" w:cs="Calibri" w:eastAsia="Calibri"/>
          <w:color w:val="auto"/>
          <w:spacing w:val="0"/>
          <w:position w:val="0"/>
          <w:sz w:val="24"/>
          <w:u w:val="single"/>
          <w:shd w:fill="auto" w:val="clear"/>
        </w:rPr>
      </w:pPr>
    </w:p>
    <w:p>
      <w:pPr>
        <w:spacing w:before="0" w:after="0" w:line="240"/>
        <w:ind w:right="0" w:left="0" w:firstLine="0"/>
        <w:jc w:val="left"/>
        <w:rPr>
          <w:rFonts w:ascii="Calibri" w:hAnsi="Calibri" w:cs="Calibri" w:eastAsia="Calibri"/>
          <w:i/>
          <w:color w:val="auto"/>
          <w:spacing w:val="0"/>
          <w:position w:val="0"/>
          <w:sz w:val="24"/>
          <w:u w:val="single"/>
          <w:shd w:fill="auto" w:val="clear"/>
        </w:rPr>
      </w:pPr>
      <w:r>
        <w:rPr>
          <w:rFonts w:ascii="Calibri" w:hAnsi="Calibri" w:cs="Calibri" w:eastAsia="Calibri"/>
          <w:i/>
          <w:color w:val="auto"/>
          <w:spacing w:val="0"/>
          <w:position w:val="0"/>
          <w:sz w:val="24"/>
          <w:u w:val="single"/>
          <w:shd w:fill="auto" w:val="clear"/>
        </w:rPr>
        <w:t xml:space="preserve">Second dataset:</w:t>
      </w:r>
      <w:r>
        <w:rPr>
          <w:rFonts w:ascii="Calibri" w:hAnsi="Calibri" w:cs="Calibri" w:eastAsia="Calibri"/>
          <w:i/>
          <w:color w:val="auto"/>
          <w:spacing w:val="0"/>
          <w:position w:val="0"/>
          <w:sz w:val="24"/>
          <w:shd w:fill="auto" w:val="clear"/>
        </w:rPr>
        <w:t xml:space="preserve"> </w:t>
      </w:r>
      <w:hyperlink xmlns:r="http://schemas.openxmlformats.org/officeDocument/2006/relationships" r:id="docRId3">
        <w:r>
          <w:rPr>
            <w:rFonts w:ascii="Calibri" w:hAnsi="Calibri" w:cs="Calibri" w:eastAsia="Calibri"/>
            <w:color w:val="0000FF"/>
            <w:spacing w:val="0"/>
            <w:position w:val="0"/>
            <w:sz w:val="24"/>
            <w:u w:val="single"/>
            <w:shd w:fill="auto" w:val="clear"/>
          </w:rPr>
          <w:t xml:space="preserve">https://data.cdc.gov/api/views/bi63-dtpu/rows.json</w:t>
        </w:r>
      </w:hyperlink>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dataset was imported from a JSON formatted file.  The custom function mentioned above was leveraged to read the various levels within the dataset which helped identify name-value pairs for analysis.  NOTE:  as with the first CDC dataset above, the column names in this dataset are found within the “meta-data” and the actual values are found under “data”.</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Subsequently, the interesting columns were selected for analyses and the data were cleansed (column name cleanup and conversion of strings to numbers).  This leaves 10868 rows by 5 columns for various analyses.</w:t>
      </w:r>
    </w:p>
    <w:p>
      <w:pPr>
        <w:spacing w:before="0" w:after="0" w:line="240"/>
        <w:ind w:right="0" w:left="0" w:firstLine="0"/>
        <w:jc w:val="left"/>
        <w:rPr>
          <w:rFonts w:ascii="Calibri" w:hAnsi="Calibri" w:cs="Calibri" w:eastAsia="Calibri"/>
          <w:b/>
          <w:color w:val="auto"/>
          <w:spacing w:val="0"/>
          <w:position w:val="0"/>
          <w:sz w:val="24"/>
          <w:u w:val="single"/>
          <w:shd w:fill="auto" w:val="clear"/>
        </w:rPr>
      </w:pPr>
      <w:r>
        <w:object w:dxaOrig="6386" w:dyaOrig="4492">
          <v:rect xmlns:o="urn:schemas-microsoft-com:office:office" xmlns:v="urn:schemas-microsoft-com:vml" id="rectole0000000000" style="width:319.300000pt;height:224.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0" ShapeID="rectole0000000000" r:id="docRId4"/>
        </w:object>
      </w: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Ryan’s Analysis</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Comparison Questions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How do invasive cancer (mortality and incidence) trends and patterns vary among different demographic factors such as ethnicity and gender for years-ended 2012-2019?</w:t>
      </w:r>
    </w:p>
    <w:p>
      <w:pPr>
        <w:numPr>
          <w:ilvl w:val="0"/>
          <w:numId w:val="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Unit of analysis: Cancer incidence and mortality rates analyzed over 5yr rolling averages and incidence, when stratified over ethnicity and gender.</w:t>
      </w:r>
    </w:p>
    <w:p>
      <w:pPr>
        <w:numPr>
          <w:ilvl w:val="0"/>
          <w:numId w:val="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Comparison values: </w:t>
      </w:r>
    </w:p>
    <w:p>
      <w:pPr>
        <w:numPr>
          <w:ilvl w:val="0"/>
          <w:numId w:val="2"/>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5yr Averages of Cancer incidences with years-ended 2012 to 2019.</w:t>
      </w:r>
    </w:p>
    <w:p>
      <w:pPr>
        <w:numPr>
          <w:ilvl w:val="0"/>
          <w:numId w:val="2"/>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Ethnicity: 'White, non-Hispanic', 'American Indian or Alaska Native', 'Hispanic', 'Asian or Pacific Islander', 'Black, non-Hispanic'.</w:t>
      </w:r>
    </w:p>
    <w:p>
      <w:pPr>
        <w:numPr>
          <w:ilvl w:val="0"/>
          <w:numId w:val="2"/>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Gender: Male and Female</w:t>
      </w:r>
    </w:p>
    <w:p>
      <w:pPr>
        <w:numPr>
          <w:ilvl w:val="0"/>
          <w:numId w:val="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Computations: </w:t>
      </w:r>
    </w:p>
    <w:p>
      <w:pPr>
        <w:numPr>
          <w:ilvl w:val="0"/>
          <w:numId w:val="2"/>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Line chart</w:t>
      </w:r>
    </w:p>
    <w:p>
      <w:pPr>
        <w:numPr>
          <w:ilvl w:val="0"/>
          <w:numId w:val="2"/>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Frequency table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Brief Description of the Program</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program is designed to analyze Chronic Disease Indicators data provided by the CDC's Division of Population Health. Our purpose is to identify and understand the prevalence and impact of various chronic diseases, including but not limited to diabetes, heart disease, obesity, within different states, territories, and metropolitan areas.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 </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 and Analysis - Ethnicity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From the data shown below, it is apparent that cancer mortality rates are on the rise for all ethnicities, with a sudden dip in 2019 for White, non-Hispanic individuals. Unfortunately, due to time constraints, I was unable to further analyze this sub-group based on age, sex, and type of cancers. However, it is worth noting that incidence rates are increasing for all ethnicities.</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center"/>
        <w:rPr>
          <w:rFonts w:ascii="Calibri" w:hAnsi="Calibri" w:cs="Calibri" w:eastAsia="Calibri"/>
          <w:b/>
          <w:color w:val="auto"/>
          <w:spacing w:val="0"/>
          <w:position w:val="0"/>
          <w:sz w:val="24"/>
          <w:u w:val="single"/>
          <w:shd w:fill="auto" w:val="clear"/>
        </w:rPr>
      </w:pPr>
      <w:r>
        <w:object w:dxaOrig="8838" w:dyaOrig="8838">
          <v:rect xmlns:o="urn:schemas-microsoft-com:office:office" xmlns:v="urn:schemas-microsoft-com:vml" id="rectole0000000001" style="width:441.900000pt;height:441.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1" ShapeID="rectole0000000001" r:id="docRId6"/>
        </w:object>
      </w:r>
    </w:p>
    <w:p>
      <w:pPr>
        <w:spacing w:before="0" w:after="0" w:line="240"/>
        <w:ind w:right="0" w:left="0" w:firstLine="0"/>
        <w:jc w:val="center"/>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center"/>
        <w:rPr>
          <w:rFonts w:ascii="Calibri" w:hAnsi="Calibri" w:cs="Calibri" w:eastAsia="Calibri"/>
          <w:b/>
          <w:color w:val="auto"/>
          <w:spacing w:val="0"/>
          <w:position w:val="0"/>
          <w:sz w:val="24"/>
          <w:u w:val="single"/>
          <w:shd w:fill="auto" w:val="clear"/>
        </w:rPr>
      </w:pPr>
    </w:p>
    <w:p>
      <w:pPr>
        <w:spacing w:before="0" w:after="0" w:line="240"/>
        <w:ind w:right="0" w:left="0" w:firstLine="0"/>
        <w:jc w:val="center"/>
        <w:rPr>
          <w:rFonts w:ascii="Calibri" w:hAnsi="Calibri" w:cs="Calibri" w:eastAsia="Calibri"/>
          <w:color w:val="auto"/>
          <w:spacing w:val="0"/>
          <w:position w:val="0"/>
          <w:sz w:val="24"/>
          <w:u w:val="single"/>
          <w:shd w:fill="auto" w:val="clear"/>
        </w:rPr>
      </w:pPr>
      <w:r>
        <w:object w:dxaOrig="8985" w:dyaOrig="8985">
          <v:rect xmlns:o="urn:schemas-microsoft-com:office:office" xmlns:v="urn:schemas-microsoft-com:vml" id="rectole0000000002" style="width:449.250000pt;height:449.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2" ShapeID="rectole0000000002" r:id="docRId8"/>
        </w:object>
      </w:r>
    </w:p>
    <w:p>
      <w:pPr>
        <w:spacing w:before="0" w:after="0" w:line="240"/>
        <w:ind w:right="0" w:left="0" w:firstLine="0"/>
        <w:jc w:val="center"/>
        <w:rPr>
          <w:rFonts w:ascii="Calibri" w:hAnsi="Calibri" w:cs="Calibri" w:eastAsia="Calibri"/>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 </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 and Analysis - Gender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stratifying cancer rates by gender, there is an upward trend for both males and females. Males have higher mortality rates than women but are fairly equal when compared to cancer incidence rates.</w:t>
      </w:r>
    </w:p>
    <w:p>
      <w:pPr>
        <w:spacing w:before="0" w:after="0" w:line="240"/>
        <w:ind w:right="0" w:left="0" w:firstLine="0"/>
        <w:jc w:val="center"/>
        <w:rPr>
          <w:rFonts w:ascii="Calibri" w:hAnsi="Calibri" w:cs="Calibri" w:eastAsia="Calibri"/>
          <w:color w:val="auto"/>
          <w:spacing w:val="0"/>
          <w:position w:val="0"/>
          <w:sz w:val="24"/>
          <w:u w:val="single"/>
          <w:shd w:fill="auto" w:val="clear"/>
        </w:rPr>
      </w:pPr>
      <w:r>
        <w:object w:dxaOrig="8751" w:dyaOrig="8751">
          <v:rect xmlns:o="urn:schemas-microsoft-com:office:office" xmlns:v="urn:schemas-microsoft-com:vml" id="rectole0000000003" style="width:437.550000pt;height:437.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pacing w:before="0" w:after="0" w:line="240"/>
        <w:ind w:right="0" w:left="0" w:firstLine="0"/>
        <w:jc w:val="center"/>
        <w:rPr>
          <w:rFonts w:ascii="Calibri" w:hAnsi="Calibri" w:cs="Calibri" w:eastAsia="Calibri"/>
          <w:color w:val="auto"/>
          <w:spacing w:val="0"/>
          <w:position w:val="0"/>
          <w:sz w:val="24"/>
          <w:u w:val="single"/>
          <w:shd w:fill="auto" w:val="clear"/>
        </w:rPr>
      </w:pPr>
    </w:p>
    <w:p>
      <w:pPr>
        <w:spacing w:before="0" w:after="0" w:line="240"/>
        <w:ind w:right="0" w:left="0" w:firstLine="0"/>
        <w:jc w:val="center"/>
        <w:rPr>
          <w:rFonts w:ascii="Calibri" w:hAnsi="Calibri" w:cs="Calibri" w:eastAsia="Calibri"/>
          <w:color w:val="auto"/>
          <w:spacing w:val="0"/>
          <w:position w:val="0"/>
          <w:sz w:val="24"/>
          <w:u w:val="single"/>
          <w:shd w:fill="auto" w:val="clear"/>
        </w:rPr>
      </w:pPr>
    </w:p>
    <w:p>
      <w:pPr>
        <w:spacing w:before="0" w:after="0" w:line="240"/>
        <w:ind w:right="0" w:left="0" w:firstLine="0"/>
        <w:jc w:val="center"/>
        <w:rPr>
          <w:rFonts w:ascii="Calibri" w:hAnsi="Calibri" w:cs="Calibri" w:eastAsia="Calibri"/>
          <w:color w:val="auto"/>
          <w:spacing w:val="0"/>
          <w:position w:val="0"/>
          <w:sz w:val="24"/>
          <w:u w:val="single"/>
          <w:shd w:fill="auto" w:val="clear"/>
        </w:rPr>
      </w:pPr>
    </w:p>
    <w:p>
      <w:pPr>
        <w:spacing w:before="0" w:after="0" w:line="240"/>
        <w:ind w:right="0" w:left="0" w:firstLine="0"/>
        <w:jc w:val="center"/>
        <w:rPr>
          <w:rFonts w:ascii="Calibri" w:hAnsi="Calibri" w:cs="Calibri" w:eastAsia="Calibri"/>
          <w:color w:val="auto"/>
          <w:spacing w:val="0"/>
          <w:position w:val="0"/>
          <w:sz w:val="24"/>
          <w:u w:val="single"/>
          <w:shd w:fill="auto" w:val="clear"/>
        </w:rPr>
      </w:pPr>
    </w:p>
    <w:p>
      <w:pPr>
        <w:spacing w:before="0" w:after="0" w:line="240"/>
        <w:ind w:right="0" w:left="0" w:firstLine="0"/>
        <w:jc w:val="center"/>
        <w:rPr>
          <w:rFonts w:ascii="Calibri" w:hAnsi="Calibri" w:cs="Calibri" w:eastAsia="Calibri"/>
          <w:color w:val="auto"/>
          <w:spacing w:val="0"/>
          <w:position w:val="0"/>
          <w:sz w:val="24"/>
          <w:u w:val="single"/>
          <w:shd w:fill="auto" w:val="clear"/>
        </w:rPr>
      </w:pPr>
    </w:p>
    <w:p>
      <w:pPr>
        <w:spacing w:before="0" w:after="0" w:line="240"/>
        <w:ind w:right="0" w:left="0" w:firstLine="0"/>
        <w:jc w:val="center"/>
        <w:rPr>
          <w:rFonts w:ascii="Calibri" w:hAnsi="Calibri" w:cs="Calibri" w:eastAsia="Calibri"/>
          <w:color w:val="auto"/>
          <w:spacing w:val="0"/>
          <w:position w:val="0"/>
          <w:sz w:val="24"/>
          <w:u w:val="single"/>
          <w:shd w:fill="auto" w:val="clear"/>
        </w:rPr>
      </w:pPr>
    </w:p>
    <w:p>
      <w:pPr>
        <w:spacing w:before="0" w:after="0" w:line="240"/>
        <w:ind w:right="0" w:left="0" w:firstLine="0"/>
        <w:jc w:val="center"/>
        <w:rPr>
          <w:rFonts w:ascii="Calibri" w:hAnsi="Calibri" w:cs="Calibri" w:eastAsia="Calibri"/>
          <w:color w:val="auto"/>
          <w:spacing w:val="0"/>
          <w:position w:val="0"/>
          <w:sz w:val="24"/>
          <w:u w:val="single"/>
          <w:shd w:fill="auto" w:val="clear"/>
        </w:rPr>
      </w:pPr>
    </w:p>
    <w:p>
      <w:pPr>
        <w:spacing w:before="0" w:after="0" w:line="240"/>
        <w:ind w:right="0" w:left="0" w:firstLine="0"/>
        <w:jc w:val="center"/>
        <w:rPr>
          <w:rFonts w:ascii="Calibri" w:hAnsi="Calibri" w:cs="Calibri" w:eastAsia="Calibri"/>
          <w:color w:val="auto"/>
          <w:spacing w:val="0"/>
          <w:position w:val="0"/>
          <w:sz w:val="24"/>
          <w:u w:val="single"/>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r>
        <w:object w:dxaOrig="8985" w:dyaOrig="8985">
          <v:rect xmlns:o="urn:schemas-microsoft-com:office:office" xmlns:v="urn:schemas-microsoft-com:vml" id="rectole0000000004" style="width:449.250000pt;height:449.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r>
        <w:rPr>
          <w:rFonts w:ascii="Calibri" w:hAnsi="Calibri" w:cs="Calibri" w:eastAsia="Calibri"/>
          <w:color w:val="auto"/>
          <w:spacing w:val="0"/>
          <w:position w:val="0"/>
          <w:sz w:val="24"/>
          <w:shd w:fill="auto" w:val="clear"/>
        </w:rPr>
        <w:t xml:space="preserve"> </w:t>
      </w:r>
    </w:p>
    <w:p>
      <w:pPr>
        <w:spacing w:before="0" w:after="0" w:line="240"/>
        <w:ind w:right="0" w:left="0" w:firstLine="0"/>
        <w:jc w:val="center"/>
        <w:rPr>
          <w:rFonts w:ascii="Calibri" w:hAnsi="Calibri" w:cs="Calibri" w:eastAsia="Calibri"/>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Andrew’s Analysis</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Comparison Questions</w:t>
      </w:r>
    </w:p>
    <w:p>
      <w:pPr>
        <w:numPr>
          <w:ilvl w:val="0"/>
          <w:numId w:val="13"/>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percentage of current US smokers have attempted quitting?</w:t>
      </w:r>
    </w:p>
    <w:p>
      <w:pPr>
        <w:numPr>
          <w:ilvl w:val="0"/>
          <w:numId w:val="13"/>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percentage of US adults smoke?</w:t>
      </w:r>
    </w:p>
    <w:p>
      <w:pPr>
        <w:numPr>
          <w:ilvl w:val="0"/>
          <w:numId w:val="13"/>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percentage of US states have strong anti-smoking laws?</w:t>
      </w:r>
    </w:p>
    <w:p>
      <w:pPr>
        <w:numPr>
          <w:ilvl w:val="0"/>
          <w:numId w:val="13"/>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Which US states smoke the most?</w:t>
      </w:r>
    </w:p>
    <w:p>
      <w:pPr>
        <w:numPr>
          <w:ilvl w:val="0"/>
          <w:numId w:val="13"/>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percentage of young people in the US currently smoke? </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 and Analysis</w:t>
      </w:r>
    </w:p>
    <w:p>
      <w:pPr>
        <w:numPr>
          <w:ilvl w:val="0"/>
          <w:numId w:val="15"/>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percentage of current US smokers have attempted quitting?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From the data shown, it is apparent that a very high percentage of the current US smoking population attempts to quit on a yearly basis.  Every single year, greater than fifty percent of the population attempted to quit.  Between 2011 and 2014, the proportion of US smokers attempting to quit grew slowly.  This changed in 2015 when there was a relatively steep decline to around 58%, and has slowly fallen over time.  In 2021, only a little over 50% of smokers attempted quitting, showing a notable decline over time.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157" w:dyaOrig="6148">
          <v:rect xmlns:o="urn:schemas-microsoft-com:office:office" xmlns:v="urn:schemas-microsoft-com:vml" id="rectole0000000005" style="width:407.850000pt;height:307.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5" ShapeID="rectole0000000005" r:id="docRId14"/>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17"/>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percentage of US adults smoke?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Based on the data shown below, crude prevalence of smoking rates have steadily declined year over year, with practically no rises in smoking rates over the ten year period.  The high in 2011 was about 25%, steadily dropping off to about 14% in 2021.  This shows a marked decline in smoking rates of over 10% in ten years.  </w:t>
      </w:r>
    </w:p>
    <w:p>
      <w:pPr>
        <w:spacing w:before="0" w:after="0" w:line="240"/>
        <w:ind w:right="0" w:left="0" w:firstLine="0"/>
        <w:jc w:val="left"/>
        <w:rPr>
          <w:rFonts w:ascii="Calibri" w:hAnsi="Calibri" w:cs="Calibri" w:eastAsia="Calibri"/>
          <w:color w:val="auto"/>
          <w:spacing w:val="0"/>
          <w:position w:val="0"/>
          <w:sz w:val="24"/>
          <w:shd w:fill="auto" w:val="clear"/>
        </w:rPr>
      </w:pPr>
      <w:r>
        <w:object w:dxaOrig="7768" w:dyaOrig="6109">
          <v:rect xmlns:o="urn:schemas-microsoft-com:office:office" xmlns:v="urn:schemas-microsoft-com:vml" id="rectole0000000006" style="width:388.400000pt;height:305.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19"/>
        </w:numPr>
        <w:spacing w:before="0" w:after="0" w:line="240"/>
        <w:ind w:right="0" w:left="360" w:hanging="360"/>
        <w:jc w:val="left"/>
        <w:rPr>
          <w:rFonts w:ascii="Arial" w:hAnsi="Arial" w:cs="Arial" w:eastAsia="Arial"/>
          <w:color w:val="auto"/>
          <w:spacing w:val="0"/>
          <w:position w:val="0"/>
          <w:sz w:val="24"/>
          <w:shd w:fill="auto" w:val="clear"/>
        </w:rPr>
      </w:pPr>
      <w:r>
        <w:rPr>
          <w:rFonts w:ascii="Calibri" w:hAnsi="Calibri" w:cs="Calibri" w:eastAsia="Calibri"/>
          <w:color w:val="auto"/>
          <w:spacing w:val="0"/>
          <w:position w:val="0"/>
          <w:sz w:val="24"/>
          <w:shd w:fill="auto" w:val="clear"/>
        </w:rPr>
        <w:t xml:space="preserve">What percentage of US states have strong anti-smoking laws?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Unfortunately, the dataset did not exactly state what exactly the anti-smoking laws meant but it could reasonably be assumed to be related to taxes, age-limits, and advertising restrictions.  Regardless, the majority of US states do not have strong anti-smoking laws in place, with 56.4% not having strong laws.  This leaves 43.6% of US states having strong anti-smoking laws.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7077" w:dyaOrig="4809">
          <v:rect xmlns:o="urn:schemas-microsoft-com:office:office" xmlns:v="urn:schemas-microsoft-com:vml" id="rectole0000000007" style="width:353.850000pt;height:240.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21"/>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Which US states smoke the most?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bar chart took into account which US states had the highest average per-capita cigarette pack sales, therefore which states had the highest smoking level.  I was very surprised to see that New Hampshire topped the list of heaviest smoking states, being the only state with a per-capita purchase rate over 800 per year.  The lowest in the US, excluding Guam, Puerto Rico, and the Virgin Islands, was Washington state, with fewer than 100 packs sold.  Other notable highs were Delaware, Missouri, and West Virginia.  Notable lows were Arizona, California, Washington D.C., New York, and Utah.</w:t>
      </w:r>
    </w:p>
    <w:p>
      <w:pPr>
        <w:spacing w:before="0" w:after="0" w:line="240"/>
        <w:ind w:right="0" w:left="0" w:firstLine="0"/>
        <w:jc w:val="left"/>
        <w:rPr>
          <w:rFonts w:ascii="Calibri" w:hAnsi="Calibri" w:cs="Calibri" w:eastAsia="Calibri"/>
          <w:color w:val="auto"/>
          <w:spacing w:val="0"/>
          <w:position w:val="0"/>
          <w:sz w:val="24"/>
          <w:shd w:fill="auto" w:val="clear"/>
        </w:rPr>
      </w:pPr>
      <w:r>
        <w:object w:dxaOrig="8985" w:dyaOrig="4742">
          <v:rect xmlns:o="urn:schemas-microsoft-com:office:office" xmlns:v="urn:schemas-microsoft-com:vml" id="rectole0000000008" style="width:449.250000pt;height:237.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23"/>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percentage of young people in the US currently smoke?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data analyzed here only took into account four years, operating on an every-other-year-basis.  It was extremely notable to see a sharp decline in youth smoking rates from almost 16% in 2013 to under 6% in 2019, a ten percent drop in six years.  However, this data here does not take into account the rise of vaping as an alternative to cigarettes that has gained popularity among youth around the same time that cigarettes were falling out of favor.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5911" w:dyaOrig="4566">
          <v:rect xmlns:o="urn:schemas-microsoft-com:office:office" xmlns:v="urn:schemas-microsoft-com:vml" id="rectole0000000009" style="width:295.550000pt;height:228.3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Bill’s Analysis</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Comparison Questions</w:t>
      </w:r>
    </w:p>
    <w:p>
      <w:pPr>
        <w:numPr>
          <w:ilvl w:val="0"/>
          <w:numId w:val="25"/>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many Deaths by Year/State are there?  How about deaths per 100K people by state?</w:t>
      </w:r>
    </w:p>
    <w:p>
      <w:pPr>
        <w:numPr>
          <w:ilvl w:val="0"/>
          <w:numId w:val="25"/>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are the leading causes of death over this timeframe?</w:t>
      </w:r>
    </w:p>
    <w:p>
      <w:pPr>
        <w:numPr>
          <w:ilvl w:val="0"/>
          <w:numId w:val="25"/>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states have the highest deaths per 100K?</w:t>
      </w:r>
    </w:p>
    <w:p>
      <w:pPr>
        <w:numPr>
          <w:ilvl w:val="0"/>
          <w:numId w:val="25"/>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have US deaths and deaths_per_100K changed over this period?</w:t>
      </w:r>
    </w:p>
    <w:p>
      <w:pPr>
        <w:numPr>
          <w:ilvl w:val="0"/>
          <w:numId w:val="25"/>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 there anything different in the cause profiles between the states with the highest/lowest deaths per 100K?</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27"/>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Units of analyses: Causes of death, State, Years from 1999-2017</w:t>
      </w:r>
    </w:p>
    <w:p>
      <w:pPr>
        <w:numPr>
          <w:ilvl w:val="0"/>
          <w:numId w:val="27"/>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Comparison values: </w:t>
      </w:r>
    </w:p>
    <w:p>
      <w:pPr>
        <w:numPr>
          <w:ilvl w:val="0"/>
          <w:numId w:val="27"/>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Total deaths</w:t>
      </w:r>
    </w:p>
    <w:p>
      <w:pPr>
        <w:numPr>
          <w:ilvl w:val="0"/>
          <w:numId w:val="27"/>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Deaths-per-100K people by state/year</w:t>
      </w:r>
    </w:p>
    <w:p>
      <w:pPr>
        <w:numPr>
          <w:ilvl w:val="0"/>
          <w:numId w:val="27"/>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Computations/visualizations: </w:t>
      </w:r>
    </w:p>
    <w:p>
      <w:pPr>
        <w:numPr>
          <w:ilvl w:val="0"/>
          <w:numId w:val="27"/>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Line charts</w:t>
      </w:r>
    </w:p>
    <w:p>
      <w:pPr>
        <w:numPr>
          <w:ilvl w:val="0"/>
          <w:numId w:val="27"/>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Bar charts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Brief Description of the Program</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following portion of our HW2 program reads in a JSON data set that looks at the causes of death, number of deaths, and the number of deaths per 100K people from 1999 through 2017 by State (including Washington DC and the United States).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program performs the following: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Reads in the JSON data set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Leverages a function written by Ryan Summers that shows the various levels within the dataset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Selects the relevant data from the JSON data (colnames and data values are in 2 different places)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Cleanses the data (column name cleanup, conversion of strings to numbers).  This leaves 10868 rows by 5 columns.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Analysis based on the list of comparison questions above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  The last part of the program loads the data into MongoDB and reads from it for the final analysis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 and Analysis</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numPr>
          <w:ilvl w:val="0"/>
          <w:numId w:val="32"/>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many Deaths by Year/State are there?  To normalize, how many deaths per 100K people by state?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460" w:dyaOrig="6074">
          <v:rect xmlns:o="urn:schemas-microsoft-com:office:office" xmlns:v="urn:schemas-microsoft-com:vml" id="rectole0000000010" style="width:423.000000pt;height:303.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0" ShapeID="rectole0000000010" r:id="docRId24"/>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34"/>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are the leading causes of death over this timeframe?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Based on the summary data across the United States, clearly the largest cause of death is Heart Disease followed closely by Cancer.  These 2 causes are significantly higher than the 3rd highest cause (Stroke) at ~4 times as much.</w:t>
      </w:r>
    </w:p>
    <w:tbl>
      <w:tblPr/>
      <w:tblGrid>
        <w:gridCol w:w="4245"/>
        <w:gridCol w:w="5115"/>
      </w:tblGrid>
      <w:tr>
        <w:trPr>
          <w:trHeight w:val="1" w:hRule="atLeast"/>
          <w:jc w:val="left"/>
        </w:trPr>
        <w:tc>
          <w:tcPr>
            <w:tcW w:w="424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3720" w:dyaOrig="3897">
                <v:rect xmlns:o="urn:schemas-microsoft-com:office:office" xmlns:v="urn:schemas-microsoft-com:vml" id="rectole0000000011" style="width:186.000000pt;height:194.8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1" ShapeID="rectole0000000011" r:id="docRId26"/>
              </w:object>
            </w:r>
          </w:p>
        </w:tc>
        <w:tc>
          <w:tcPr>
            <w:tcW w:w="51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4564" w:dyaOrig="5241">
                <v:rect xmlns:o="urn:schemas-microsoft-com:office:office" xmlns:v="urn:schemas-microsoft-com:vml" id="rectole0000000012" style="width:228.200000pt;height:262.0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2" ShapeID="rectole0000000012" r:id="docRId28"/>
              </w:object>
            </w:r>
          </w:p>
        </w:tc>
      </w:tr>
    </w:tbl>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40"/>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states have the highest/lowest deaths per 100K?</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Mississippi has the highest number of deaths-per-100k people.  It’s clear as per the  bar chart below that the Southeastern States have the highest death rate/100k people.  The only Southeastern state that is below the US average is Florida.  Notably, Hawaii has the least number of deaths/100k people which is sharply less than the next best State (Minnesota) and is approximately 37% better than Mississippi (highest rate).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sorted bar chart below, please note the improvement from Minnesota to Hawaii.</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9416" w:dyaOrig="5915">
          <v:rect xmlns:o="urn:schemas-microsoft-com:office:office" xmlns:v="urn:schemas-microsoft-com:vml" id="rectole0000000013" style="width:470.800000pt;height:295.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3" ShapeID="rectole0000000013" r:id="docRId30"/>
        </w:objec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42"/>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have US deaths and deaths_per_100K changed over this period?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From 1999 to 2017 US deaths-per-100k people have steadily declined even as raw deaths have increased.  What’s incredibly interesting is that the rate of deaths across the US was static from 1999 until 2009.  During this period, the normalized rate of deaths-per-100K declined precipitously implying general population growth and improvements in medical care.  Starting in 2010, raw deaths increased steeply counteracting the decline in deaths-per-100K which remained constant over this period.  It’s clear that deaths-per-100K continues to go down which is, obviously, a preferred outcome.  That said, the follow up to this analysis is:</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Why did the raw number of deaths increase so dramatically starting in 2009?</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9424" w:dyaOrig="6766">
          <v:rect xmlns:o="urn:schemas-microsoft-com:office:office" xmlns:v="urn:schemas-microsoft-com:vml" id="rectole0000000014" style="width:471.200000pt;height:338.3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4" ShapeID="rectole0000000014" r:id="docRId32"/>
        </w:objec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46"/>
        </w:numPr>
        <w:spacing w:before="0" w:after="0" w:line="240"/>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 there anything different in the “Cause” profiles between the states with the highest/lowest deaths per 100K?</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this analysis, the most populous state (California) was looked at along with the states having the highest/lowest deaths-per-100k (Mississippi and Hawaii respectively).  Generally, there is no difference when compared with the US Average (previously discussed).  Heart disease is the number one reason for death followed by cancer which together eclipse all other causes of death.  Notably, the gap between heart disease and cancer is greater in Mississippi and smaller in Hawaii compared to the US Average.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i/>
          <w:color w:val="auto"/>
          <w:spacing w:val="0"/>
          <w:position w:val="0"/>
          <w:sz w:val="24"/>
          <w:u w:val="single"/>
          <w:shd w:fill="auto" w:val="clear"/>
        </w:rPr>
      </w:pPr>
      <w:r>
        <w:rPr>
          <w:rFonts w:ascii="Calibri" w:hAnsi="Calibri" w:cs="Calibri" w:eastAsia="Calibri"/>
          <w:i/>
          <w:color w:val="auto"/>
          <w:spacing w:val="0"/>
          <w:position w:val="0"/>
          <w:sz w:val="24"/>
          <w:u w:val="single"/>
          <w:shd w:fill="auto" w:val="clear"/>
        </w:rPr>
        <w:t xml:space="preserve">California - Most populous state</w:t>
      </w:r>
    </w:p>
    <w:tbl>
      <w:tblPr/>
      <w:tblGrid>
        <w:gridCol w:w="4230"/>
        <w:gridCol w:w="5130"/>
      </w:tblGrid>
      <w:tr>
        <w:trPr>
          <w:trHeight w:val="1" w:hRule="atLeast"/>
          <w:jc w:val="left"/>
        </w:trPr>
        <w:tc>
          <w:tcPr>
            <w:tcW w:w="42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3859" w:dyaOrig="4127">
                <v:rect xmlns:o="urn:schemas-microsoft-com:office:office" xmlns:v="urn:schemas-microsoft-com:vml" id="rectole0000000015" style="width:192.950000pt;height:206.3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5" ShapeID="rectole0000000015" r:id="docRId34"/>
              </w:object>
            </w:r>
          </w:p>
        </w:tc>
        <w:tc>
          <w:tcPr>
            <w:tcW w:w="51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4723" w:dyaOrig="5337">
                <v:rect xmlns:o="urn:schemas-microsoft-com:office:office" xmlns:v="urn:schemas-microsoft-com:vml" id="rectole0000000016" style="width:236.150000pt;height:266.8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6" ShapeID="rectole0000000016" r:id="docRId36"/>
              </w:object>
            </w:r>
          </w:p>
        </w:tc>
      </w:tr>
    </w:tbl>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u w:val="single"/>
          <w:shd w:fill="auto" w:val="clear"/>
        </w:rPr>
        <w:t xml:space="preserve">Hawaii - The state with the lowest deaths-per-100K</w:t>
      </w:r>
    </w:p>
    <w:tbl>
      <w:tblPr/>
      <w:tblGrid>
        <w:gridCol w:w="4245"/>
        <w:gridCol w:w="5115"/>
      </w:tblGrid>
      <w:tr>
        <w:trPr>
          <w:trHeight w:val="1" w:hRule="atLeast"/>
          <w:jc w:val="left"/>
        </w:trPr>
        <w:tc>
          <w:tcPr>
            <w:tcW w:w="424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3873" w:dyaOrig="4108">
                <v:rect xmlns:o="urn:schemas-microsoft-com:office:office" xmlns:v="urn:schemas-microsoft-com:vml" id="rectole0000000017" style="width:193.650000pt;height:205.4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7" ShapeID="rectole0000000017" r:id="docRId38"/>
              </w:object>
            </w:r>
          </w:p>
        </w:tc>
        <w:tc>
          <w:tcPr>
            <w:tcW w:w="51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4708" w:dyaOrig="5164">
                <v:rect xmlns:o="urn:schemas-microsoft-com:office:office" xmlns:v="urn:schemas-microsoft-com:vml" id="rectole0000000018" style="width:235.400000pt;height:258.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8" ShapeID="rectole0000000018" r:id="docRId40"/>
              </w:object>
            </w:r>
          </w:p>
        </w:tc>
      </w:tr>
    </w:tbl>
    <w:p>
      <w:pPr>
        <w:spacing w:before="0" w:after="0" w:line="240"/>
        <w:ind w:right="0" w:left="0" w:firstLine="0"/>
        <w:jc w:val="left"/>
        <w:rPr>
          <w:rFonts w:ascii="Calibri" w:hAnsi="Calibri" w:cs="Calibri" w:eastAsia="Calibri"/>
          <w:i/>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u w:val="single"/>
          <w:shd w:fill="auto" w:val="clear"/>
        </w:rPr>
        <w:t xml:space="preserve">Mississippi - The state with the highest deaths-per-100K</w:t>
      </w:r>
    </w:p>
    <w:tbl>
      <w:tblPr/>
      <w:tblGrid>
        <w:gridCol w:w="4245"/>
        <w:gridCol w:w="5115"/>
      </w:tblGrid>
      <w:tr>
        <w:trPr>
          <w:trHeight w:val="1" w:hRule="atLeast"/>
          <w:jc w:val="left"/>
        </w:trPr>
        <w:tc>
          <w:tcPr>
            <w:tcW w:w="424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3873" w:dyaOrig="4166">
                <v:rect xmlns:o="urn:schemas-microsoft-com:office:office" xmlns:v="urn:schemas-microsoft-com:vml" id="rectole0000000019" style="width:193.650000pt;height:208.3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9" ShapeID="rectole0000000019" r:id="docRId42"/>
              </w:object>
            </w:r>
          </w:p>
        </w:tc>
        <w:tc>
          <w:tcPr>
            <w:tcW w:w="51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4708" w:dyaOrig="5222">
                <v:rect xmlns:o="urn:schemas-microsoft-com:office:office" xmlns:v="urn:schemas-microsoft-com:vml" id="rectole0000000020" style="width:235.400000pt;height:261.1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0" ShapeID="rectole0000000020" r:id="docRId44"/>
              </w:object>
            </w:r>
          </w:p>
        </w:tc>
      </w:tr>
    </w:tbl>
    <w:p>
      <w:pPr>
        <w:spacing w:before="0" w:after="0" w:line="240"/>
        <w:ind w:right="0" w:left="0" w:firstLine="0"/>
        <w:jc w:val="left"/>
        <w:rPr>
          <w:rFonts w:ascii="Calibri" w:hAnsi="Calibri" w:cs="Calibri" w:eastAsia="Calibri"/>
          <w:color w:val="auto"/>
          <w:spacing w:val="0"/>
          <w:position w:val="0"/>
          <w:sz w:val="24"/>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2">
    <w:abstractNumId w:val="84"/>
  </w:num>
  <w:num w:numId="13">
    <w:abstractNumId w:val="78"/>
  </w:num>
  <w:num w:numId="15">
    <w:abstractNumId w:val="72"/>
  </w:num>
  <w:num w:numId="17">
    <w:abstractNumId w:val="66"/>
  </w:num>
  <w:num w:numId="19">
    <w:abstractNumId w:val="60"/>
  </w:num>
  <w:num w:numId="21">
    <w:abstractNumId w:val="54"/>
  </w:num>
  <w:num w:numId="23">
    <w:abstractNumId w:val="48"/>
  </w:num>
  <w:num w:numId="25">
    <w:abstractNumId w:val="42"/>
  </w:num>
  <w:num w:numId="27">
    <w:abstractNumId w:val="36"/>
  </w:num>
  <w:num w:numId="32">
    <w:abstractNumId w:val="30"/>
  </w:num>
  <w:num w:numId="34">
    <w:abstractNumId w:val="24"/>
  </w:num>
  <w:num w:numId="40">
    <w:abstractNumId w:val="18"/>
  </w:num>
  <w:num w:numId="42">
    <w:abstractNumId w:val="12"/>
  </w:num>
  <w:num w:numId="44">
    <w:abstractNumId w:val="6"/>
  </w:num>
  <w:num w:numId="4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7" Type="http://schemas.openxmlformats.org/officeDocument/2006/relationships/image" /><Relationship Target="embeddings/oleObject5.bin" Id="docRId14" Type="http://schemas.openxmlformats.org/officeDocument/2006/relationships/oleObject" /><Relationship Target="embeddings/oleObject15.bin" Id="docRId34" Type="http://schemas.openxmlformats.org/officeDocument/2006/relationships/oleObject" /><Relationship Target="styles.xml" Id="docRId47" Type="http://schemas.openxmlformats.org/officeDocument/2006/relationships/styles" /><Relationship Target="embeddings/oleObject9.bin" Id="docRId22" Type="http://schemas.openxmlformats.org/officeDocument/2006/relationships/oleObject" /><Relationship Target="media/image2.wmf" Id="docRId9" Type="http://schemas.openxmlformats.org/officeDocument/2006/relationships/image" /><Relationship TargetMode="External" Target="https://data.cdc.gov/api/views/g4ie-h725/rows.json?accessType=DOWNLOAD" Id="docRId0" Type="http://schemas.openxmlformats.org/officeDocument/2006/relationships/hyperlink" /><Relationship Target="media/image12.wmf" Id="docRId29" Type="http://schemas.openxmlformats.org/officeDocument/2006/relationships/image" /><Relationship Target="embeddings/oleObject16.bin" Id="docRId36" Type="http://schemas.openxmlformats.org/officeDocument/2006/relationships/oleObject" /><Relationship Target="media/image4.wmf" Id="docRId13" Type="http://schemas.openxmlformats.org/officeDocument/2006/relationships/image" /><Relationship Target="embeddings/oleObject8.bin" Id="docRId20" Type="http://schemas.openxmlformats.org/officeDocument/2006/relationships/oleObject" /><Relationship Target="embeddings/oleObject12.bin" Id="docRId28" Type="http://schemas.openxmlformats.org/officeDocument/2006/relationships/oleObject" /><Relationship TargetMode="External" Target="https://data.cdc.gov/api/views/bi63-dtpu/rows.json" Id="docRId3" Type="http://schemas.openxmlformats.org/officeDocument/2006/relationships/hyperlink" /><Relationship Target="media/image16.wmf" Id="docRId37" Type="http://schemas.openxmlformats.org/officeDocument/2006/relationships/image" /><Relationship Target="embeddings/oleObject18.bin" Id="docRId40" Type="http://schemas.openxmlformats.org/officeDocument/2006/relationships/oleObject" /><Relationship Target="embeddings/oleObject3.bin" Id="docRId10" Type="http://schemas.openxmlformats.org/officeDocument/2006/relationships/oleObject" /><Relationship Target="embeddings/oleObject7.bin" Id="docRId18" Type="http://schemas.openxmlformats.org/officeDocument/2006/relationships/oleObject" /><Relationship TargetMode="External" Target="https://data.cdc.gov/api/views/g4ie-h725/rows.json?accessType=DOWNLOAD" Id="docRId2" Type="http://schemas.openxmlformats.org/officeDocument/2006/relationships/hyperlink" /><Relationship Target="media/image11.wmf" Id="docRId27" Type="http://schemas.openxmlformats.org/officeDocument/2006/relationships/image" /><Relationship Target="embeddings/oleObject13.bin" Id="docRId30" Type="http://schemas.openxmlformats.org/officeDocument/2006/relationships/oleObject" /><Relationship Target="embeddings/oleObject17.bin" Id="docRId38" Type="http://schemas.openxmlformats.org/officeDocument/2006/relationships/oleObject" /><Relationship Target="media/image19.wmf" Id="docRId43" Type="http://schemas.openxmlformats.org/officeDocument/2006/relationships/image" /><Relationship Target="media/image3.wmf" Id="docRId11" Type="http://schemas.openxmlformats.org/officeDocument/2006/relationships/image" /><Relationship Target="media/image7.wmf" Id="docRId19" Type="http://schemas.openxmlformats.org/officeDocument/2006/relationships/image" /><Relationship Target="embeddings/oleObject11.bin" Id="docRId26" Type="http://schemas.openxmlformats.org/officeDocument/2006/relationships/oleObject" /><Relationship Target="media/image13.wmf" Id="docRId31" Type="http://schemas.openxmlformats.org/officeDocument/2006/relationships/image" /><Relationship Target="media/image17.wmf" Id="docRId39" Type="http://schemas.openxmlformats.org/officeDocument/2006/relationships/image" /><Relationship Target="embeddings/oleObject19.bin" Id="docRId42" Type="http://schemas.openxmlformats.org/officeDocument/2006/relationships/oleObject" /><Relationship Target="media/image0.wmf" Id="docRId5" Type="http://schemas.openxmlformats.org/officeDocument/2006/relationships/image" /><Relationship Target="embeddings/oleObject6.bin" Id="docRId16" Type="http://schemas.openxmlformats.org/officeDocument/2006/relationships/oleObject" /><Relationship Target="media/image10.wmf" Id="docRId25" Type="http://schemas.openxmlformats.org/officeDocument/2006/relationships/image" /><Relationship Target="embeddings/oleObject14.bin" Id="docRId32" Type="http://schemas.openxmlformats.org/officeDocument/2006/relationships/oleObject" /><Relationship Target="embeddings/oleObject0.bin" Id="docRId4" Type="http://schemas.openxmlformats.org/officeDocument/2006/relationships/oleObject" /><Relationship Target="media/image20.wmf" Id="docRId45" Type="http://schemas.openxmlformats.org/officeDocument/2006/relationships/image" /><Relationship Target="media/image6.wmf" Id="docRId17" Type="http://schemas.openxmlformats.org/officeDocument/2006/relationships/image" /><Relationship Target="embeddings/oleObject10.bin" Id="docRId24" Type="http://schemas.openxmlformats.org/officeDocument/2006/relationships/oleObject" /><Relationship Target="media/image14.wmf" Id="docRId33" Type="http://schemas.openxmlformats.org/officeDocument/2006/relationships/image" /><Relationship Target="embeddings/oleObject20.bin" Id="docRId44" Type="http://schemas.openxmlformats.org/officeDocument/2006/relationships/oleObject" /><Relationship Target="media/image9.wmf" Id="docRId23" Type="http://schemas.openxmlformats.org/officeDocument/2006/relationships/image" /><Relationship Target="embeddings/oleObject1.bin" Id="docRId6" Type="http://schemas.openxmlformats.org/officeDocument/2006/relationships/oleObject" /><Relationship TargetMode="External" Target="https://data.cdc.gov/api/views/bi63-dtpu/rows.json" Id="docRId1" Type="http://schemas.openxmlformats.org/officeDocument/2006/relationships/hyperlink" /><Relationship Target="media/image5.wmf" Id="docRId15" Type="http://schemas.openxmlformats.org/officeDocument/2006/relationships/image" /><Relationship Target="media/image15.wmf" Id="docRId35" Type="http://schemas.openxmlformats.org/officeDocument/2006/relationships/image" /><Relationship Target="numbering.xml" Id="docRId46" Type="http://schemas.openxmlformats.org/officeDocument/2006/relationships/numbering" /><Relationship Target="embeddings/oleObject4.bin" Id="docRId12" Type="http://schemas.openxmlformats.org/officeDocument/2006/relationships/oleObject" /><Relationship Target="media/image8.wmf" Id="docRId21" Type="http://schemas.openxmlformats.org/officeDocument/2006/relationships/image" /><Relationship Target="media/image18.wmf" Id="docRId41" Type="http://schemas.openxmlformats.org/officeDocument/2006/relationships/image" /><Relationship Target="embeddings/oleObject2.bin" Id="docRId8" Type="http://schemas.openxmlformats.org/officeDocument/2006/relationships/oleObject" /></Relationships>
</file>