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0"/>
        <w:jc w:val="center"/>
      </w:pPr>
      <w:r>
        <w:rPr>
          <w:rFonts w:ascii="Arial" w:hAnsi="Arial"/>
          <w:b/>
          <w:color w:val="0D0D2B"/>
          <w:sz w:val="68"/>
        </w:rPr>
        <w:t>AINEFF PLATFORM</w:t>
      </w:r>
    </w:p>
    <w:p>
      <w:pPr>
        <w:spacing w:after="240"/>
        <w:jc w:val="center"/>
      </w:pPr>
      <w:r>
        <w:rPr>
          <w:rFonts w:ascii="Arial" w:hAnsi="Arial"/>
          <w:b/>
          <w:color w:val="2D1B69"/>
          <w:sz w:val="68"/>
        </w:rPr>
        <w:t>GENERATION ARCHITECTURE</w:t>
      </w:r>
    </w:p>
    <w:p>
      <w:pPr>
        <w:spacing w:after="40"/>
        <w:jc w:val="center"/>
      </w:pPr>
      <w:r>
        <w:rPr>
          <w:rFonts w:ascii="Arial" w:hAnsi="Arial"/>
          <w:b w:val="0"/>
          <w:color w:val="666666"/>
          <w:sz w:val="26"/>
        </w:rPr>
        <w:t>Every Code. Every Entropy Dimension. Every Business Function.</w:t>
      </w:r>
    </w:p>
    <w:p>
      <w:pPr>
        <w:spacing w:after="400"/>
        <w:jc w:val="center"/>
      </w:pPr>
      <w:r>
        <w:rPr>
          <w:rFonts w:ascii="Arial" w:hAnsi="Arial"/>
          <w:b w:val="0"/>
          <w:color w:val="666666"/>
          <w:sz w:val="26"/>
        </w:rPr>
        <w:t>Every Business Process. Every Stakeholder. Every Platform.</w:t>
      </w:r>
    </w:p>
    <w:p>
      <w:pPr>
        <w:spacing w:after="40"/>
        <w:jc w:val="center"/>
      </w:pPr>
      <w:r>
        <w:rPr>
          <w:rFonts w:ascii="Arial" w:hAnsi="Arial"/>
          <w:b w:val="0"/>
          <w:color w:val="4A2D8C"/>
          <w:sz w:val="22"/>
        </w:rPr>
        <w:t>100,000+ Classification Codes x 8 Entropy Dimensions x 12 Business Functions</w:t>
      </w:r>
    </w:p>
    <w:p>
      <w:pPr>
        <w:spacing w:after="40"/>
        <w:jc w:val="center"/>
      </w:pPr>
      <w:r>
        <w:rPr>
          <w:rFonts w:ascii="Arial" w:hAnsi="Arial"/>
          <w:b w:val="0"/>
          <w:color w:val="4A2D8C"/>
          <w:sz w:val="22"/>
        </w:rPr>
        <w:t>x 50+ Business Processes = Millions of Platform Surfaces</w:t>
      </w:r>
    </w:p>
    <w:p>
      <w:pPr>
        <w:spacing w:after="400"/>
        <w:jc w:val="center"/>
      </w:pPr>
      <w:r>
        <w:rPr>
          <w:rFonts w:ascii="Arial" w:hAnsi="Arial"/>
          <w:b w:val="0"/>
          <w:color w:val="4A2D8C"/>
          <w:sz w:val="22"/>
        </w:rPr>
        <w:t>Each Surface = An AINE. Each AINE = Standalone Profitable.</w:t>
      </w:r>
    </w:p>
    <w:p>
      <w:pPr>
        <w:spacing w:after="40"/>
        <w:jc w:val="center"/>
      </w:pPr>
      <w:r>
        <w:rPr>
          <w:rFonts w:ascii="Arial" w:hAnsi="Arial"/>
          <w:b w:val="0"/>
          <w:color w:val="333333"/>
          <w:sz w:val="20"/>
        </w:rPr>
        <w:t>Andrew Franklin Leo  |  Frankmax Digital  |  AINEFF Ecosystem</w:t>
      </w:r>
    </w:p>
    <w:p>
      <w:pPr>
        <w:spacing w:after="60"/>
        <w:jc w:val="center"/>
      </w:pPr>
      <w:r>
        <w:rPr>
          <w:rFonts w:ascii="Arial" w:hAnsi="Arial"/>
          <w:b w:val="0"/>
          <w:color w:val="999999"/>
          <w:sz w:val="18"/>
        </w:rPr>
        <w:t>March 2026  |  CONFIDENTIAL</w:t>
      </w:r>
    </w:p>
    <w:p>
      <w:r>
        <w:br w:type="page"/>
      </w:r>
    </w:p>
    <w:p>
      <w:pPr>
        <w:pStyle w:val="Heading1"/>
      </w:pPr>
      <w:r>
        <w:t>1. The Platform Generation Thesis</w:t>
      </w:r>
    </w:p>
    <w:p>
      <w:pPr>
        <w:spacing w:after="60"/>
      </w:pPr>
      <w:r>
        <w:rPr>
          <w:rFonts w:ascii="Arial" w:hAnsi="Arial"/>
          <w:b w:val="0"/>
          <w:sz w:val="20"/>
        </w:rPr>
        <w:t>Every cell in the Sovereign Entropy Matrix is not a data point. It is a platform address. A coordinate in a multi-dimensional space where a specific industry code intersects with a specific entropy dimension, a specific business function, and a specific business process. At that coordinate, specific stakeholders experience specific friction. That friction is the platform.</w:t>
      </w:r>
    </w:p>
    <w:p>
      <w:pPr>
        <w:spacing w:after="160"/>
      </w:pPr>
      <w:r>
        <w:rPr>
          <w:rFonts w:ascii="Arial" w:hAnsi="Arial"/>
          <w:b/>
          <w:color w:val="2D1B69"/>
          <w:sz w:val="20"/>
        </w:rPr>
        <w:t>The formula:</w:t>
      </w:r>
    </w:p>
    <w:p>
      <w:pPr>
        <w:spacing w:after="160"/>
      </w:pPr>
      <w:r>
        <w:rPr>
          <w:rFonts w:ascii="Arial" w:hAnsi="Arial"/>
          <w:b/>
          <w:color w:val="0D0D2B"/>
          <w:sz w:val="20"/>
        </w:rPr>
        <w:t>PLATFORM = Code (NAICS/SIC/ISIC/HS/SOC/GICS) x Entropy Dimension (8) x Business Function (12) x Business Process (50+) x Stakeholder (15+)</w:t>
      </w:r>
    </w:p>
    <w:p>
      <w:pPr>
        <w:spacing w:after="60"/>
      </w:pPr>
      <w:r>
        <w:rPr>
          <w:rFonts w:ascii="Arial" w:hAnsi="Arial"/>
          <w:b w:val="0"/>
          <w:sz w:val="20"/>
        </w:rPr>
        <w:t>This is not metaphor. Each intersection is a literal deployment target where an AINE can be instantiated, a marketplace can be activated, and stakeholders can be onboarded with zero friction because the platform solves their exact pain at their exact workflow step in their exact industry.</w:t>
      </w:r>
    </w:p>
    <w:p>
      <w:pPr>
        <w:pStyle w:val="Heading2"/>
      </w:pPr>
      <w:r>
        <w:t>Scale Arithmetic</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872"/>
            <w:shd w:fill="0D0D2B" w:val="clear"/>
          </w:tcPr>
          <w:p>
            <w:pPr>
              <w:jc w:val="center"/>
            </w:pPr>
            <w:r/>
            <w:r>
              <w:rPr>
                <w:rFonts w:ascii="Arial" w:hAnsi="Arial"/>
                <w:b/>
                <w:color w:val="FFFFFF"/>
                <w:sz w:val="16"/>
              </w:rPr>
              <w:t>Dimension</w:t>
            </w:r>
          </w:p>
        </w:tc>
        <w:tc>
          <w:tcPr>
            <w:tcW w:type="dxa" w:w="1008"/>
            <w:shd w:fill="0D0D2B" w:val="clear"/>
          </w:tcPr>
          <w:p>
            <w:pPr>
              <w:jc w:val="center"/>
            </w:pPr>
            <w:r/>
            <w:r>
              <w:rPr>
                <w:rFonts w:ascii="Arial" w:hAnsi="Arial"/>
                <w:b/>
                <w:color w:val="FFFFFF"/>
                <w:sz w:val="16"/>
              </w:rPr>
              <w:t>Count</w:t>
            </w:r>
          </w:p>
        </w:tc>
        <w:tc>
          <w:tcPr>
            <w:tcW w:type="dxa" w:w="3600"/>
            <w:shd w:fill="0D0D2B" w:val="clear"/>
          </w:tcPr>
          <w:p>
            <w:pPr>
              <w:jc w:val="center"/>
            </w:pPr>
            <w:r/>
            <w:r>
              <w:rPr>
                <w:rFonts w:ascii="Arial" w:hAnsi="Arial"/>
                <w:b/>
                <w:color w:val="FFFFFF"/>
                <w:sz w:val="16"/>
              </w:rPr>
              <w:t>Source</w:t>
            </w:r>
          </w:p>
        </w:tc>
        <w:tc>
          <w:tcPr>
            <w:tcW w:type="dxa" w:w="2160"/>
            <w:shd w:fill="0D0D2B" w:val="clear"/>
          </w:tcPr>
          <w:p>
            <w:pPr>
              <w:jc w:val="center"/>
            </w:pPr>
            <w:r/>
            <w:r>
              <w:rPr>
                <w:rFonts w:ascii="Arial" w:hAnsi="Arial"/>
                <w:b/>
                <w:color w:val="FFFFFF"/>
                <w:sz w:val="16"/>
              </w:rPr>
              <w:t>Multiplication Effect</w:t>
            </w:r>
          </w:p>
        </w:tc>
      </w:tr>
      <w:tr>
        <w:tc>
          <w:tcPr>
            <w:tcW w:type="dxa" w:w="1872"/>
            <w:shd w:fill="EDEDF7" w:val="clear"/>
          </w:tcPr>
          <w:p>
            <w:r/>
            <w:r>
              <w:rPr>
                <w:rFonts w:ascii="Arial" w:hAnsi="Arial"/>
                <w:sz w:val="15"/>
              </w:rPr>
              <w:t>Classification Codes (all systems)</w:t>
            </w:r>
          </w:p>
        </w:tc>
        <w:tc>
          <w:tcPr>
            <w:tcW w:type="dxa" w:w="1008"/>
            <w:shd w:fill="EDEDF7" w:val="clear"/>
          </w:tcPr>
          <w:p>
            <w:r/>
            <w:r>
              <w:rPr>
                <w:rFonts w:ascii="Arial" w:hAnsi="Arial"/>
                <w:sz w:val="15"/>
              </w:rPr>
              <w:t>100,000+</w:t>
            </w:r>
          </w:p>
        </w:tc>
        <w:tc>
          <w:tcPr>
            <w:tcW w:type="dxa" w:w="3600"/>
            <w:shd w:fill="EDEDF7" w:val="clear"/>
          </w:tcPr>
          <w:p>
            <w:r/>
            <w:r>
              <w:rPr>
                <w:rFonts w:ascii="Arial" w:hAnsi="Arial"/>
                <w:sz w:val="15"/>
              </w:rPr>
              <w:t>NAICS 8-digit + SIC + ISIC + NACE + HS + SOC + GICS + SSIC + NIC + JSIC + ANZSIC + UK SIC + CIP + NAIC</w:t>
            </w:r>
          </w:p>
        </w:tc>
        <w:tc>
          <w:tcPr>
            <w:tcW w:type="dxa" w:w="2160"/>
            <w:shd w:fill="EDEDF7" w:val="clear"/>
          </w:tcPr>
          <w:p>
            <w:r/>
            <w:r>
              <w:rPr>
                <w:rFonts w:ascii="Arial" w:hAnsi="Arial"/>
                <w:sz w:val="15"/>
              </w:rPr>
              <w:t>Base layer</w:t>
            </w:r>
          </w:p>
        </w:tc>
      </w:tr>
      <w:tr>
        <w:tc>
          <w:tcPr>
            <w:tcW w:type="dxa" w:w="1872"/>
          </w:tcPr>
          <w:p>
            <w:r/>
            <w:r>
              <w:rPr>
                <w:rFonts w:ascii="Arial" w:hAnsi="Arial"/>
                <w:sz w:val="15"/>
              </w:rPr>
              <w:t>Entropy Dimensions</w:t>
            </w:r>
          </w:p>
        </w:tc>
        <w:tc>
          <w:tcPr>
            <w:tcW w:type="dxa" w:w="1008"/>
          </w:tcPr>
          <w:p>
            <w:r/>
            <w:r>
              <w:rPr>
                <w:rFonts w:ascii="Arial" w:hAnsi="Arial"/>
                <w:sz w:val="15"/>
              </w:rPr>
              <w:t>8</w:t>
            </w:r>
          </w:p>
        </w:tc>
        <w:tc>
          <w:tcPr>
            <w:tcW w:type="dxa" w:w="3600"/>
          </w:tcPr>
          <w:p>
            <w:r/>
            <w:r>
              <w:rPr>
                <w:rFonts w:ascii="Arial" w:hAnsi="Arial"/>
                <w:sz w:val="15"/>
              </w:rPr>
              <w:t>Entropy Vector, Systemic Force, Chokepoint, Bottleneck, Pain Point, Challenge, Obstacle, Threat</w:t>
            </w:r>
          </w:p>
        </w:tc>
        <w:tc>
          <w:tcPr>
            <w:tcW w:type="dxa" w:w="2160"/>
          </w:tcPr>
          <w:p>
            <w:r/>
            <w:r>
              <w:rPr>
                <w:rFonts w:ascii="Arial" w:hAnsi="Arial"/>
                <w:sz w:val="15"/>
              </w:rPr>
              <w:t>x8 per code</w:t>
            </w:r>
          </w:p>
        </w:tc>
      </w:tr>
      <w:tr>
        <w:tc>
          <w:tcPr>
            <w:tcW w:type="dxa" w:w="1872"/>
            <w:shd w:fill="EDEDF7" w:val="clear"/>
          </w:tcPr>
          <w:p>
            <w:r/>
            <w:r>
              <w:rPr>
                <w:rFonts w:ascii="Arial" w:hAnsi="Arial"/>
                <w:sz w:val="15"/>
              </w:rPr>
              <w:t>Business Functions</w:t>
            </w:r>
          </w:p>
        </w:tc>
        <w:tc>
          <w:tcPr>
            <w:tcW w:type="dxa" w:w="1008"/>
            <w:shd w:fill="EDEDF7" w:val="clear"/>
          </w:tcPr>
          <w:p>
            <w:r/>
            <w:r>
              <w:rPr>
                <w:rFonts w:ascii="Arial" w:hAnsi="Arial"/>
                <w:sz w:val="15"/>
              </w:rPr>
              <w:t>12</w:t>
            </w:r>
          </w:p>
        </w:tc>
        <w:tc>
          <w:tcPr>
            <w:tcW w:type="dxa" w:w="3600"/>
            <w:shd w:fill="EDEDF7" w:val="clear"/>
          </w:tcPr>
          <w:p>
            <w:r/>
            <w:r>
              <w:rPr>
                <w:rFonts w:ascii="Arial" w:hAnsi="Arial"/>
                <w:sz w:val="15"/>
              </w:rPr>
              <w:t>Finance, Operations, Sales, Marketing, HR, IT, Legal, Compliance, R&amp;D, Supply Chain, Customer Service, Strategy</w:t>
            </w:r>
          </w:p>
        </w:tc>
        <w:tc>
          <w:tcPr>
            <w:tcW w:type="dxa" w:w="2160"/>
            <w:shd w:fill="EDEDF7" w:val="clear"/>
          </w:tcPr>
          <w:p>
            <w:r/>
            <w:r>
              <w:rPr>
                <w:rFonts w:ascii="Arial" w:hAnsi="Arial"/>
                <w:sz w:val="15"/>
              </w:rPr>
              <w:t>x12 per entropy</w:t>
            </w:r>
          </w:p>
        </w:tc>
      </w:tr>
      <w:tr>
        <w:tc>
          <w:tcPr>
            <w:tcW w:type="dxa" w:w="1872"/>
          </w:tcPr>
          <w:p>
            <w:r/>
            <w:r>
              <w:rPr>
                <w:rFonts w:ascii="Arial" w:hAnsi="Arial"/>
                <w:sz w:val="15"/>
              </w:rPr>
              <w:t>Business Processes (avg per function)</w:t>
            </w:r>
          </w:p>
        </w:tc>
        <w:tc>
          <w:tcPr>
            <w:tcW w:type="dxa" w:w="1008"/>
          </w:tcPr>
          <w:p>
            <w:r/>
            <w:r>
              <w:rPr>
                <w:rFonts w:ascii="Arial" w:hAnsi="Arial"/>
                <w:sz w:val="15"/>
              </w:rPr>
              <w:t>50+</w:t>
            </w:r>
          </w:p>
        </w:tc>
        <w:tc>
          <w:tcPr>
            <w:tcW w:type="dxa" w:w="3600"/>
          </w:tcPr>
          <w:p>
            <w:r/>
            <w:r>
              <w:rPr>
                <w:rFonts w:ascii="Arial" w:hAnsi="Arial"/>
                <w:sz w:val="15"/>
              </w:rPr>
              <w:t>Mapped per function below</w:t>
            </w:r>
          </w:p>
        </w:tc>
        <w:tc>
          <w:tcPr>
            <w:tcW w:type="dxa" w:w="2160"/>
          </w:tcPr>
          <w:p>
            <w:r/>
            <w:r>
              <w:rPr>
                <w:rFonts w:ascii="Arial" w:hAnsi="Arial"/>
                <w:sz w:val="15"/>
              </w:rPr>
              <w:t>x50 per function</w:t>
            </w:r>
          </w:p>
        </w:tc>
      </w:tr>
      <w:tr>
        <w:tc>
          <w:tcPr>
            <w:tcW w:type="dxa" w:w="1872"/>
            <w:shd w:fill="EDEDF7" w:val="clear"/>
          </w:tcPr>
          <w:p>
            <w:r/>
            <w:r>
              <w:rPr>
                <w:rFonts w:ascii="Arial" w:hAnsi="Arial"/>
                <w:sz w:val="15"/>
              </w:rPr>
              <w:t>Stakeholders</w:t>
            </w:r>
          </w:p>
        </w:tc>
        <w:tc>
          <w:tcPr>
            <w:tcW w:type="dxa" w:w="1008"/>
            <w:shd w:fill="EDEDF7" w:val="clear"/>
          </w:tcPr>
          <w:p>
            <w:r/>
            <w:r>
              <w:rPr>
                <w:rFonts w:ascii="Arial" w:hAnsi="Arial"/>
                <w:sz w:val="15"/>
              </w:rPr>
              <w:t>15+</w:t>
            </w:r>
          </w:p>
        </w:tc>
        <w:tc>
          <w:tcPr>
            <w:tcW w:type="dxa" w:w="3600"/>
            <w:shd w:fill="EDEDF7" w:val="clear"/>
          </w:tcPr>
          <w:p>
            <w:r/>
            <w:r>
              <w:rPr>
                <w:rFonts w:ascii="Arial" w:hAnsi="Arial"/>
                <w:sz w:val="15"/>
              </w:rPr>
              <w:t>Mapped per process below</w:t>
            </w:r>
          </w:p>
        </w:tc>
        <w:tc>
          <w:tcPr>
            <w:tcW w:type="dxa" w:w="2160"/>
            <w:shd w:fill="EDEDF7" w:val="clear"/>
          </w:tcPr>
          <w:p>
            <w:r/>
            <w:r>
              <w:rPr>
                <w:rFonts w:ascii="Arial" w:hAnsi="Arial"/>
                <w:sz w:val="15"/>
              </w:rPr>
              <w:t>x15 per process</w:t>
            </w:r>
          </w:p>
        </w:tc>
      </w:tr>
      <w:tr>
        <w:tc>
          <w:tcPr>
            <w:tcW w:type="dxa" w:w="1872"/>
          </w:tcPr>
          <w:p>
            <w:r/>
            <w:r>
              <w:rPr>
                <w:rFonts w:ascii="Arial" w:hAnsi="Arial"/>
                <w:sz w:val="15"/>
              </w:rPr>
              <w:t>TOTAL PLATFORM SURFACES</w:t>
            </w:r>
          </w:p>
        </w:tc>
        <w:tc>
          <w:tcPr>
            <w:tcW w:type="dxa" w:w="1008"/>
          </w:tcPr>
          <w:p>
            <w:r/>
            <w:r>
              <w:rPr>
                <w:rFonts w:ascii="Arial" w:hAnsi="Arial"/>
                <w:sz w:val="15"/>
              </w:rPr>
              <w:t>7.2 BILLION+</w:t>
            </w:r>
          </w:p>
        </w:tc>
        <w:tc>
          <w:tcPr>
            <w:tcW w:type="dxa" w:w="3600"/>
          </w:tcPr>
          <w:p>
            <w:r/>
            <w:r>
              <w:rPr>
                <w:rFonts w:ascii="Arial" w:hAnsi="Arial"/>
                <w:sz w:val="15"/>
              </w:rPr>
              <w:t>100K x 8 x 12 x 50 x 15</w:t>
            </w:r>
          </w:p>
        </w:tc>
        <w:tc>
          <w:tcPr>
            <w:tcW w:type="dxa" w:w="2160"/>
          </w:tcPr>
          <w:p>
            <w:r/>
            <w:r>
              <w:rPr>
                <w:rFonts w:ascii="Arial" w:hAnsi="Arial"/>
                <w:sz w:val="15"/>
              </w:rPr>
              <w:t>Each = AINE candidate</w:t>
            </w:r>
          </w:p>
        </w:tc>
      </w:tr>
    </w:tbl>
    <w:p>
      <w:pPr>
        <w:spacing w:after="80"/>
      </w:pPr>
      <w:r>
        <w:rPr>
          <w:rFonts w:ascii="Arial" w:hAnsi="Arial"/>
          <w:b w:val="0"/>
          <w:sz w:val="19"/>
        </w:rPr>
      </w:r>
    </w:p>
    <w:p>
      <w:pPr>
        <w:spacing w:after="60"/>
      </w:pPr>
      <w:r>
        <w:rPr>
          <w:rFonts w:ascii="Arial" w:hAnsi="Arial"/>
          <w:b w:val="0"/>
          <w:sz w:val="19"/>
        </w:rPr>
        <w:t>Not all 7.2 billion surfaces are viable platforms. But the viable surface area is measured in millions, not thousands. The Tower Control Organism Evolution Engine identifies which surfaces have sufficient entropy density (pain + spend + frequency) to justify AINE deployment.</w:t>
      </w:r>
    </w:p>
    <w:p>
      <w:r>
        <w:br w:type="page"/>
      </w:r>
    </w:p>
    <w:p>
      <w:pPr>
        <w:pStyle w:val="Heading1"/>
      </w:pPr>
      <w:r>
        <w:t>2. The 12 Universal Business Functions</w:t>
      </w:r>
    </w:p>
    <w:p>
      <w:pPr>
        <w:spacing w:after="60"/>
      </w:pPr>
      <w:r>
        <w:rPr>
          <w:rFonts w:ascii="Arial" w:hAnsi="Arial"/>
          <w:b w:val="0"/>
          <w:sz w:val="20"/>
        </w:rPr>
        <w:t>Every industry, regardless of classification code, performs these 12 business functions. Each function contains business processes. Each process has entropy vectors. Each vector is a platform surface.</w:t>
      </w:r>
    </w:p>
    <w:p>
      <w:pPr>
        <w:pStyle w:val="Heading2"/>
      </w:pPr>
      <w:r>
        <w:t>F1: Finance &amp; Accounting</w:t>
      </w:r>
    </w:p>
    <w:p>
      <w:pPr>
        <w:spacing w:after="60"/>
      </w:pPr>
      <w:r>
        <w:rPr>
          <w:rFonts w:ascii="Arial" w:hAnsi="Arial"/>
          <w:b w:val="0"/>
          <w:sz w:val="17"/>
        </w:rPr>
        <w:t>Business Processes: Accounts Payable, Accounts Receivable, General Ledger, Budgeting &amp; Forecasting, Tax Filing &amp; Compliance, Treasury Management, Financial Reporting, Audit Preparation, Revenue Recognition, Cost Accounting, Payroll Processing, Expense Management, Capital Allocation, Credit Management, Collections</w:t>
      </w:r>
    </w:p>
    <w:p>
      <w:pPr>
        <w:spacing w:after="60"/>
      </w:pPr>
      <w:r>
        <w:rPr>
          <w:rFonts w:ascii="Arial" w:hAnsi="Arial"/>
          <w:b w:val="0"/>
          <w:color w:val="8B0000"/>
          <w:sz w:val="17"/>
        </w:rPr>
        <w:t>Entropy Vectors: Billing leakage ($2-8M avg), reconciliation errors, tax penalty exposure, audit failure risk, revenue recognition disputes</w:t>
      </w:r>
    </w:p>
    <w:p>
      <w:pPr>
        <w:spacing w:after="60"/>
      </w:pPr>
      <w:r>
        <w:rPr>
          <w:rFonts w:ascii="Arial" w:hAnsi="Arial"/>
          <w:b w:val="0"/>
          <w:color w:val="006400"/>
          <w:sz w:val="17"/>
        </w:rPr>
        <w:t>Stakeholders: CFOs, Controllers, AP/AR Clerks, Tax Directors, External Auditors, Banks, Tax Authorities, Investors</w:t>
      </w:r>
    </w:p>
    <w:p>
      <w:pPr>
        <w:pStyle w:val="Heading2"/>
      </w:pPr>
      <w:r>
        <w:t>F2: Operations &amp; Production</w:t>
      </w:r>
    </w:p>
    <w:p>
      <w:pPr>
        <w:spacing w:after="60"/>
      </w:pPr>
      <w:r>
        <w:rPr>
          <w:rFonts w:ascii="Arial" w:hAnsi="Arial"/>
          <w:b w:val="0"/>
          <w:sz w:val="17"/>
        </w:rPr>
        <w:t>Business Processes: Production Planning, Inventory Management, Quality Control, Equipment Maintenance, Process Optimization, Capacity Planning, Workflow Scheduling, Yield Management, Waste Reduction, Safety Compliance, Facility Management, Asset Tracking, Production Reporting, Shift Management</w:t>
      </w:r>
    </w:p>
    <w:p>
      <w:pPr>
        <w:spacing w:after="60"/>
      </w:pPr>
      <w:r>
        <w:rPr>
          <w:rFonts w:ascii="Arial" w:hAnsi="Arial"/>
          <w:b w:val="0"/>
          <w:color w:val="8B0000"/>
          <w:sz w:val="17"/>
        </w:rPr>
        <w:t>Entropy Vectors: Downtime losses ($5-50M/yr), quality defects (1-5% scrap rate), maintenance backlog, safety violations, capacity underutilization</w:t>
      </w:r>
    </w:p>
    <w:p>
      <w:pPr>
        <w:spacing w:after="60"/>
      </w:pPr>
      <w:r>
        <w:rPr>
          <w:rFonts w:ascii="Arial" w:hAnsi="Arial"/>
          <w:b w:val="0"/>
          <w:color w:val="006400"/>
          <w:sz w:val="17"/>
        </w:rPr>
        <w:t>Stakeholders: COOs, Plant Managers, Quality Engineers, Maintenance Techs, Safety Officers, Equipment Suppliers, Regulators</w:t>
      </w:r>
    </w:p>
    <w:p>
      <w:pPr>
        <w:pStyle w:val="Heading2"/>
      </w:pPr>
      <w:r>
        <w:t>F3: Sales &amp; Revenue</w:t>
      </w:r>
    </w:p>
    <w:p>
      <w:pPr>
        <w:spacing w:after="60"/>
      </w:pPr>
      <w:r>
        <w:rPr>
          <w:rFonts w:ascii="Arial" w:hAnsi="Arial"/>
          <w:b w:val="0"/>
          <w:sz w:val="17"/>
        </w:rPr>
        <w:t>Business Processes: Lead Generation, Prospecting, Pipeline Management, Proposal/Quote Generation, Contract Negotiation, Deal Closing, Account Management, Upsell/Cross-sell, Channel Management, Sales Forecasting, Commission Calculation, Territory Planning, CRM Management, Competitive Intelligence</w:t>
      </w:r>
    </w:p>
    <w:p>
      <w:pPr>
        <w:spacing w:after="60"/>
      </w:pPr>
      <w:r>
        <w:rPr>
          <w:rFonts w:ascii="Arial" w:hAnsi="Arial"/>
          <w:b w:val="0"/>
          <w:color w:val="8B0000"/>
          <w:sz w:val="17"/>
        </w:rPr>
        <w:t>Entropy Vectors: Pipeline leakage (30-50% of qualified leads lost), forecast inaccuracy (25-40% deviation), contract cycle time (avg 42 days), revenue concentration risk</w:t>
      </w:r>
    </w:p>
    <w:p>
      <w:pPr>
        <w:spacing w:after="60"/>
      </w:pPr>
      <w:r>
        <w:rPr>
          <w:rFonts w:ascii="Arial" w:hAnsi="Arial"/>
          <w:b w:val="0"/>
          <w:color w:val="006400"/>
          <w:sz w:val="17"/>
        </w:rPr>
        <w:t>Stakeholders: CROs, Sales Reps, Sales Engineers, Channel Partners, Procurement Officers (buyer side), Legal (contracts), Finance (commission)</w:t>
      </w:r>
    </w:p>
    <w:p>
      <w:pPr>
        <w:pStyle w:val="Heading2"/>
      </w:pPr>
      <w:r>
        <w:t>F4: Marketing &amp; Brand</w:t>
      </w:r>
    </w:p>
    <w:p>
      <w:pPr>
        <w:spacing w:after="60"/>
      </w:pPr>
      <w:r>
        <w:rPr>
          <w:rFonts w:ascii="Arial" w:hAnsi="Arial"/>
          <w:b w:val="0"/>
          <w:sz w:val="17"/>
        </w:rPr>
        <w:t>Business Processes: Market Research, Brand Strategy, Content Creation, Digital Advertising, SEO/SEM, Social Media Management, Event Marketing, PR &amp; Communications, Lead Nurturing, Marketing Analytics, Campaign Management, Product Marketing, Customer Segmentation, Competitive Positioning</w:t>
      </w:r>
    </w:p>
    <w:p>
      <w:pPr>
        <w:spacing w:after="60"/>
      </w:pPr>
      <w:r>
        <w:rPr>
          <w:rFonts w:ascii="Arial" w:hAnsi="Arial"/>
          <w:b w:val="0"/>
          <w:color w:val="8B0000"/>
          <w:sz w:val="17"/>
        </w:rPr>
        <w:t>Entropy Vectors: Attribution gap (60% of spend untracked), content waste (65% never used), lead quality decay, brand dilution risk, regulatory compliance (advertising standards)</w:t>
      </w:r>
    </w:p>
    <w:p>
      <w:pPr>
        <w:spacing w:after="60"/>
      </w:pPr>
      <w:r>
        <w:rPr>
          <w:rFonts w:ascii="Arial" w:hAnsi="Arial"/>
          <w:b w:val="0"/>
          <w:color w:val="006400"/>
          <w:sz w:val="17"/>
        </w:rPr>
        <w:t>Stakeholders: CMOs, Brand Managers, Content Creators, Digital Marketers, PR Agencies, Media Buyers, Ad Platforms, Regulators</w:t>
      </w:r>
    </w:p>
    <w:p>
      <w:pPr>
        <w:pStyle w:val="Heading2"/>
      </w:pPr>
      <w:r>
        <w:t>F5: Human Resources &amp; Talent</w:t>
      </w:r>
    </w:p>
    <w:p>
      <w:pPr>
        <w:spacing w:after="60"/>
      </w:pPr>
      <w:r>
        <w:rPr>
          <w:rFonts w:ascii="Arial" w:hAnsi="Arial"/>
          <w:b w:val="0"/>
          <w:sz w:val="17"/>
        </w:rPr>
        <w:t>Business Processes: Recruitment &amp; Hiring, Onboarding, Performance Management, Compensation &amp; Benefits, Learning &amp; Development, Employee Relations, Workforce Planning, Succession Planning, Payroll Administration, Compliance (labor law), Offboarding, Employee Engagement, HRIS Management, Diversity &amp; Inclusion</w:t>
      </w:r>
    </w:p>
    <w:p>
      <w:pPr>
        <w:spacing w:after="60"/>
      </w:pPr>
      <w:r>
        <w:rPr>
          <w:rFonts w:ascii="Arial" w:hAnsi="Arial"/>
          <w:b w:val="0"/>
          <w:color w:val="8B0000"/>
          <w:sz w:val="17"/>
        </w:rPr>
        <w:t>Entropy Vectors: Hiring cost ($4,700 avg per hire), time-to-fill (42 days avg), turnover cost (50-200% of salary), skills gap (40% workforce needs reskilling), compliance penalties</w:t>
      </w:r>
    </w:p>
    <w:p>
      <w:pPr>
        <w:spacing w:after="60"/>
      </w:pPr>
      <w:r>
        <w:rPr>
          <w:rFonts w:ascii="Arial" w:hAnsi="Arial"/>
          <w:b w:val="0"/>
          <w:color w:val="006400"/>
          <w:sz w:val="17"/>
        </w:rPr>
        <w:t>Stakeholders: CHROs, Recruiters, Hiring Managers, Employees, Benefits Providers, Training Vendors, Labor Lawyers, Government (labor dept)</w:t>
      </w:r>
    </w:p>
    <w:p>
      <w:pPr>
        <w:pStyle w:val="Heading2"/>
      </w:pPr>
      <w:r>
        <w:t>F6: Information Technology</w:t>
      </w:r>
    </w:p>
    <w:p>
      <w:pPr>
        <w:spacing w:after="60"/>
      </w:pPr>
      <w:r>
        <w:rPr>
          <w:rFonts w:ascii="Arial" w:hAnsi="Arial"/>
          <w:b w:val="0"/>
          <w:sz w:val="17"/>
        </w:rPr>
        <w:t>Business Processes: Infrastructure Management, Application Development, Cybersecurity, Data Management, Help Desk/Support, Cloud Migration, System Integration, IT Governance, Disaster Recovery, Network Management, DevOps/CI-CD, Vendor Management, License Management, AI/ML Operations</w:t>
      </w:r>
    </w:p>
    <w:p>
      <w:pPr>
        <w:spacing w:after="60"/>
      </w:pPr>
      <w:r>
        <w:rPr>
          <w:rFonts w:ascii="Arial" w:hAnsi="Arial"/>
          <w:b w:val="0"/>
          <w:color w:val="8B0000"/>
          <w:sz w:val="17"/>
        </w:rPr>
        <w:t>Entropy Vectors: Downtime cost ($5,600/min avg), breach cost ($4.45M avg), technical debt (40% of dev time), shadow IT risk, cloud cost overrun (30% avg waste)</w:t>
      </w:r>
    </w:p>
    <w:p>
      <w:pPr>
        <w:spacing w:after="60"/>
      </w:pPr>
      <w:r>
        <w:rPr>
          <w:rFonts w:ascii="Arial" w:hAnsi="Arial"/>
          <w:b w:val="0"/>
          <w:color w:val="006400"/>
          <w:sz w:val="17"/>
        </w:rPr>
        <w:t>Stakeholders: CIOs/CTOs, Developers, SysAdmins, Security Analysts, End Users, Cloud Providers, SaaS Vendors, MSSPs, Auditors</w:t>
      </w:r>
    </w:p>
    <w:p>
      <w:pPr>
        <w:pStyle w:val="Heading2"/>
      </w:pPr>
      <w:r>
        <w:t>F7: Legal &amp; Compliance</w:t>
      </w:r>
    </w:p>
    <w:p>
      <w:pPr>
        <w:spacing w:after="60"/>
      </w:pPr>
      <w:r>
        <w:rPr>
          <w:rFonts w:ascii="Arial" w:hAnsi="Arial"/>
          <w:b w:val="0"/>
          <w:sz w:val="17"/>
        </w:rPr>
        <w:t>Business Processes: Contract Management, Regulatory Compliance, Litigation Management, IP Protection, Corporate Governance, Risk Management, Privacy/Data Protection, Employment Law, Environmental Compliance, Trade Compliance, Anti-corruption, License &amp; Permit Management, Insurance Management, Dispute Resolution</w:t>
      </w:r>
    </w:p>
    <w:p>
      <w:pPr>
        <w:spacing w:after="60"/>
      </w:pPr>
      <w:r>
        <w:rPr>
          <w:rFonts w:ascii="Arial" w:hAnsi="Arial"/>
          <w:b w:val="0"/>
          <w:color w:val="8B0000"/>
          <w:sz w:val="17"/>
        </w:rPr>
        <w:t>Entropy Vectors: Litigation cost ($1-50M per case), compliance penalty ($14.8M avg), contract disputes (9% of revenue at risk), regulatory change velocity (avg 217 updates/day globally)</w:t>
      </w:r>
    </w:p>
    <w:p>
      <w:pPr>
        <w:spacing w:after="60"/>
      </w:pPr>
      <w:r>
        <w:rPr>
          <w:rFonts w:ascii="Arial" w:hAnsi="Arial"/>
          <w:b w:val="0"/>
          <w:color w:val="006400"/>
          <w:sz w:val="17"/>
        </w:rPr>
        <w:t>Stakeholders: GCs, In-house Counsel, Compliance Officers, Risk Managers, External Law Firms, Regulators, Insurance Carriers, Board Directors</w:t>
      </w:r>
    </w:p>
    <w:p>
      <w:pPr>
        <w:pStyle w:val="Heading2"/>
      </w:pPr>
      <w:r>
        <w:t>F8: Supply Chain &amp; Procurement</w:t>
      </w:r>
    </w:p>
    <w:p>
      <w:pPr>
        <w:spacing w:after="60"/>
      </w:pPr>
      <w:r>
        <w:rPr>
          <w:rFonts w:ascii="Arial" w:hAnsi="Arial"/>
          <w:b w:val="0"/>
          <w:sz w:val="17"/>
        </w:rPr>
        <w:t>Business Processes: Supplier Selection, Purchase Order Management, Receiving &amp; Inspection, Inventory Optimization, Demand Forecasting, Logistics &amp; Distribution, Warehouse Management, Freight Management, Supplier Performance, Strategic Sourcing, Contract Compliance, Customs &amp; Trade, Returns Management, Sustainability Tracking</w:t>
      </w:r>
    </w:p>
    <w:p>
      <w:pPr>
        <w:spacing w:after="60"/>
      </w:pPr>
      <w:r>
        <w:rPr>
          <w:rFonts w:ascii="Arial" w:hAnsi="Arial"/>
          <w:b w:val="0"/>
          <w:color w:val="8B0000"/>
          <w:sz w:val="17"/>
        </w:rPr>
        <w:t>Entropy Vectors: Supply chain disruption ($184M avg annual cost), procurement fraud (5% of spend), inventory carrying cost (20-30% of value), customs delays, supplier concentration risk</w:t>
      </w:r>
    </w:p>
    <w:p>
      <w:pPr>
        <w:spacing w:after="60"/>
      </w:pPr>
      <w:r>
        <w:rPr>
          <w:rFonts w:ascii="Arial" w:hAnsi="Arial"/>
          <w:b w:val="0"/>
          <w:color w:val="006400"/>
          <w:sz w:val="17"/>
        </w:rPr>
        <w:t>Stakeholders: CPOs, Procurement Managers, Logistics Coordinators, Warehouse Staff, Customs Brokers, Freight Forwarders, Suppliers, Distributors</w:t>
      </w:r>
    </w:p>
    <w:p>
      <w:pPr>
        <w:pStyle w:val="Heading2"/>
      </w:pPr>
      <w:r>
        <w:t>F9: Customer Service &amp; Experience</w:t>
      </w:r>
    </w:p>
    <w:p>
      <w:pPr>
        <w:spacing w:after="60"/>
      </w:pPr>
      <w:r>
        <w:rPr>
          <w:rFonts w:ascii="Arial" w:hAnsi="Arial"/>
          <w:b w:val="0"/>
          <w:sz w:val="17"/>
        </w:rPr>
        <w:t>Business Processes: Ticket Management, Call Center Operations, Self-Service Portal, Knowledge Base Management, Escalation Management, Customer Feedback, NPS/Satisfaction Tracking, Warranty Claims, Service Level Management, Multichannel Support, Customer Onboarding, Retention Programs, Loyalty Management, Complaint Resolution</w:t>
      </w:r>
    </w:p>
    <w:p>
      <w:pPr>
        <w:spacing w:after="60"/>
      </w:pPr>
      <w:r>
        <w:rPr>
          <w:rFonts w:ascii="Arial" w:hAnsi="Arial"/>
          <w:b w:val="0"/>
          <w:color w:val="8B0000"/>
          <w:sz w:val="17"/>
        </w:rPr>
        <w:t>Entropy Vectors: Service cost ($1-12 per interaction), resolution time (12-24hr avg), customer churn (5-7% annual), NPS volatility, agent turnover (30-45% annual)</w:t>
      </w:r>
    </w:p>
    <w:p>
      <w:pPr>
        <w:spacing w:after="60"/>
      </w:pPr>
      <w:r>
        <w:rPr>
          <w:rFonts w:ascii="Arial" w:hAnsi="Arial"/>
          <w:b w:val="0"/>
          <w:color w:val="006400"/>
          <w:sz w:val="17"/>
        </w:rPr>
        <w:t>Stakeholders: CXOs, Service Agents, Call Center Managers, Customers, CRM Platform Vendors, BPO Providers, Quality Auditors</w:t>
      </w:r>
    </w:p>
    <w:p>
      <w:pPr>
        <w:pStyle w:val="Heading2"/>
      </w:pPr>
      <w:r>
        <w:t>F10: Research &amp; Development</w:t>
      </w:r>
    </w:p>
    <w:p>
      <w:pPr>
        <w:spacing w:after="60"/>
      </w:pPr>
      <w:r>
        <w:rPr>
          <w:rFonts w:ascii="Arial" w:hAnsi="Arial"/>
          <w:b w:val="0"/>
          <w:sz w:val="17"/>
        </w:rPr>
        <w:t>Business Processes: Ideation &amp; Concept, Feasibility Analysis, Prototyping, Testing &amp; Validation, Clinical Trials (pharma/bio), Patent Filing, Technology Scouting, Competitive R&amp;D Analysis, Regulatory Submission, Product Launch, Post-Market Surveillance, Lab Management, Data Analysis, Collaboration Management</w:t>
      </w:r>
    </w:p>
    <w:p>
      <w:pPr>
        <w:spacing w:after="60"/>
      </w:pPr>
      <w:r>
        <w:rPr>
          <w:rFonts w:ascii="Arial" w:hAnsi="Arial"/>
          <w:b w:val="0"/>
          <w:color w:val="8B0000"/>
          <w:sz w:val="17"/>
        </w:rPr>
        <w:t>Entropy Vectors: R&amp;D failure rate (90%+ in pharma), time-to-market (avg 18-36 months), IP theft risk, regulatory rejection cost, talent scarcity</w:t>
      </w:r>
    </w:p>
    <w:p>
      <w:pPr>
        <w:spacing w:after="60"/>
      </w:pPr>
      <w:r>
        <w:rPr>
          <w:rFonts w:ascii="Arial" w:hAnsi="Arial"/>
          <w:b w:val="0"/>
          <w:color w:val="006400"/>
          <w:sz w:val="17"/>
        </w:rPr>
        <w:t>Stakeholders: CTOs, R&amp;D Directors, Scientists, Engineers, Patent Attorneys, Regulatory Bodies, Academic Partners, VC/PE Investors</w:t>
      </w:r>
    </w:p>
    <w:p>
      <w:pPr>
        <w:pStyle w:val="Heading2"/>
      </w:pPr>
      <w:r>
        <w:t>F11: Strategy &amp; Corporate Development</w:t>
      </w:r>
    </w:p>
    <w:p>
      <w:pPr>
        <w:spacing w:after="60"/>
      </w:pPr>
      <w:r>
        <w:rPr>
          <w:rFonts w:ascii="Arial" w:hAnsi="Arial"/>
          <w:b w:val="0"/>
          <w:sz w:val="17"/>
        </w:rPr>
        <w:t>Business Processes: Strategic Planning, M&amp;A Target Identification, Due Diligence, Valuation, Integration Planning, Partnership Development, Market Entry Strategy, Portfolio Management, Corporate Venturing, Investor Relations, Board Reporting, Competitive Intelligence, Scenario Planning, Business Model Innovation</w:t>
      </w:r>
    </w:p>
    <w:p>
      <w:pPr>
        <w:spacing w:after="60"/>
      </w:pPr>
      <w:r>
        <w:rPr>
          <w:rFonts w:ascii="Arial" w:hAnsi="Arial"/>
          <w:b w:val="0"/>
          <w:color w:val="8B0000"/>
          <w:sz w:val="17"/>
        </w:rPr>
        <w:t>Entropy Vectors: M&amp;A failure rate (70-90%), due diligence gaps, integration cost overrun (60% of deals), strategic pivot delay, board misalignment</w:t>
      </w:r>
    </w:p>
    <w:p>
      <w:pPr>
        <w:spacing w:after="60"/>
      </w:pPr>
      <w:r>
        <w:rPr>
          <w:rFonts w:ascii="Arial" w:hAnsi="Arial"/>
          <w:b w:val="0"/>
          <w:color w:val="006400"/>
          <w:sz w:val="17"/>
        </w:rPr>
        <w:t>Stakeholders: CEOs, Strategy Officers, Corp Dev Teams, Board Directors, Investment Bankers, PE/VC Firms, Advisors, Regulators (antitrust)</w:t>
      </w:r>
    </w:p>
    <w:p>
      <w:pPr>
        <w:pStyle w:val="Heading2"/>
      </w:pPr>
      <w:r>
        <w:t>F12: Governance &amp; Risk</w:t>
      </w:r>
    </w:p>
    <w:p>
      <w:pPr>
        <w:spacing w:after="60"/>
      </w:pPr>
      <w:r>
        <w:rPr>
          <w:rFonts w:ascii="Arial" w:hAnsi="Arial"/>
          <w:b w:val="0"/>
          <w:sz w:val="17"/>
        </w:rPr>
        <w:t>Business Processes: Board Governance, Risk Assessment, Internal Audit, Policy Management, Ethics &amp; Conduct, Whistleblower Management, Business Continuity, Crisis Management, Regulatory Reporting, ESG Reporting, Third-Party Risk, Operational Risk, Cyber Risk, Reputation Risk</w:t>
      </w:r>
    </w:p>
    <w:p>
      <w:pPr>
        <w:spacing w:after="60"/>
      </w:pPr>
      <w:r>
        <w:rPr>
          <w:rFonts w:ascii="Arial" w:hAnsi="Arial"/>
          <w:b w:val="0"/>
          <w:color w:val="8B0000"/>
          <w:sz w:val="17"/>
        </w:rPr>
        <w:t>Entropy Vectors: Governance failure cost ($7.5M avg penalty), audit finding remediation ($2-10M), ESG non-compliance (access to capital risk), crisis response delay (avg 72hr), reputational damage (20-30% market cap hit)</w:t>
      </w:r>
    </w:p>
    <w:p>
      <w:pPr>
        <w:spacing w:after="60"/>
      </w:pPr>
      <w:r>
        <w:rPr>
          <w:rFonts w:ascii="Arial" w:hAnsi="Arial"/>
          <w:b w:val="0"/>
          <w:color w:val="006400"/>
          <w:sz w:val="17"/>
        </w:rPr>
        <w:t>Stakeholders: Board Chairs, Chief Risk Officers, Internal Auditors, Ethics Officers, ESG Officers, External Auditors, Regulators, Insurers, Shareholders</w:t>
      </w:r>
    </w:p>
    <w:p>
      <w:r>
        <w:br w:type="page"/>
      </w:r>
    </w:p>
    <w:p>
      <w:pPr>
        <w:pStyle w:val="Heading1"/>
      </w:pPr>
      <w:r>
        <w:t>3. The Platform Surface Matrix</w:t>
      </w:r>
    </w:p>
    <w:p>
      <w:pPr>
        <w:spacing w:after="60"/>
      </w:pPr>
      <w:r>
        <w:rPr>
          <w:rFonts w:ascii="Arial" w:hAnsi="Arial"/>
          <w:b w:val="0"/>
          <w:sz w:val="20"/>
        </w:rPr>
        <w:t>When a classification code intersects with an entropy dimension and a business function/process, a platform surface emerges. Here is how this works concretely for a single NAICS code, expanded across all dimensions.</w:t>
      </w:r>
    </w:p>
    <w:p>
      <w:pPr>
        <w:pStyle w:val="Heading2"/>
      </w:pPr>
      <w:r>
        <w:t>Example: NAICS 524210 (Insurance Agencies &amp; Brokerages)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152"/>
            <w:shd w:fill="0D0D2B" w:val="clear"/>
          </w:tcPr>
          <w:p>
            <w:pPr>
              <w:jc w:val="center"/>
            </w:pPr>
            <w:r/>
            <w:r>
              <w:rPr>
                <w:rFonts w:ascii="Arial" w:hAnsi="Arial"/>
                <w:b/>
                <w:color w:val="FFFFFF"/>
                <w:sz w:val="16"/>
              </w:rPr>
              <w:t>Business Function</w:t>
            </w:r>
          </w:p>
        </w:tc>
        <w:tc>
          <w:tcPr>
            <w:tcW w:type="dxa" w:w="1296"/>
            <w:shd w:fill="0D0D2B" w:val="clear"/>
          </w:tcPr>
          <w:p>
            <w:pPr>
              <w:jc w:val="center"/>
            </w:pPr>
            <w:r/>
            <w:r>
              <w:rPr>
                <w:rFonts w:ascii="Arial" w:hAnsi="Arial"/>
                <w:b/>
                <w:color w:val="FFFFFF"/>
                <w:sz w:val="16"/>
              </w:rPr>
              <w:t>Business Process</w:t>
            </w:r>
          </w:p>
        </w:tc>
        <w:tc>
          <w:tcPr>
            <w:tcW w:type="dxa" w:w="1728"/>
            <w:shd w:fill="0D0D2B" w:val="clear"/>
          </w:tcPr>
          <w:p>
            <w:pPr>
              <w:jc w:val="center"/>
            </w:pPr>
            <w:r/>
            <w:r>
              <w:rPr>
                <w:rFonts w:ascii="Arial" w:hAnsi="Arial"/>
                <w:b/>
                <w:color w:val="FFFFFF"/>
                <w:sz w:val="16"/>
              </w:rPr>
              <w:t>Entropy Dimension</w:t>
            </w:r>
          </w:p>
        </w:tc>
        <w:tc>
          <w:tcPr>
            <w:tcW w:type="dxa" w:w="1584"/>
            <w:shd w:fill="0D0D2B" w:val="clear"/>
          </w:tcPr>
          <w:p>
            <w:pPr>
              <w:jc w:val="center"/>
            </w:pPr>
            <w:r/>
            <w:r>
              <w:rPr>
                <w:rFonts w:ascii="Arial" w:hAnsi="Arial"/>
                <w:b/>
                <w:color w:val="FFFFFF"/>
                <w:sz w:val="16"/>
              </w:rPr>
              <w:t>Platform Surface (AINE)</w:t>
            </w:r>
          </w:p>
        </w:tc>
        <w:tc>
          <w:tcPr>
            <w:tcW w:type="dxa" w:w="1584"/>
            <w:shd w:fill="0D0D2B" w:val="clear"/>
          </w:tcPr>
          <w:p>
            <w:pPr>
              <w:jc w:val="center"/>
            </w:pPr>
            <w:r/>
            <w:r>
              <w:rPr>
                <w:rFonts w:ascii="Arial" w:hAnsi="Arial"/>
                <w:b/>
                <w:color w:val="FFFFFF"/>
                <w:sz w:val="16"/>
              </w:rPr>
              <w:t>Stakeholders Incentivized</w:t>
            </w:r>
          </w:p>
        </w:tc>
        <w:tc>
          <w:tcPr>
            <w:tcW w:type="dxa" w:w="1296"/>
            <w:shd w:fill="0D0D2B" w:val="clear"/>
          </w:tcPr>
          <w:p>
            <w:pPr>
              <w:jc w:val="center"/>
            </w:pPr>
            <w:r/>
            <w:r>
              <w:rPr>
                <w:rFonts w:ascii="Arial" w:hAnsi="Arial"/>
                <w:b/>
                <w:color w:val="FFFFFF"/>
                <w:sz w:val="16"/>
              </w:rPr>
              <w:t>Revenue Model</w:t>
            </w:r>
          </w:p>
        </w:tc>
      </w:tr>
      <w:tr>
        <w:tc>
          <w:tcPr>
            <w:tcW w:type="dxa" w:w="1152"/>
            <w:shd w:fill="EDEDF7" w:val="clear"/>
          </w:tcPr>
          <w:p>
            <w:r/>
            <w:r>
              <w:rPr>
                <w:rFonts w:ascii="Arial" w:hAnsi="Arial"/>
                <w:sz w:val="15"/>
              </w:rPr>
              <w:t>Finance</w:t>
            </w:r>
          </w:p>
        </w:tc>
        <w:tc>
          <w:tcPr>
            <w:tcW w:type="dxa" w:w="1296"/>
            <w:shd w:fill="EDEDF7" w:val="clear"/>
          </w:tcPr>
          <w:p>
            <w:r/>
            <w:r>
              <w:rPr>
                <w:rFonts w:ascii="Arial" w:hAnsi="Arial"/>
                <w:sz w:val="15"/>
              </w:rPr>
              <w:t>Premium Reconciliation</w:t>
            </w:r>
          </w:p>
        </w:tc>
        <w:tc>
          <w:tcPr>
            <w:tcW w:type="dxa" w:w="1728"/>
            <w:shd w:fill="EDEDF7" w:val="clear"/>
          </w:tcPr>
          <w:p>
            <w:r/>
            <w:r>
              <w:rPr>
                <w:rFonts w:ascii="Arial" w:hAnsi="Arial"/>
                <w:sz w:val="15"/>
              </w:rPr>
              <w:t>Pain Point: $3.2M avg annual leakage</w:t>
            </w:r>
          </w:p>
        </w:tc>
        <w:tc>
          <w:tcPr>
            <w:tcW w:type="dxa" w:w="1584"/>
            <w:shd w:fill="EDEDF7" w:val="clear"/>
          </w:tcPr>
          <w:p>
            <w:r/>
            <w:r>
              <w:rPr>
                <w:rFonts w:ascii="Arial" w:hAnsi="Arial"/>
                <w:sz w:val="15"/>
              </w:rPr>
              <w:t>InsurePay Reconciliation AINE</w:t>
            </w:r>
          </w:p>
        </w:tc>
        <w:tc>
          <w:tcPr>
            <w:tcW w:type="dxa" w:w="1584"/>
            <w:shd w:fill="EDEDF7" w:val="clear"/>
          </w:tcPr>
          <w:p>
            <w:r/>
            <w:r>
              <w:rPr>
                <w:rFonts w:ascii="Arial" w:hAnsi="Arial"/>
                <w:sz w:val="15"/>
              </w:rPr>
              <w:t>CFO, Carriers, Brokers, Auditors</w:t>
            </w:r>
          </w:p>
        </w:tc>
        <w:tc>
          <w:tcPr>
            <w:tcW w:type="dxa" w:w="1296"/>
            <w:shd w:fill="EDEDF7" w:val="clear"/>
          </w:tcPr>
          <w:p>
            <w:r/>
            <w:r>
              <w:rPr>
                <w:rFonts w:ascii="Arial" w:hAnsi="Arial"/>
                <w:sz w:val="15"/>
              </w:rPr>
              <w:t>SaaS $2K/mo + recovery %</w:t>
            </w:r>
          </w:p>
        </w:tc>
      </w:tr>
      <w:tr>
        <w:tc>
          <w:tcPr>
            <w:tcW w:type="dxa" w:w="1152"/>
          </w:tcPr>
          <w:p>
            <w:r/>
            <w:r>
              <w:rPr>
                <w:rFonts w:ascii="Arial" w:hAnsi="Arial"/>
                <w:sz w:val="15"/>
              </w:rPr>
              <w:t>Finance</w:t>
            </w:r>
          </w:p>
        </w:tc>
        <w:tc>
          <w:tcPr>
            <w:tcW w:type="dxa" w:w="1296"/>
          </w:tcPr>
          <w:p>
            <w:r/>
            <w:r>
              <w:rPr>
                <w:rFonts w:ascii="Arial" w:hAnsi="Arial"/>
                <w:sz w:val="15"/>
              </w:rPr>
              <w:t>Commission Calculation</w:t>
            </w:r>
          </w:p>
        </w:tc>
        <w:tc>
          <w:tcPr>
            <w:tcW w:type="dxa" w:w="1728"/>
          </w:tcPr>
          <w:p>
            <w:r/>
            <w:r>
              <w:rPr>
                <w:rFonts w:ascii="Arial" w:hAnsi="Arial"/>
                <w:sz w:val="15"/>
              </w:rPr>
              <w:t>Bottleneck: 15-day processing lag</w:t>
            </w:r>
          </w:p>
        </w:tc>
        <w:tc>
          <w:tcPr>
            <w:tcW w:type="dxa" w:w="1584"/>
          </w:tcPr>
          <w:p>
            <w:r/>
            <w:r>
              <w:rPr>
                <w:rFonts w:ascii="Arial" w:hAnsi="Arial"/>
                <w:sz w:val="15"/>
              </w:rPr>
              <w:t>CommCalc Automation AINE</w:t>
            </w:r>
          </w:p>
        </w:tc>
        <w:tc>
          <w:tcPr>
            <w:tcW w:type="dxa" w:w="1584"/>
          </w:tcPr>
          <w:p>
            <w:r/>
            <w:r>
              <w:rPr>
                <w:rFonts w:ascii="Arial" w:hAnsi="Arial"/>
                <w:sz w:val="15"/>
              </w:rPr>
              <w:t>Agents, Agencies, Carriers</w:t>
            </w:r>
          </w:p>
        </w:tc>
        <w:tc>
          <w:tcPr>
            <w:tcW w:type="dxa" w:w="1296"/>
          </w:tcPr>
          <w:p>
            <w:r/>
            <w:r>
              <w:rPr>
                <w:rFonts w:ascii="Arial" w:hAnsi="Arial"/>
                <w:sz w:val="15"/>
              </w:rPr>
              <w:t>Per-transaction $0.50</w:t>
            </w:r>
          </w:p>
        </w:tc>
      </w:tr>
      <w:tr>
        <w:tc>
          <w:tcPr>
            <w:tcW w:type="dxa" w:w="1152"/>
            <w:shd w:fill="EDEDF7" w:val="clear"/>
          </w:tcPr>
          <w:p>
            <w:r/>
            <w:r>
              <w:rPr>
                <w:rFonts w:ascii="Arial" w:hAnsi="Arial"/>
                <w:sz w:val="15"/>
              </w:rPr>
              <w:t>Operations</w:t>
            </w:r>
          </w:p>
        </w:tc>
        <w:tc>
          <w:tcPr>
            <w:tcW w:type="dxa" w:w="1296"/>
            <w:shd w:fill="EDEDF7" w:val="clear"/>
          </w:tcPr>
          <w:p>
            <w:r/>
            <w:r>
              <w:rPr>
                <w:rFonts w:ascii="Arial" w:hAnsi="Arial"/>
                <w:sz w:val="15"/>
              </w:rPr>
              <w:t>Policy Administration</w:t>
            </w:r>
          </w:p>
        </w:tc>
        <w:tc>
          <w:tcPr>
            <w:tcW w:type="dxa" w:w="1728"/>
            <w:shd w:fill="EDEDF7" w:val="clear"/>
          </w:tcPr>
          <w:p>
            <w:r/>
            <w:r>
              <w:rPr>
                <w:rFonts w:ascii="Arial" w:hAnsi="Arial"/>
                <w:sz w:val="15"/>
              </w:rPr>
              <w:t>Chokepoint: State filing requirements (50 states)</w:t>
            </w:r>
          </w:p>
        </w:tc>
        <w:tc>
          <w:tcPr>
            <w:tcW w:type="dxa" w:w="1584"/>
            <w:shd w:fill="EDEDF7" w:val="clear"/>
          </w:tcPr>
          <w:p>
            <w:r/>
            <w:r>
              <w:rPr>
                <w:rFonts w:ascii="Arial" w:hAnsi="Arial"/>
                <w:sz w:val="15"/>
              </w:rPr>
              <w:t>PolicyAdmin Compliance AINE</w:t>
            </w:r>
          </w:p>
        </w:tc>
        <w:tc>
          <w:tcPr>
            <w:tcW w:type="dxa" w:w="1584"/>
            <w:shd w:fill="EDEDF7" w:val="clear"/>
          </w:tcPr>
          <w:p>
            <w:r/>
            <w:r>
              <w:rPr>
                <w:rFonts w:ascii="Arial" w:hAnsi="Arial"/>
                <w:sz w:val="15"/>
              </w:rPr>
              <w:t>Underwriters, Compliance, State DOIs</w:t>
            </w:r>
          </w:p>
        </w:tc>
        <w:tc>
          <w:tcPr>
            <w:tcW w:type="dxa" w:w="1296"/>
            <w:shd w:fill="EDEDF7" w:val="clear"/>
          </w:tcPr>
          <w:p>
            <w:r/>
            <w:r>
              <w:rPr>
                <w:rFonts w:ascii="Arial" w:hAnsi="Arial"/>
                <w:sz w:val="15"/>
              </w:rPr>
              <w:t>License $50K/yr</w:t>
            </w:r>
          </w:p>
        </w:tc>
      </w:tr>
      <w:tr>
        <w:tc>
          <w:tcPr>
            <w:tcW w:type="dxa" w:w="1152"/>
          </w:tcPr>
          <w:p>
            <w:r/>
            <w:r>
              <w:rPr>
                <w:rFonts w:ascii="Arial" w:hAnsi="Arial"/>
                <w:sz w:val="15"/>
              </w:rPr>
              <w:t>Operations</w:t>
            </w:r>
          </w:p>
        </w:tc>
        <w:tc>
          <w:tcPr>
            <w:tcW w:type="dxa" w:w="1296"/>
          </w:tcPr>
          <w:p>
            <w:r/>
            <w:r>
              <w:rPr>
                <w:rFonts w:ascii="Arial" w:hAnsi="Arial"/>
                <w:sz w:val="15"/>
              </w:rPr>
              <w:t>Claims Processing</w:t>
            </w:r>
          </w:p>
        </w:tc>
        <w:tc>
          <w:tcPr>
            <w:tcW w:type="dxa" w:w="1728"/>
          </w:tcPr>
          <w:p>
            <w:r/>
            <w:r>
              <w:rPr>
                <w:rFonts w:ascii="Arial" w:hAnsi="Arial"/>
                <w:sz w:val="15"/>
              </w:rPr>
              <w:t>Entropy Vector: 23% error rate in first notice</w:t>
            </w:r>
          </w:p>
        </w:tc>
        <w:tc>
          <w:tcPr>
            <w:tcW w:type="dxa" w:w="1584"/>
          </w:tcPr>
          <w:p>
            <w:r/>
            <w:r>
              <w:rPr>
                <w:rFonts w:ascii="Arial" w:hAnsi="Arial"/>
                <w:sz w:val="15"/>
              </w:rPr>
              <w:t>ClaimsSense AINE</w:t>
            </w:r>
          </w:p>
        </w:tc>
        <w:tc>
          <w:tcPr>
            <w:tcW w:type="dxa" w:w="1584"/>
          </w:tcPr>
          <w:p>
            <w:r/>
            <w:r>
              <w:rPr>
                <w:rFonts w:ascii="Arial" w:hAnsi="Arial"/>
                <w:sz w:val="15"/>
              </w:rPr>
              <w:t>Adjusters, Claimants, TPA, Reinsurers</w:t>
            </w:r>
          </w:p>
        </w:tc>
        <w:tc>
          <w:tcPr>
            <w:tcW w:type="dxa" w:w="1296"/>
          </w:tcPr>
          <w:p>
            <w:r/>
            <w:r>
              <w:rPr>
                <w:rFonts w:ascii="Arial" w:hAnsi="Arial"/>
                <w:sz w:val="15"/>
              </w:rPr>
              <w:t>Per-claim $5-50</w:t>
            </w:r>
          </w:p>
        </w:tc>
      </w:tr>
      <w:tr>
        <w:tc>
          <w:tcPr>
            <w:tcW w:type="dxa" w:w="1152"/>
            <w:shd w:fill="EDEDF7" w:val="clear"/>
          </w:tcPr>
          <w:p>
            <w:r/>
            <w:r>
              <w:rPr>
                <w:rFonts w:ascii="Arial" w:hAnsi="Arial"/>
                <w:sz w:val="15"/>
              </w:rPr>
              <w:t>Sales</w:t>
            </w:r>
          </w:p>
        </w:tc>
        <w:tc>
          <w:tcPr>
            <w:tcW w:type="dxa" w:w="1296"/>
            <w:shd w:fill="EDEDF7" w:val="clear"/>
          </w:tcPr>
          <w:p>
            <w:r/>
            <w:r>
              <w:rPr>
                <w:rFonts w:ascii="Arial" w:hAnsi="Arial"/>
                <w:sz w:val="15"/>
              </w:rPr>
              <w:t>Quote Generation</w:t>
            </w:r>
          </w:p>
        </w:tc>
        <w:tc>
          <w:tcPr>
            <w:tcW w:type="dxa" w:w="1728"/>
            <w:shd w:fill="EDEDF7" w:val="clear"/>
          </w:tcPr>
          <w:p>
            <w:r/>
            <w:r>
              <w:rPr>
                <w:rFonts w:ascii="Arial" w:hAnsi="Arial"/>
                <w:sz w:val="15"/>
              </w:rPr>
              <w:t>Obstacle: 4-7 day quote turnaround</w:t>
            </w:r>
          </w:p>
        </w:tc>
        <w:tc>
          <w:tcPr>
            <w:tcW w:type="dxa" w:w="1584"/>
            <w:shd w:fill="EDEDF7" w:val="clear"/>
          </w:tcPr>
          <w:p>
            <w:r/>
            <w:r>
              <w:rPr>
                <w:rFonts w:ascii="Arial" w:hAnsi="Arial"/>
                <w:sz w:val="15"/>
              </w:rPr>
              <w:t>InstaQuote AINE</w:t>
            </w:r>
          </w:p>
        </w:tc>
        <w:tc>
          <w:tcPr>
            <w:tcW w:type="dxa" w:w="1584"/>
            <w:shd w:fill="EDEDF7" w:val="clear"/>
          </w:tcPr>
          <w:p>
            <w:r/>
            <w:r>
              <w:rPr>
                <w:rFonts w:ascii="Arial" w:hAnsi="Arial"/>
                <w:sz w:val="15"/>
              </w:rPr>
              <w:t>Agents, Prospects, Carriers, MGAs</w:t>
            </w:r>
          </w:p>
        </w:tc>
        <w:tc>
          <w:tcPr>
            <w:tcW w:type="dxa" w:w="1296"/>
            <w:shd w:fill="EDEDF7" w:val="clear"/>
          </w:tcPr>
          <w:p>
            <w:r/>
            <w:r>
              <w:rPr>
                <w:rFonts w:ascii="Arial" w:hAnsi="Arial"/>
                <w:sz w:val="15"/>
              </w:rPr>
              <w:t>Per-quote $2-10</w:t>
            </w:r>
          </w:p>
        </w:tc>
      </w:tr>
      <w:tr>
        <w:tc>
          <w:tcPr>
            <w:tcW w:type="dxa" w:w="1152"/>
          </w:tcPr>
          <w:p>
            <w:r/>
            <w:r>
              <w:rPr>
                <w:rFonts w:ascii="Arial" w:hAnsi="Arial"/>
                <w:sz w:val="15"/>
              </w:rPr>
              <w:t>Sales</w:t>
            </w:r>
          </w:p>
        </w:tc>
        <w:tc>
          <w:tcPr>
            <w:tcW w:type="dxa" w:w="1296"/>
          </w:tcPr>
          <w:p>
            <w:r/>
            <w:r>
              <w:rPr>
                <w:rFonts w:ascii="Arial" w:hAnsi="Arial"/>
                <w:sz w:val="15"/>
              </w:rPr>
              <w:t>Renewal Management</w:t>
            </w:r>
          </w:p>
        </w:tc>
        <w:tc>
          <w:tcPr>
            <w:tcW w:type="dxa" w:w="1728"/>
          </w:tcPr>
          <w:p>
            <w:r/>
            <w:r>
              <w:rPr>
                <w:rFonts w:ascii="Arial" w:hAnsi="Arial"/>
                <w:sz w:val="15"/>
              </w:rPr>
              <w:t>Threat: 15-25% annual policy lapse</w:t>
            </w:r>
          </w:p>
        </w:tc>
        <w:tc>
          <w:tcPr>
            <w:tcW w:type="dxa" w:w="1584"/>
          </w:tcPr>
          <w:p>
            <w:r/>
            <w:r>
              <w:rPr>
                <w:rFonts w:ascii="Arial" w:hAnsi="Arial"/>
                <w:sz w:val="15"/>
              </w:rPr>
              <w:t>RetainMax AINE</w:t>
            </w:r>
          </w:p>
        </w:tc>
        <w:tc>
          <w:tcPr>
            <w:tcW w:type="dxa" w:w="1584"/>
          </w:tcPr>
          <w:p>
            <w:r/>
            <w:r>
              <w:rPr>
                <w:rFonts w:ascii="Arial" w:hAnsi="Arial"/>
                <w:sz w:val="15"/>
              </w:rPr>
              <w:t>Agents, Policyholders, Carriers</w:t>
            </w:r>
          </w:p>
        </w:tc>
        <w:tc>
          <w:tcPr>
            <w:tcW w:type="dxa" w:w="1296"/>
          </w:tcPr>
          <w:p>
            <w:r/>
            <w:r>
              <w:rPr>
                <w:rFonts w:ascii="Arial" w:hAnsi="Arial"/>
                <w:sz w:val="15"/>
              </w:rPr>
              <w:t>Retention bonus 2%</w:t>
            </w:r>
          </w:p>
        </w:tc>
      </w:tr>
      <w:tr>
        <w:tc>
          <w:tcPr>
            <w:tcW w:type="dxa" w:w="1152"/>
            <w:shd w:fill="EDEDF7" w:val="clear"/>
          </w:tcPr>
          <w:p>
            <w:r/>
            <w:r>
              <w:rPr>
                <w:rFonts w:ascii="Arial" w:hAnsi="Arial"/>
                <w:sz w:val="15"/>
              </w:rPr>
              <w:t>Compliance</w:t>
            </w:r>
          </w:p>
        </w:tc>
        <w:tc>
          <w:tcPr>
            <w:tcW w:type="dxa" w:w="1296"/>
            <w:shd w:fill="EDEDF7" w:val="clear"/>
          </w:tcPr>
          <w:p>
            <w:r/>
            <w:r>
              <w:rPr>
                <w:rFonts w:ascii="Arial" w:hAnsi="Arial"/>
                <w:sz w:val="15"/>
              </w:rPr>
              <w:t>Regulatory Reporting</w:t>
            </w:r>
          </w:p>
        </w:tc>
        <w:tc>
          <w:tcPr>
            <w:tcW w:type="dxa" w:w="1728"/>
            <w:shd w:fill="EDEDF7" w:val="clear"/>
          </w:tcPr>
          <w:p>
            <w:r/>
            <w:r>
              <w:rPr>
                <w:rFonts w:ascii="Arial" w:hAnsi="Arial"/>
                <w:sz w:val="15"/>
              </w:rPr>
              <w:t>Challenge: 217 regulatory updates/day</w:t>
            </w:r>
          </w:p>
        </w:tc>
        <w:tc>
          <w:tcPr>
            <w:tcW w:type="dxa" w:w="1584"/>
            <w:shd w:fill="EDEDF7" w:val="clear"/>
          </w:tcPr>
          <w:p>
            <w:r/>
            <w:r>
              <w:rPr>
                <w:rFonts w:ascii="Arial" w:hAnsi="Arial"/>
                <w:sz w:val="15"/>
              </w:rPr>
              <w:t>RegTrack Insurance AINE</w:t>
            </w:r>
          </w:p>
        </w:tc>
        <w:tc>
          <w:tcPr>
            <w:tcW w:type="dxa" w:w="1584"/>
            <w:shd w:fill="EDEDF7" w:val="clear"/>
          </w:tcPr>
          <w:p>
            <w:r/>
            <w:r>
              <w:rPr>
                <w:rFonts w:ascii="Arial" w:hAnsi="Arial"/>
                <w:sz w:val="15"/>
              </w:rPr>
              <w:t>Compliance Officers, Regulators, Legal</w:t>
            </w:r>
          </w:p>
        </w:tc>
        <w:tc>
          <w:tcPr>
            <w:tcW w:type="dxa" w:w="1296"/>
            <w:shd w:fill="EDEDF7" w:val="clear"/>
          </w:tcPr>
          <w:p>
            <w:r/>
            <w:r>
              <w:rPr>
                <w:rFonts w:ascii="Arial" w:hAnsi="Arial"/>
                <w:sz w:val="15"/>
              </w:rPr>
              <w:t>Subscription $5K/mo</w:t>
            </w:r>
          </w:p>
        </w:tc>
      </w:tr>
      <w:tr>
        <w:tc>
          <w:tcPr>
            <w:tcW w:type="dxa" w:w="1152"/>
          </w:tcPr>
          <w:p>
            <w:r/>
            <w:r>
              <w:rPr>
                <w:rFonts w:ascii="Arial" w:hAnsi="Arial"/>
                <w:sz w:val="15"/>
              </w:rPr>
              <w:t>Compliance</w:t>
            </w:r>
          </w:p>
        </w:tc>
        <w:tc>
          <w:tcPr>
            <w:tcW w:type="dxa" w:w="1296"/>
          </w:tcPr>
          <w:p>
            <w:r/>
            <w:r>
              <w:rPr>
                <w:rFonts w:ascii="Arial" w:hAnsi="Arial"/>
                <w:sz w:val="15"/>
              </w:rPr>
              <w:t>Surplus Lines Filing</w:t>
            </w:r>
          </w:p>
        </w:tc>
        <w:tc>
          <w:tcPr>
            <w:tcW w:type="dxa" w:w="1728"/>
          </w:tcPr>
          <w:p>
            <w:r/>
            <w:r>
              <w:rPr>
                <w:rFonts w:ascii="Arial" w:hAnsi="Arial"/>
                <w:sz w:val="15"/>
              </w:rPr>
              <w:t>Chokepoint: State-by-state filing rules</w:t>
            </w:r>
          </w:p>
        </w:tc>
        <w:tc>
          <w:tcPr>
            <w:tcW w:type="dxa" w:w="1584"/>
          </w:tcPr>
          <w:p>
            <w:r/>
            <w:r>
              <w:rPr>
                <w:rFonts w:ascii="Arial" w:hAnsi="Arial"/>
                <w:sz w:val="15"/>
              </w:rPr>
              <w:t>SurplusFile AINE</w:t>
            </w:r>
          </w:p>
        </w:tc>
        <w:tc>
          <w:tcPr>
            <w:tcW w:type="dxa" w:w="1584"/>
          </w:tcPr>
          <w:p>
            <w:r/>
            <w:r>
              <w:rPr>
                <w:rFonts w:ascii="Arial" w:hAnsi="Arial"/>
                <w:sz w:val="15"/>
              </w:rPr>
              <w:t>Surplus Lines Brokers, State Agencies</w:t>
            </w:r>
          </w:p>
        </w:tc>
        <w:tc>
          <w:tcPr>
            <w:tcW w:type="dxa" w:w="1296"/>
          </w:tcPr>
          <w:p>
            <w:r/>
            <w:r>
              <w:rPr>
                <w:rFonts w:ascii="Arial" w:hAnsi="Arial"/>
                <w:sz w:val="15"/>
              </w:rPr>
              <w:t>Per-filing $25-100</w:t>
            </w:r>
          </w:p>
        </w:tc>
      </w:tr>
      <w:tr>
        <w:tc>
          <w:tcPr>
            <w:tcW w:type="dxa" w:w="1152"/>
            <w:shd w:fill="EDEDF7" w:val="clear"/>
          </w:tcPr>
          <w:p>
            <w:r/>
            <w:r>
              <w:rPr>
                <w:rFonts w:ascii="Arial" w:hAnsi="Arial"/>
                <w:sz w:val="15"/>
              </w:rPr>
              <w:t>HR</w:t>
            </w:r>
          </w:p>
        </w:tc>
        <w:tc>
          <w:tcPr>
            <w:tcW w:type="dxa" w:w="1296"/>
            <w:shd w:fill="EDEDF7" w:val="clear"/>
          </w:tcPr>
          <w:p>
            <w:r/>
            <w:r>
              <w:rPr>
                <w:rFonts w:ascii="Arial" w:hAnsi="Arial"/>
                <w:sz w:val="15"/>
              </w:rPr>
              <w:t>Agent Licensing</w:t>
            </w:r>
          </w:p>
        </w:tc>
        <w:tc>
          <w:tcPr>
            <w:tcW w:type="dxa" w:w="1728"/>
            <w:shd w:fill="EDEDF7" w:val="clear"/>
          </w:tcPr>
          <w:p>
            <w:r/>
            <w:r>
              <w:rPr>
                <w:rFonts w:ascii="Arial" w:hAnsi="Arial"/>
                <w:sz w:val="15"/>
              </w:rPr>
              <w:t>Bottleneck: CE credit tracking across states</w:t>
            </w:r>
          </w:p>
        </w:tc>
        <w:tc>
          <w:tcPr>
            <w:tcW w:type="dxa" w:w="1584"/>
            <w:shd w:fill="EDEDF7" w:val="clear"/>
          </w:tcPr>
          <w:p>
            <w:r/>
            <w:r>
              <w:rPr>
                <w:rFonts w:ascii="Arial" w:hAnsi="Arial"/>
                <w:sz w:val="15"/>
              </w:rPr>
              <w:t>AgentLicense AINE</w:t>
            </w:r>
          </w:p>
        </w:tc>
        <w:tc>
          <w:tcPr>
            <w:tcW w:type="dxa" w:w="1584"/>
            <w:shd w:fill="EDEDF7" w:val="clear"/>
          </w:tcPr>
          <w:p>
            <w:r/>
            <w:r>
              <w:rPr>
                <w:rFonts w:ascii="Arial" w:hAnsi="Arial"/>
                <w:sz w:val="15"/>
              </w:rPr>
              <w:t>Agents, Agencies, State DOIs, Training</w:t>
            </w:r>
          </w:p>
        </w:tc>
        <w:tc>
          <w:tcPr>
            <w:tcW w:type="dxa" w:w="1296"/>
            <w:shd w:fill="EDEDF7" w:val="clear"/>
          </w:tcPr>
          <w:p>
            <w:r/>
            <w:r>
              <w:rPr>
                <w:rFonts w:ascii="Arial" w:hAnsi="Arial"/>
                <w:sz w:val="15"/>
              </w:rPr>
              <w:t>Per-agent $20/mo</w:t>
            </w:r>
          </w:p>
        </w:tc>
      </w:tr>
      <w:tr>
        <w:tc>
          <w:tcPr>
            <w:tcW w:type="dxa" w:w="1152"/>
          </w:tcPr>
          <w:p>
            <w:r/>
            <w:r>
              <w:rPr>
                <w:rFonts w:ascii="Arial" w:hAnsi="Arial"/>
                <w:sz w:val="15"/>
              </w:rPr>
              <w:t>IT</w:t>
            </w:r>
          </w:p>
        </w:tc>
        <w:tc>
          <w:tcPr>
            <w:tcW w:type="dxa" w:w="1296"/>
          </w:tcPr>
          <w:p>
            <w:r/>
            <w:r>
              <w:rPr>
                <w:rFonts w:ascii="Arial" w:hAnsi="Arial"/>
                <w:sz w:val="15"/>
              </w:rPr>
              <w:t>Data Integration</w:t>
            </w:r>
          </w:p>
        </w:tc>
        <w:tc>
          <w:tcPr>
            <w:tcW w:type="dxa" w:w="1728"/>
          </w:tcPr>
          <w:p>
            <w:r/>
            <w:r>
              <w:rPr>
                <w:rFonts w:ascii="Arial" w:hAnsi="Arial"/>
                <w:sz w:val="15"/>
              </w:rPr>
              <w:t>Systemic Force: Legacy system fragmentation</w:t>
            </w:r>
          </w:p>
        </w:tc>
        <w:tc>
          <w:tcPr>
            <w:tcW w:type="dxa" w:w="1584"/>
          </w:tcPr>
          <w:p>
            <w:r/>
            <w:r>
              <w:rPr>
                <w:rFonts w:ascii="Arial" w:hAnsi="Arial"/>
                <w:sz w:val="15"/>
              </w:rPr>
              <w:t>InsurConnect AINE</w:t>
            </w:r>
          </w:p>
        </w:tc>
        <w:tc>
          <w:tcPr>
            <w:tcW w:type="dxa" w:w="1584"/>
          </w:tcPr>
          <w:p>
            <w:r/>
            <w:r>
              <w:rPr>
                <w:rFonts w:ascii="Arial" w:hAnsi="Arial"/>
                <w:sz w:val="15"/>
              </w:rPr>
              <w:t>CTO, Vendors, Carriers, Analytics</w:t>
            </w:r>
          </w:p>
        </w:tc>
        <w:tc>
          <w:tcPr>
            <w:tcW w:type="dxa" w:w="1296"/>
          </w:tcPr>
          <w:p>
            <w:r/>
            <w:r>
              <w:rPr>
                <w:rFonts w:ascii="Arial" w:hAnsi="Arial"/>
                <w:sz w:val="15"/>
              </w:rPr>
              <w:t>Integration $25K setup + $3K/mo</w:t>
            </w:r>
          </w:p>
        </w:tc>
      </w:tr>
      <w:tr>
        <w:tc>
          <w:tcPr>
            <w:tcW w:type="dxa" w:w="1152"/>
            <w:shd w:fill="EDEDF7" w:val="clear"/>
          </w:tcPr>
          <w:p>
            <w:r/>
            <w:r>
              <w:rPr>
                <w:rFonts w:ascii="Arial" w:hAnsi="Arial"/>
                <w:sz w:val="15"/>
              </w:rPr>
              <w:t>Customer Service</w:t>
            </w:r>
          </w:p>
        </w:tc>
        <w:tc>
          <w:tcPr>
            <w:tcW w:type="dxa" w:w="1296"/>
            <w:shd w:fill="EDEDF7" w:val="clear"/>
          </w:tcPr>
          <w:p>
            <w:r/>
            <w:r>
              <w:rPr>
                <w:rFonts w:ascii="Arial" w:hAnsi="Arial"/>
                <w:sz w:val="15"/>
              </w:rPr>
              <w:t>Policy Inquiry</w:t>
            </w:r>
          </w:p>
        </w:tc>
        <w:tc>
          <w:tcPr>
            <w:tcW w:type="dxa" w:w="1728"/>
            <w:shd w:fill="EDEDF7" w:val="clear"/>
          </w:tcPr>
          <w:p>
            <w:r/>
            <w:r>
              <w:rPr>
                <w:rFonts w:ascii="Arial" w:hAnsi="Arial"/>
                <w:sz w:val="15"/>
              </w:rPr>
              <w:t>Pain Point: $8-12 per call, 40% repeat calls</w:t>
            </w:r>
          </w:p>
        </w:tc>
        <w:tc>
          <w:tcPr>
            <w:tcW w:type="dxa" w:w="1584"/>
            <w:shd w:fill="EDEDF7" w:val="clear"/>
          </w:tcPr>
          <w:p>
            <w:r/>
            <w:r>
              <w:rPr>
                <w:rFonts w:ascii="Arial" w:hAnsi="Arial"/>
                <w:sz w:val="15"/>
              </w:rPr>
              <w:t>PolicyBot AINE</w:t>
            </w:r>
          </w:p>
        </w:tc>
        <w:tc>
          <w:tcPr>
            <w:tcW w:type="dxa" w:w="1584"/>
            <w:shd w:fill="EDEDF7" w:val="clear"/>
          </w:tcPr>
          <w:p>
            <w:r/>
            <w:r>
              <w:rPr>
                <w:rFonts w:ascii="Arial" w:hAnsi="Arial"/>
                <w:sz w:val="15"/>
              </w:rPr>
              <w:t>Policyholders, Agents, Call Center</w:t>
            </w:r>
          </w:p>
        </w:tc>
        <w:tc>
          <w:tcPr>
            <w:tcW w:type="dxa" w:w="1296"/>
            <w:shd w:fill="EDEDF7" w:val="clear"/>
          </w:tcPr>
          <w:p>
            <w:r/>
            <w:r>
              <w:rPr>
                <w:rFonts w:ascii="Arial" w:hAnsi="Arial"/>
                <w:sz w:val="15"/>
              </w:rPr>
              <w:t>Per-resolution $1-3</w:t>
            </w:r>
          </w:p>
        </w:tc>
      </w:tr>
      <w:tr>
        <w:tc>
          <w:tcPr>
            <w:tcW w:type="dxa" w:w="1152"/>
          </w:tcPr>
          <w:p>
            <w:r/>
            <w:r>
              <w:rPr>
                <w:rFonts w:ascii="Arial" w:hAnsi="Arial"/>
                <w:sz w:val="15"/>
              </w:rPr>
              <w:t>Supply Chain</w:t>
            </w:r>
          </w:p>
        </w:tc>
        <w:tc>
          <w:tcPr>
            <w:tcW w:type="dxa" w:w="1296"/>
          </w:tcPr>
          <w:p>
            <w:r/>
            <w:r>
              <w:rPr>
                <w:rFonts w:ascii="Arial" w:hAnsi="Arial"/>
                <w:sz w:val="15"/>
              </w:rPr>
              <w:t>Reinsurance Placement</w:t>
            </w:r>
          </w:p>
        </w:tc>
        <w:tc>
          <w:tcPr>
            <w:tcW w:type="dxa" w:w="1728"/>
          </w:tcPr>
          <w:p>
            <w:r/>
            <w:r>
              <w:rPr>
                <w:rFonts w:ascii="Arial" w:hAnsi="Arial"/>
                <w:sz w:val="15"/>
              </w:rPr>
              <w:t>Threat: Capacity shortage in catastrophe lines</w:t>
            </w:r>
          </w:p>
        </w:tc>
        <w:tc>
          <w:tcPr>
            <w:tcW w:type="dxa" w:w="1584"/>
          </w:tcPr>
          <w:p>
            <w:r/>
            <w:r>
              <w:rPr>
                <w:rFonts w:ascii="Arial" w:hAnsi="Arial"/>
                <w:sz w:val="15"/>
              </w:rPr>
              <w:t>ReinsureMatch AINE</w:t>
            </w:r>
          </w:p>
        </w:tc>
        <w:tc>
          <w:tcPr>
            <w:tcW w:type="dxa" w:w="1584"/>
          </w:tcPr>
          <w:p>
            <w:r/>
            <w:r>
              <w:rPr>
                <w:rFonts w:ascii="Arial" w:hAnsi="Arial"/>
                <w:sz w:val="15"/>
              </w:rPr>
              <w:t>Cedants, Reinsurers, Brokers, Modelers</w:t>
            </w:r>
          </w:p>
        </w:tc>
        <w:tc>
          <w:tcPr>
            <w:tcW w:type="dxa" w:w="1296"/>
          </w:tcPr>
          <w:p>
            <w:r/>
            <w:r>
              <w:rPr>
                <w:rFonts w:ascii="Arial" w:hAnsi="Arial"/>
                <w:sz w:val="15"/>
              </w:rPr>
              <w:t>Transaction fee 0.1%</w:t>
            </w:r>
          </w:p>
        </w:tc>
      </w:tr>
    </w:tbl>
    <w:p>
      <w:pPr>
        <w:spacing w:after="80"/>
      </w:pPr>
      <w:r>
        <w:rPr>
          <w:rFonts w:ascii="Arial" w:hAnsi="Arial"/>
          <w:b w:val="0"/>
          <w:sz w:val="19"/>
        </w:rPr>
      </w:r>
    </w:p>
    <w:p>
      <w:pPr>
        <w:spacing w:after="60"/>
      </w:pPr>
      <w:r>
        <w:rPr>
          <w:rFonts w:ascii="Arial" w:hAnsi="Arial"/>
          <w:b/>
          <w:color w:val="2D1B69"/>
          <w:sz w:val="20"/>
        </w:rPr>
        <w:t>That is 12 AINE platforms from ONE NAICS code. Multiply across 100,000+ codes and the platform surface area becomes clear. Not every surface justifies deployment, but the addressable market is measured in millions of platform instances.</w:t>
      </w:r>
    </w:p>
    <w:p>
      <w:r>
        <w:br w:type="page"/>
      </w:r>
    </w:p>
    <w:p>
      <w:pPr>
        <w:pStyle w:val="Heading1"/>
      </w:pPr>
      <w:r>
        <w:t>4. Platform Opportunities Per Entropy Dimension</w:t>
      </w:r>
    </w:p>
    <w:p>
      <w:pPr>
        <w:spacing w:after="60"/>
      </w:pPr>
      <w:r>
        <w:rPr>
          <w:rFonts w:ascii="Arial" w:hAnsi="Arial"/>
          <w:b w:val="0"/>
          <w:sz w:val="20"/>
        </w:rPr>
        <w:t>Each of the 8 entropy dimensions generates a distinct type of platform with distinct stakeholders, distinct revenue mechanics, and distinct compounding patterns.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440"/>
            <w:shd w:fill="0D0D2B" w:val="clear"/>
          </w:tcPr>
          <w:p>
            <w:pPr>
              <w:jc w:val="center"/>
            </w:pPr>
            <w:r/>
            <w:r>
              <w:rPr>
                <w:rFonts w:ascii="Arial" w:hAnsi="Arial"/>
                <w:b/>
                <w:color w:val="FFFFFF"/>
                <w:sz w:val="16"/>
              </w:rPr>
              <w:t>Entropy Dimension</w:t>
            </w:r>
          </w:p>
        </w:tc>
        <w:tc>
          <w:tcPr>
            <w:tcW w:type="dxa" w:w="1296"/>
            <w:shd w:fill="0D0D2B" w:val="clear"/>
          </w:tcPr>
          <w:p>
            <w:pPr>
              <w:jc w:val="center"/>
            </w:pPr>
            <w:r/>
            <w:r>
              <w:rPr>
                <w:rFonts w:ascii="Arial" w:hAnsi="Arial"/>
                <w:b/>
                <w:color w:val="FFFFFF"/>
                <w:sz w:val="16"/>
              </w:rPr>
              <w:t>Platform Type Generated</w:t>
            </w:r>
          </w:p>
        </w:tc>
        <w:tc>
          <w:tcPr>
            <w:tcW w:type="dxa" w:w="1440"/>
            <w:shd w:fill="0D0D2B" w:val="clear"/>
          </w:tcPr>
          <w:p>
            <w:pPr>
              <w:jc w:val="center"/>
            </w:pPr>
            <w:r/>
            <w:r>
              <w:rPr>
                <w:rFonts w:ascii="Arial" w:hAnsi="Arial"/>
                <w:b/>
                <w:color w:val="FFFFFF"/>
                <w:sz w:val="16"/>
              </w:rPr>
              <w:t>Stakeholders Pulled In</w:t>
            </w:r>
          </w:p>
        </w:tc>
        <w:tc>
          <w:tcPr>
            <w:tcW w:type="dxa" w:w="1440"/>
            <w:shd w:fill="0D0D2B" w:val="clear"/>
          </w:tcPr>
          <w:p>
            <w:pPr>
              <w:jc w:val="center"/>
            </w:pPr>
            <w:r/>
            <w:r>
              <w:rPr>
                <w:rFonts w:ascii="Arial" w:hAnsi="Arial"/>
                <w:b/>
                <w:color w:val="FFFFFF"/>
                <w:sz w:val="16"/>
              </w:rPr>
              <w:t>Revenue Mechanics</w:t>
            </w:r>
          </w:p>
        </w:tc>
        <w:tc>
          <w:tcPr>
            <w:tcW w:type="dxa" w:w="1440"/>
            <w:shd w:fill="0D0D2B" w:val="clear"/>
          </w:tcPr>
          <w:p>
            <w:pPr>
              <w:jc w:val="center"/>
            </w:pPr>
            <w:r/>
            <w:r>
              <w:rPr>
                <w:rFonts w:ascii="Arial" w:hAnsi="Arial"/>
                <w:b/>
                <w:color w:val="FFFFFF"/>
                <w:sz w:val="16"/>
              </w:rPr>
              <w:t>AINE Species Pattern</w:t>
            </w:r>
          </w:p>
        </w:tc>
        <w:tc>
          <w:tcPr>
            <w:tcW w:type="dxa" w:w="864"/>
            <w:shd w:fill="0D0D2B" w:val="clear"/>
          </w:tcPr>
          <w:p>
            <w:pPr>
              <w:jc w:val="center"/>
            </w:pPr>
            <w:r/>
            <w:r>
              <w:rPr>
                <w:rFonts w:ascii="Arial" w:hAnsi="Arial"/>
                <w:b/>
                <w:color w:val="FFFFFF"/>
                <w:sz w:val="16"/>
              </w:rPr>
              <w:t>Scale Across Codes</w:t>
            </w:r>
          </w:p>
        </w:tc>
      </w:tr>
      <w:tr>
        <w:tc>
          <w:tcPr>
            <w:tcW w:type="dxa" w:w="1440"/>
            <w:shd w:fill="EDEDF7" w:val="clear"/>
          </w:tcPr>
          <w:p>
            <w:r/>
            <w:r>
              <w:rPr>
                <w:rFonts w:ascii="Arial" w:hAnsi="Arial"/>
                <w:sz w:val="15"/>
              </w:rPr>
              <w:t>1. Entropy Vector</w:t>
              <w:br/>
              <w:t>(What disorder accumulates?)</w:t>
            </w:r>
          </w:p>
        </w:tc>
        <w:tc>
          <w:tcPr>
            <w:tcW w:type="dxa" w:w="1296"/>
            <w:shd w:fill="EDEDF7" w:val="clear"/>
          </w:tcPr>
          <w:p>
            <w:r/>
            <w:r>
              <w:rPr>
                <w:rFonts w:ascii="Arial" w:hAnsi="Arial"/>
                <w:sz w:val="15"/>
              </w:rPr>
              <w:t>Diagnostic Platforms</w:t>
              <w:br/>
              <w:t>Entropy Sensors &amp; Monitors</w:t>
            </w:r>
          </w:p>
        </w:tc>
        <w:tc>
          <w:tcPr>
            <w:tcW w:type="dxa" w:w="1440"/>
            <w:shd w:fill="EDEDF7" w:val="clear"/>
          </w:tcPr>
          <w:p>
            <w:r/>
            <w:r>
              <w:rPr>
                <w:rFonts w:ascii="Arial" w:hAnsi="Arial"/>
                <w:sz w:val="15"/>
              </w:rPr>
              <w:t>Operators who experience the disorder daily; managers who own the budget</w:t>
            </w:r>
          </w:p>
        </w:tc>
        <w:tc>
          <w:tcPr>
            <w:tcW w:type="dxa" w:w="1440"/>
            <w:shd w:fill="EDEDF7" w:val="clear"/>
          </w:tcPr>
          <w:p>
            <w:r/>
            <w:r>
              <w:rPr>
                <w:rFonts w:ascii="Arial" w:hAnsi="Arial"/>
                <w:sz w:val="15"/>
              </w:rPr>
              <w:t>Free diagnostic (lead gen) then subscription for continuous monitoring $500-5K/mo</w:t>
            </w:r>
          </w:p>
        </w:tc>
        <w:tc>
          <w:tcPr>
            <w:tcW w:type="dxa" w:w="1440"/>
            <w:shd w:fill="EDEDF7" w:val="clear"/>
          </w:tcPr>
          <w:p>
            <w:r/>
            <w:r>
              <w:rPr>
                <w:rFonts w:ascii="Arial" w:hAnsi="Arial"/>
                <w:sz w:val="15"/>
              </w:rPr>
              <w:t>Diagnostic AINEs cluster into Entropy Observatory species</w:t>
            </w:r>
          </w:p>
        </w:tc>
        <w:tc>
          <w:tcPr>
            <w:tcW w:type="dxa" w:w="864"/>
            <w:shd w:fill="EDEDF7" w:val="clear"/>
          </w:tcPr>
          <w:p>
            <w:r/>
            <w:r>
              <w:rPr>
                <w:rFonts w:ascii="Arial" w:hAnsi="Arial"/>
                <w:sz w:val="15"/>
              </w:rPr>
              <w:t>100K+ (every code has disorder)</w:t>
            </w:r>
          </w:p>
        </w:tc>
      </w:tr>
      <w:tr>
        <w:tc>
          <w:tcPr>
            <w:tcW w:type="dxa" w:w="1440"/>
          </w:tcPr>
          <w:p>
            <w:r/>
            <w:r>
              <w:rPr>
                <w:rFonts w:ascii="Arial" w:hAnsi="Arial"/>
                <w:sz w:val="15"/>
              </w:rPr>
              <w:t>2. Analogous Systemic Force</w:t>
              <w:br/>
              <w:t>(What macro force amplifies?)</w:t>
            </w:r>
          </w:p>
        </w:tc>
        <w:tc>
          <w:tcPr>
            <w:tcW w:type="dxa" w:w="1296"/>
          </w:tcPr>
          <w:p>
            <w:r/>
            <w:r>
              <w:rPr>
                <w:rFonts w:ascii="Arial" w:hAnsi="Arial"/>
                <w:sz w:val="15"/>
              </w:rPr>
              <w:t>Intelligence Platforms</w:t>
              <w:br/>
              <w:t>Force-Field Analyzers</w:t>
            </w:r>
          </w:p>
        </w:tc>
        <w:tc>
          <w:tcPr>
            <w:tcW w:type="dxa" w:w="1440"/>
          </w:tcPr>
          <w:p>
            <w:r/>
            <w:r>
              <w:rPr>
                <w:rFonts w:ascii="Arial" w:hAnsi="Arial"/>
                <w:sz w:val="15"/>
              </w:rPr>
              <w:t>Strategists, investors, regulators who need macro-micro linkage</w:t>
            </w:r>
          </w:p>
        </w:tc>
        <w:tc>
          <w:tcPr>
            <w:tcW w:type="dxa" w:w="1440"/>
          </w:tcPr>
          <w:p>
            <w:r/>
            <w:r>
              <w:rPr>
                <w:rFonts w:ascii="Arial" w:hAnsi="Arial"/>
                <w:sz w:val="15"/>
              </w:rPr>
              <w:t>Intelligence subscriptions $99-999/mo, advisory retainers $5-25K/mo</w:t>
            </w:r>
          </w:p>
        </w:tc>
        <w:tc>
          <w:tcPr>
            <w:tcW w:type="dxa" w:w="1440"/>
          </w:tcPr>
          <w:p>
            <w:r/>
            <w:r>
              <w:rPr>
                <w:rFonts w:ascii="Arial" w:hAnsi="Arial"/>
                <w:sz w:val="15"/>
              </w:rPr>
              <w:t>Intelligence AINEs form Strategic Radar species</w:t>
            </w:r>
          </w:p>
        </w:tc>
        <w:tc>
          <w:tcPr>
            <w:tcW w:type="dxa" w:w="864"/>
          </w:tcPr>
          <w:p>
            <w:r/>
            <w:r>
              <w:rPr>
                <w:rFonts w:ascii="Arial" w:hAnsi="Arial"/>
                <w:sz w:val="15"/>
              </w:rPr>
              <w:t>100K+ (every code has macro exposure)</w:t>
            </w:r>
          </w:p>
        </w:tc>
      </w:tr>
      <w:tr>
        <w:tc>
          <w:tcPr>
            <w:tcW w:type="dxa" w:w="1440"/>
            <w:shd w:fill="EDEDF7" w:val="clear"/>
          </w:tcPr>
          <w:p>
            <w:r/>
            <w:r>
              <w:rPr>
                <w:rFonts w:ascii="Arial" w:hAnsi="Arial"/>
                <w:sz w:val="15"/>
              </w:rPr>
              <w:t>3. Chokepoint</w:t>
              <w:br/>
              <w:t>(What regulatory/cert bottleneck?)</w:t>
            </w:r>
          </w:p>
        </w:tc>
        <w:tc>
          <w:tcPr>
            <w:tcW w:type="dxa" w:w="1296"/>
            <w:shd w:fill="EDEDF7" w:val="clear"/>
          </w:tcPr>
          <w:p>
            <w:r/>
            <w:r>
              <w:rPr>
                <w:rFonts w:ascii="Arial" w:hAnsi="Arial"/>
                <w:sz w:val="15"/>
              </w:rPr>
              <w:t>Compliance Platforms</w:t>
              <w:br/>
              <w:t>Chokepoint Navigators</w:t>
            </w:r>
          </w:p>
        </w:tc>
        <w:tc>
          <w:tcPr>
            <w:tcW w:type="dxa" w:w="1440"/>
            <w:shd w:fill="EDEDF7" w:val="clear"/>
          </w:tcPr>
          <w:p>
            <w:r/>
            <w:r>
              <w:rPr>
                <w:rFonts w:ascii="Arial" w:hAnsi="Arial"/>
                <w:sz w:val="15"/>
              </w:rPr>
              <w:t>Compliance officers, regulators, certification bodies, legal teams</w:t>
            </w:r>
          </w:p>
        </w:tc>
        <w:tc>
          <w:tcPr>
            <w:tcW w:type="dxa" w:w="1440"/>
            <w:shd w:fill="EDEDF7" w:val="clear"/>
          </w:tcPr>
          <w:p>
            <w:r/>
            <w:r>
              <w:rPr>
                <w:rFonts w:ascii="Arial" w:hAnsi="Arial"/>
                <w:sz w:val="15"/>
              </w:rPr>
              <w:t>Per-filing/per-submission fees $25-500, compliance SaaS $2-50K/yr</w:t>
            </w:r>
          </w:p>
        </w:tc>
        <w:tc>
          <w:tcPr>
            <w:tcW w:type="dxa" w:w="1440"/>
            <w:shd w:fill="EDEDF7" w:val="clear"/>
          </w:tcPr>
          <w:p>
            <w:r/>
            <w:r>
              <w:rPr>
                <w:rFonts w:ascii="Arial" w:hAnsi="Arial"/>
                <w:sz w:val="15"/>
              </w:rPr>
              <w:t>Compliance AINEs form Regulatory Species per jurisdiction</w:t>
            </w:r>
          </w:p>
        </w:tc>
        <w:tc>
          <w:tcPr>
            <w:tcW w:type="dxa" w:w="864"/>
            <w:shd w:fill="EDEDF7" w:val="clear"/>
          </w:tcPr>
          <w:p>
            <w:r/>
            <w:r>
              <w:rPr>
                <w:rFonts w:ascii="Arial" w:hAnsi="Arial"/>
                <w:sz w:val="15"/>
              </w:rPr>
              <w:t>50K+ (regulated codes)</w:t>
            </w:r>
          </w:p>
        </w:tc>
      </w:tr>
      <w:tr>
        <w:tc>
          <w:tcPr>
            <w:tcW w:type="dxa" w:w="1440"/>
          </w:tcPr>
          <w:p>
            <w:r/>
            <w:r>
              <w:rPr>
                <w:rFonts w:ascii="Arial" w:hAnsi="Arial"/>
                <w:sz w:val="15"/>
              </w:rPr>
              <w:t>4. Bottleneck</w:t>
              <w:br/>
              <w:t>(What capacity constraint?)</w:t>
            </w:r>
          </w:p>
        </w:tc>
        <w:tc>
          <w:tcPr>
            <w:tcW w:type="dxa" w:w="1296"/>
          </w:tcPr>
          <w:p>
            <w:r/>
            <w:r>
              <w:rPr>
                <w:rFonts w:ascii="Arial" w:hAnsi="Arial"/>
                <w:sz w:val="15"/>
              </w:rPr>
              <w:t>Optimization Platforms</w:t>
              <w:br/>
              <w:t>Bottleneck Breakers</w:t>
            </w:r>
          </w:p>
        </w:tc>
        <w:tc>
          <w:tcPr>
            <w:tcW w:type="dxa" w:w="1440"/>
          </w:tcPr>
          <w:p>
            <w:r/>
            <w:r>
              <w:rPr>
                <w:rFonts w:ascii="Arial" w:hAnsi="Arial"/>
                <w:sz w:val="15"/>
              </w:rPr>
              <w:t>Operations managers, production teams, supply chain coordinators</w:t>
            </w:r>
          </w:p>
        </w:tc>
        <w:tc>
          <w:tcPr>
            <w:tcW w:type="dxa" w:w="1440"/>
          </w:tcPr>
          <w:p>
            <w:r/>
            <w:r>
              <w:rPr>
                <w:rFonts w:ascii="Arial" w:hAnsi="Arial"/>
                <w:sz w:val="15"/>
              </w:rPr>
              <w:t>Per-throughput improvement pricing (gain-share 5-15%), SaaS $1-10K/mo</w:t>
            </w:r>
          </w:p>
        </w:tc>
        <w:tc>
          <w:tcPr>
            <w:tcW w:type="dxa" w:w="1440"/>
          </w:tcPr>
          <w:p>
            <w:r/>
            <w:r>
              <w:rPr>
                <w:rFonts w:ascii="Arial" w:hAnsi="Arial"/>
                <w:sz w:val="15"/>
              </w:rPr>
              <w:t>Optimization AINEs form Efficiency Species per process</w:t>
            </w:r>
          </w:p>
        </w:tc>
        <w:tc>
          <w:tcPr>
            <w:tcW w:type="dxa" w:w="864"/>
          </w:tcPr>
          <w:p>
            <w:r/>
            <w:r>
              <w:rPr>
                <w:rFonts w:ascii="Arial" w:hAnsi="Arial"/>
                <w:sz w:val="15"/>
              </w:rPr>
              <w:t>80K+ (production/service codes)</w:t>
            </w:r>
          </w:p>
        </w:tc>
      </w:tr>
      <w:tr>
        <w:tc>
          <w:tcPr>
            <w:tcW w:type="dxa" w:w="1440"/>
            <w:shd w:fill="EDEDF7" w:val="clear"/>
          </w:tcPr>
          <w:p>
            <w:r/>
            <w:r>
              <w:rPr>
                <w:rFonts w:ascii="Arial" w:hAnsi="Arial"/>
                <w:sz w:val="15"/>
              </w:rPr>
              <w:t>5. Pain Point ($)</w:t>
              <w:br/>
              <w:t>(What does it cost?)</w:t>
            </w:r>
          </w:p>
        </w:tc>
        <w:tc>
          <w:tcPr>
            <w:tcW w:type="dxa" w:w="1296"/>
            <w:shd w:fill="EDEDF7" w:val="clear"/>
          </w:tcPr>
          <w:p>
            <w:r/>
            <w:r>
              <w:rPr>
                <w:rFonts w:ascii="Arial" w:hAnsi="Arial"/>
                <w:sz w:val="15"/>
              </w:rPr>
              <w:t>Recovery Platforms</w:t>
              <w:br/>
              <w:t>Value Capture Engines</w:t>
            </w:r>
          </w:p>
        </w:tc>
        <w:tc>
          <w:tcPr>
            <w:tcW w:type="dxa" w:w="1440"/>
            <w:shd w:fill="EDEDF7" w:val="clear"/>
          </w:tcPr>
          <w:p>
            <w:r/>
            <w:r>
              <w:rPr>
                <w:rFonts w:ascii="Arial" w:hAnsi="Arial"/>
                <w:sz w:val="15"/>
              </w:rPr>
              <w:t>CFOs, procurement heads, anyone who controls budget for the pain</w:t>
            </w:r>
          </w:p>
        </w:tc>
        <w:tc>
          <w:tcPr>
            <w:tcW w:type="dxa" w:w="1440"/>
            <w:shd w:fill="EDEDF7" w:val="clear"/>
          </w:tcPr>
          <w:p>
            <w:r/>
            <w:r>
              <w:rPr>
                <w:rFonts w:ascii="Arial" w:hAnsi="Arial"/>
                <w:sz w:val="15"/>
              </w:rPr>
              <w:t>Recovery percentage (10-30% of identified savings), diagnostic fees</w:t>
            </w:r>
          </w:p>
        </w:tc>
        <w:tc>
          <w:tcPr>
            <w:tcW w:type="dxa" w:w="1440"/>
            <w:shd w:fill="EDEDF7" w:val="clear"/>
          </w:tcPr>
          <w:p>
            <w:r/>
            <w:r>
              <w:rPr>
                <w:rFonts w:ascii="Arial" w:hAnsi="Arial"/>
                <w:sz w:val="15"/>
              </w:rPr>
              <w:t>Recovery AINEs form Revenue Assurance species</w:t>
            </w:r>
          </w:p>
        </w:tc>
        <w:tc>
          <w:tcPr>
            <w:tcW w:type="dxa" w:w="864"/>
            <w:shd w:fill="EDEDF7" w:val="clear"/>
          </w:tcPr>
          <w:p>
            <w:r/>
            <w:r>
              <w:rPr>
                <w:rFonts w:ascii="Arial" w:hAnsi="Arial"/>
                <w:sz w:val="15"/>
              </w:rPr>
              <w:t>100K+ (every code has cost)</w:t>
            </w:r>
          </w:p>
        </w:tc>
      </w:tr>
      <w:tr>
        <w:tc>
          <w:tcPr>
            <w:tcW w:type="dxa" w:w="1440"/>
          </w:tcPr>
          <w:p>
            <w:r/>
            <w:r>
              <w:rPr>
                <w:rFonts w:ascii="Arial" w:hAnsi="Arial"/>
                <w:sz w:val="15"/>
              </w:rPr>
              <w:t>6. Challenge</w:t>
              <w:br/>
              <w:t>(What governance challenge?)</w:t>
            </w:r>
          </w:p>
        </w:tc>
        <w:tc>
          <w:tcPr>
            <w:tcW w:type="dxa" w:w="1296"/>
          </w:tcPr>
          <w:p>
            <w:r/>
            <w:r>
              <w:rPr>
                <w:rFonts w:ascii="Arial" w:hAnsi="Arial"/>
                <w:sz w:val="15"/>
              </w:rPr>
              <w:t>Governance Platforms</w:t>
              <w:br/>
              <w:t>Decision Infrastructure</w:t>
            </w:r>
          </w:p>
        </w:tc>
        <w:tc>
          <w:tcPr>
            <w:tcW w:type="dxa" w:w="1440"/>
          </w:tcPr>
          <w:p>
            <w:r/>
            <w:r>
              <w:rPr>
                <w:rFonts w:ascii="Arial" w:hAnsi="Arial"/>
                <w:sz w:val="15"/>
              </w:rPr>
              <w:t>Board members, risk officers, auditors, institutional investors</w:t>
            </w:r>
          </w:p>
        </w:tc>
        <w:tc>
          <w:tcPr>
            <w:tcW w:type="dxa" w:w="1440"/>
          </w:tcPr>
          <w:p>
            <w:r/>
            <w:r>
              <w:rPr>
                <w:rFonts w:ascii="Arial" w:hAnsi="Arial"/>
                <w:sz w:val="15"/>
              </w:rPr>
              <w:t>Governance license $50-150K/yr, audit fees $25-75K, E-AEGL integration</w:t>
            </w:r>
          </w:p>
        </w:tc>
        <w:tc>
          <w:tcPr>
            <w:tcW w:type="dxa" w:w="1440"/>
          </w:tcPr>
          <w:p>
            <w:r/>
            <w:r>
              <w:rPr>
                <w:rFonts w:ascii="Arial" w:hAnsi="Arial"/>
                <w:sz w:val="15"/>
              </w:rPr>
              <w:t>Governance AINEs form Institutional Trust species</w:t>
            </w:r>
          </w:p>
        </w:tc>
        <w:tc>
          <w:tcPr>
            <w:tcW w:type="dxa" w:w="864"/>
          </w:tcPr>
          <w:p>
            <w:r/>
            <w:r>
              <w:rPr>
                <w:rFonts w:ascii="Arial" w:hAnsi="Arial"/>
                <w:sz w:val="15"/>
              </w:rPr>
              <w:t>30K+ (institutional codes)</w:t>
            </w:r>
          </w:p>
        </w:tc>
      </w:tr>
      <w:tr>
        <w:tc>
          <w:tcPr>
            <w:tcW w:type="dxa" w:w="1440"/>
            <w:shd w:fill="EDEDF7" w:val="clear"/>
          </w:tcPr>
          <w:p>
            <w:r/>
            <w:r>
              <w:rPr>
                <w:rFonts w:ascii="Arial" w:hAnsi="Arial"/>
                <w:sz w:val="15"/>
              </w:rPr>
              <w:t>7. Obstacle</w:t>
              <w:br/>
              <w:t>(What structural barrier?)</w:t>
            </w:r>
          </w:p>
        </w:tc>
        <w:tc>
          <w:tcPr>
            <w:tcW w:type="dxa" w:w="1296"/>
            <w:shd w:fill="EDEDF7" w:val="clear"/>
          </w:tcPr>
          <w:p>
            <w:r/>
            <w:r>
              <w:rPr>
                <w:rFonts w:ascii="Arial" w:hAnsi="Arial"/>
                <w:sz w:val="15"/>
              </w:rPr>
              <w:t>Transformation Platforms</w:t>
              <w:br/>
              <w:t>Barrier Dissolvers</w:t>
            </w:r>
          </w:p>
        </w:tc>
        <w:tc>
          <w:tcPr>
            <w:tcW w:type="dxa" w:w="1440"/>
            <w:shd w:fill="EDEDF7" w:val="clear"/>
          </w:tcPr>
          <w:p>
            <w:r/>
            <w:r>
              <w:rPr>
                <w:rFonts w:ascii="Arial" w:hAnsi="Arial"/>
                <w:sz w:val="15"/>
              </w:rPr>
              <w:t>Change managers, CXOs, strategic consultants, PE/VC operating partners</w:t>
            </w:r>
          </w:p>
        </w:tc>
        <w:tc>
          <w:tcPr>
            <w:tcW w:type="dxa" w:w="1440"/>
            <w:shd w:fill="EDEDF7" w:val="clear"/>
          </w:tcPr>
          <w:p>
            <w:r/>
            <w:r>
              <w:rPr>
                <w:rFonts w:ascii="Arial" w:hAnsi="Arial"/>
                <w:sz w:val="15"/>
              </w:rPr>
              <w:t>Transformation consulting $100-500K, platform license $50-200K/yr</w:t>
            </w:r>
          </w:p>
        </w:tc>
        <w:tc>
          <w:tcPr>
            <w:tcW w:type="dxa" w:w="1440"/>
            <w:shd w:fill="EDEDF7" w:val="clear"/>
          </w:tcPr>
          <w:p>
            <w:r/>
            <w:r>
              <w:rPr>
                <w:rFonts w:ascii="Arial" w:hAnsi="Arial"/>
                <w:sz w:val="15"/>
              </w:rPr>
              <w:t>Transformation AINEs form Industry Evolution species</w:t>
            </w:r>
          </w:p>
        </w:tc>
        <w:tc>
          <w:tcPr>
            <w:tcW w:type="dxa" w:w="864"/>
            <w:shd w:fill="EDEDF7" w:val="clear"/>
          </w:tcPr>
          <w:p>
            <w:r/>
            <w:r>
              <w:rPr>
                <w:rFonts w:ascii="Arial" w:hAnsi="Arial"/>
                <w:sz w:val="15"/>
              </w:rPr>
              <w:t>40K+ (legacy-heavy codes)</w:t>
            </w:r>
          </w:p>
        </w:tc>
      </w:tr>
      <w:tr>
        <w:tc>
          <w:tcPr>
            <w:tcW w:type="dxa" w:w="1440"/>
          </w:tcPr>
          <w:p>
            <w:r/>
            <w:r>
              <w:rPr>
                <w:rFonts w:ascii="Arial" w:hAnsi="Arial"/>
                <w:sz w:val="15"/>
              </w:rPr>
              <w:t>8. Threat / Weakness</w:t>
              <w:br/>
              <w:t>(What existential risk?)</w:t>
            </w:r>
          </w:p>
        </w:tc>
        <w:tc>
          <w:tcPr>
            <w:tcW w:type="dxa" w:w="1296"/>
          </w:tcPr>
          <w:p>
            <w:r/>
            <w:r>
              <w:rPr>
                <w:rFonts w:ascii="Arial" w:hAnsi="Arial"/>
                <w:sz w:val="15"/>
              </w:rPr>
              <w:t>Protection Platforms</w:t>
              <w:br/>
              <w:t>Threat Shields</w:t>
            </w:r>
          </w:p>
        </w:tc>
        <w:tc>
          <w:tcPr>
            <w:tcW w:type="dxa" w:w="1440"/>
          </w:tcPr>
          <w:p>
            <w:r/>
            <w:r>
              <w:rPr>
                <w:rFonts w:ascii="Arial" w:hAnsi="Arial"/>
                <w:sz w:val="15"/>
              </w:rPr>
              <w:t>Risk officers, insurers, crisis managers, continuity planners</w:t>
            </w:r>
          </w:p>
        </w:tc>
        <w:tc>
          <w:tcPr>
            <w:tcW w:type="dxa" w:w="1440"/>
          </w:tcPr>
          <w:p>
            <w:r/>
            <w:r>
              <w:rPr>
                <w:rFonts w:ascii="Arial" w:hAnsi="Arial"/>
                <w:sz w:val="15"/>
              </w:rPr>
              <w:t>Insurance-like premiums, risk assessment fees $10-100K, crisis retainers</w:t>
            </w:r>
          </w:p>
        </w:tc>
        <w:tc>
          <w:tcPr>
            <w:tcW w:type="dxa" w:w="1440"/>
          </w:tcPr>
          <w:p>
            <w:r/>
            <w:r>
              <w:rPr>
                <w:rFonts w:ascii="Arial" w:hAnsi="Arial"/>
                <w:sz w:val="15"/>
              </w:rPr>
              <w:t>Protection AINEs form Risk Ecosystem species</w:t>
            </w:r>
          </w:p>
        </w:tc>
        <w:tc>
          <w:tcPr>
            <w:tcW w:type="dxa" w:w="864"/>
          </w:tcPr>
          <w:p>
            <w:r/>
            <w:r>
              <w:rPr>
                <w:rFonts w:ascii="Arial" w:hAnsi="Arial"/>
                <w:sz w:val="15"/>
              </w:rPr>
              <w:t>100K+ (every code has threats)</w:t>
            </w:r>
          </w:p>
        </w:tc>
      </w:tr>
    </w:tbl>
    <w:p>
      <w:r>
        <w:br w:type="page"/>
      </w:r>
    </w:p>
    <w:p>
      <w:pPr>
        <w:pStyle w:val="Heading1"/>
      </w:pPr>
      <w:r>
        <w:t>5. Stakeholder Incentive Matrix: Frictionless Onboarding</w:t>
      </w:r>
    </w:p>
    <w:p>
      <w:pPr>
        <w:spacing w:after="60"/>
      </w:pPr>
      <w:r>
        <w:rPr>
          <w:rFonts w:ascii="Arial" w:hAnsi="Arial"/>
          <w:b w:val="0"/>
          <w:sz w:val="20"/>
        </w:rPr>
        <w:t>Every platform surface must answer: Why would this specific stakeholder join THIS platform for THIS entropy in THIS process in THIS industry? The answer must be: because it costs them more NOT to.</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008"/>
            <w:shd w:fill="0D0D2B" w:val="clear"/>
          </w:tcPr>
          <w:p>
            <w:pPr>
              <w:jc w:val="center"/>
            </w:pPr>
            <w:r/>
            <w:r>
              <w:rPr>
                <w:rFonts w:ascii="Arial" w:hAnsi="Arial"/>
                <w:b/>
                <w:color w:val="FFFFFF"/>
                <w:sz w:val="16"/>
              </w:rPr>
              <w:t>Stakeholder Type</w:t>
            </w:r>
          </w:p>
        </w:tc>
        <w:tc>
          <w:tcPr>
            <w:tcW w:type="dxa" w:w="720"/>
            <w:shd w:fill="0D0D2B" w:val="clear"/>
          </w:tcPr>
          <w:p>
            <w:pPr>
              <w:jc w:val="center"/>
            </w:pPr>
            <w:r/>
            <w:r>
              <w:rPr>
                <w:rFonts w:ascii="Arial" w:hAnsi="Arial"/>
                <w:b/>
                <w:color w:val="FFFFFF"/>
                <w:sz w:val="16"/>
              </w:rPr>
              <w:t>Count Globally</w:t>
            </w:r>
          </w:p>
        </w:tc>
        <w:tc>
          <w:tcPr>
            <w:tcW w:type="dxa" w:w="1152"/>
            <w:shd w:fill="0D0D2B" w:val="clear"/>
          </w:tcPr>
          <w:p>
            <w:pPr>
              <w:jc w:val="center"/>
            </w:pPr>
            <w:r/>
            <w:r>
              <w:rPr>
                <w:rFonts w:ascii="Arial" w:hAnsi="Arial"/>
                <w:b/>
                <w:color w:val="FFFFFF"/>
                <w:sz w:val="16"/>
              </w:rPr>
              <w:t>Primary Pain</w:t>
            </w:r>
          </w:p>
        </w:tc>
        <w:tc>
          <w:tcPr>
            <w:tcW w:type="dxa" w:w="1152"/>
            <w:shd w:fill="0D0D2B" w:val="clear"/>
          </w:tcPr>
          <w:p>
            <w:pPr>
              <w:jc w:val="center"/>
            </w:pPr>
            <w:r/>
            <w:r>
              <w:rPr>
                <w:rFonts w:ascii="Arial" w:hAnsi="Arial"/>
                <w:b/>
                <w:color w:val="FFFFFF"/>
                <w:sz w:val="16"/>
              </w:rPr>
              <w:t>AINE Offering</w:t>
            </w:r>
          </w:p>
        </w:tc>
        <w:tc>
          <w:tcPr>
            <w:tcW w:type="dxa" w:w="1008"/>
            <w:shd w:fill="0D0D2B" w:val="clear"/>
          </w:tcPr>
          <w:p>
            <w:pPr>
              <w:jc w:val="center"/>
            </w:pPr>
            <w:r/>
            <w:r>
              <w:rPr>
                <w:rFonts w:ascii="Arial" w:hAnsi="Arial"/>
                <w:b/>
                <w:color w:val="FFFFFF"/>
                <w:sz w:val="16"/>
              </w:rPr>
              <w:t>Onboarding Friction</w:t>
            </w:r>
          </w:p>
        </w:tc>
        <w:tc>
          <w:tcPr>
            <w:tcW w:type="dxa" w:w="1872"/>
            <w:shd w:fill="0D0D2B" w:val="clear"/>
          </w:tcPr>
          <w:p>
            <w:pPr>
              <w:jc w:val="center"/>
            </w:pPr>
            <w:r/>
            <w:r>
              <w:rPr>
                <w:rFonts w:ascii="Arial" w:hAnsi="Arial"/>
                <w:b/>
                <w:color w:val="FFFFFF"/>
                <w:sz w:val="16"/>
              </w:rPr>
              <w:t>Incentive Design</w:t>
            </w:r>
          </w:p>
        </w:tc>
        <w:tc>
          <w:tcPr>
            <w:tcW w:type="dxa" w:w="1440"/>
            <w:shd w:fill="0D0D2B" w:val="clear"/>
          </w:tcPr>
          <w:p>
            <w:pPr>
              <w:jc w:val="center"/>
            </w:pPr>
            <w:r/>
            <w:r>
              <w:rPr>
                <w:rFonts w:ascii="Arial" w:hAnsi="Arial"/>
                <w:b/>
                <w:color w:val="FFFFFF"/>
                <w:sz w:val="16"/>
              </w:rPr>
              <w:t>Lock-In Mechanism</w:t>
            </w:r>
          </w:p>
        </w:tc>
      </w:tr>
      <w:tr>
        <w:tc>
          <w:tcPr>
            <w:tcW w:type="dxa" w:w="1008"/>
            <w:shd w:fill="EDEDF7" w:val="clear"/>
          </w:tcPr>
          <w:p>
            <w:r/>
            <w:r>
              <w:rPr>
                <w:rFonts w:ascii="Arial" w:hAnsi="Arial"/>
                <w:sz w:val="15"/>
              </w:rPr>
              <w:t>Business Owners/CEOs</w:t>
            </w:r>
          </w:p>
        </w:tc>
        <w:tc>
          <w:tcPr>
            <w:tcW w:type="dxa" w:w="720"/>
            <w:shd w:fill="EDEDF7" w:val="clear"/>
          </w:tcPr>
          <w:p>
            <w:r/>
            <w:r>
              <w:rPr>
                <w:rFonts w:ascii="Arial" w:hAnsi="Arial"/>
                <w:sz w:val="15"/>
              </w:rPr>
              <w:t>400M+ SMBs globally</w:t>
            </w:r>
          </w:p>
        </w:tc>
        <w:tc>
          <w:tcPr>
            <w:tcW w:type="dxa" w:w="1152"/>
            <w:shd w:fill="EDEDF7" w:val="clear"/>
          </w:tcPr>
          <w:p>
            <w:r/>
            <w:r>
              <w:rPr>
                <w:rFonts w:ascii="Arial" w:hAnsi="Arial"/>
                <w:sz w:val="15"/>
              </w:rPr>
              <w:t>Cognitive overload across all 12 functions</w:t>
            </w:r>
          </w:p>
        </w:tc>
        <w:tc>
          <w:tcPr>
            <w:tcW w:type="dxa" w:w="1152"/>
            <w:shd w:fill="EDEDF7" w:val="clear"/>
          </w:tcPr>
          <w:p>
            <w:r/>
            <w:r>
              <w:rPr>
                <w:rFonts w:ascii="Arial" w:hAnsi="Arial"/>
                <w:sz w:val="15"/>
              </w:rPr>
              <w:t>Personal Command Center AINE</w:t>
            </w:r>
          </w:p>
        </w:tc>
        <w:tc>
          <w:tcPr>
            <w:tcW w:type="dxa" w:w="1008"/>
            <w:shd w:fill="EDEDF7" w:val="clear"/>
          </w:tcPr>
          <w:p>
            <w:r/>
            <w:r>
              <w:rPr>
                <w:rFonts w:ascii="Arial" w:hAnsi="Arial"/>
                <w:sz w:val="15"/>
              </w:rPr>
              <w:t>Self-serve signup, 5 min</w:t>
            </w:r>
          </w:p>
        </w:tc>
        <w:tc>
          <w:tcPr>
            <w:tcW w:type="dxa" w:w="1872"/>
            <w:shd w:fill="EDEDF7" w:val="clear"/>
          </w:tcPr>
          <w:p>
            <w:r/>
            <w:r>
              <w:rPr>
                <w:rFonts w:ascii="Arial" w:hAnsi="Arial"/>
                <w:sz w:val="15"/>
              </w:rPr>
              <w:t>Free entropy diagnostic for their NAICS code. Shows exact $ bleeding. Then $49-499/mo.</w:t>
            </w:r>
          </w:p>
        </w:tc>
        <w:tc>
          <w:tcPr>
            <w:tcW w:type="dxa" w:w="1440"/>
            <w:shd w:fill="EDEDF7" w:val="clear"/>
          </w:tcPr>
          <w:p>
            <w:r/>
            <w:r>
              <w:rPr>
                <w:rFonts w:ascii="Arial" w:hAnsi="Arial"/>
                <w:sz w:val="15"/>
              </w:rPr>
              <w:t>Data gravity: AINE learns their business patterns</w:t>
            </w:r>
          </w:p>
        </w:tc>
      </w:tr>
      <w:tr>
        <w:tc>
          <w:tcPr>
            <w:tcW w:type="dxa" w:w="1008"/>
          </w:tcPr>
          <w:p>
            <w:r/>
            <w:r>
              <w:rPr>
                <w:rFonts w:ascii="Arial" w:hAnsi="Arial"/>
                <w:sz w:val="15"/>
              </w:rPr>
              <w:t>CFOs/Finance Directors</w:t>
            </w:r>
          </w:p>
        </w:tc>
        <w:tc>
          <w:tcPr>
            <w:tcW w:type="dxa" w:w="720"/>
          </w:tcPr>
          <w:p>
            <w:r/>
            <w:r>
              <w:rPr>
                <w:rFonts w:ascii="Arial" w:hAnsi="Arial"/>
                <w:sz w:val="15"/>
              </w:rPr>
              <w:t>10M+ globally</w:t>
            </w:r>
          </w:p>
        </w:tc>
        <w:tc>
          <w:tcPr>
            <w:tcW w:type="dxa" w:w="1152"/>
          </w:tcPr>
          <w:p>
            <w:r/>
            <w:r>
              <w:rPr>
                <w:rFonts w:ascii="Arial" w:hAnsi="Arial"/>
                <w:sz w:val="15"/>
              </w:rPr>
              <w:t>Billing leakage, cash flow uncertainty</w:t>
            </w:r>
          </w:p>
        </w:tc>
        <w:tc>
          <w:tcPr>
            <w:tcW w:type="dxa" w:w="1152"/>
          </w:tcPr>
          <w:p>
            <w:r/>
            <w:r>
              <w:rPr>
                <w:rFonts w:ascii="Arial" w:hAnsi="Arial"/>
                <w:sz w:val="15"/>
              </w:rPr>
              <w:t>Revenue Assurance AINE</w:t>
            </w:r>
          </w:p>
        </w:tc>
        <w:tc>
          <w:tcPr>
            <w:tcW w:type="dxa" w:w="1008"/>
          </w:tcPr>
          <w:p>
            <w:r/>
            <w:r>
              <w:rPr>
                <w:rFonts w:ascii="Arial" w:hAnsi="Arial"/>
                <w:sz w:val="15"/>
              </w:rPr>
              <w:t>API connection to accounting system</w:t>
            </w:r>
          </w:p>
        </w:tc>
        <w:tc>
          <w:tcPr>
            <w:tcW w:type="dxa" w:w="1872"/>
          </w:tcPr>
          <w:p>
            <w:r/>
            <w:r>
              <w:rPr>
                <w:rFonts w:ascii="Arial" w:hAnsi="Arial"/>
                <w:sz w:val="15"/>
              </w:rPr>
              <w:t>Guaranteed ROI: recover 3-5x subscription cost in month 1 or refund.</w:t>
            </w:r>
          </w:p>
        </w:tc>
        <w:tc>
          <w:tcPr>
            <w:tcW w:type="dxa" w:w="1440"/>
          </w:tcPr>
          <w:p>
            <w:r/>
            <w:r>
              <w:rPr>
                <w:rFonts w:ascii="Arial" w:hAnsi="Arial"/>
                <w:sz w:val="15"/>
              </w:rPr>
              <w:t>Historical pattern data becomes irreplaceable</w:t>
            </w:r>
          </w:p>
        </w:tc>
      </w:tr>
      <w:tr>
        <w:tc>
          <w:tcPr>
            <w:tcW w:type="dxa" w:w="1008"/>
            <w:shd w:fill="EDEDF7" w:val="clear"/>
          </w:tcPr>
          <w:p>
            <w:r/>
            <w:r>
              <w:rPr>
                <w:rFonts w:ascii="Arial" w:hAnsi="Arial"/>
                <w:sz w:val="15"/>
              </w:rPr>
              <w:t>COOs/Operations Heads</w:t>
            </w:r>
          </w:p>
        </w:tc>
        <w:tc>
          <w:tcPr>
            <w:tcW w:type="dxa" w:w="720"/>
            <w:shd w:fill="EDEDF7" w:val="clear"/>
          </w:tcPr>
          <w:p>
            <w:r/>
            <w:r>
              <w:rPr>
                <w:rFonts w:ascii="Arial" w:hAnsi="Arial"/>
                <w:sz w:val="15"/>
              </w:rPr>
              <w:t>5M+ globally</w:t>
            </w:r>
          </w:p>
        </w:tc>
        <w:tc>
          <w:tcPr>
            <w:tcW w:type="dxa" w:w="1152"/>
            <w:shd w:fill="EDEDF7" w:val="clear"/>
          </w:tcPr>
          <w:p>
            <w:r/>
            <w:r>
              <w:rPr>
                <w:rFonts w:ascii="Arial" w:hAnsi="Arial"/>
                <w:sz w:val="15"/>
              </w:rPr>
              <w:t>Process bottlenecks, quality variance</w:t>
            </w:r>
          </w:p>
        </w:tc>
        <w:tc>
          <w:tcPr>
            <w:tcW w:type="dxa" w:w="1152"/>
            <w:shd w:fill="EDEDF7" w:val="clear"/>
          </w:tcPr>
          <w:p>
            <w:r/>
            <w:r>
              <w:rPr>
                <w:rFonts w:ascii="Arial" w:hAnsi="Arial"/>
                <w:sz w:val="15"/>
              </w:rPr>
              <w:t>Ops Optimization AINE</w:t>
            </w:r>
          </w:p>
        </w:tc>
        <w:tc>
          <w:tcPr>
            <w:tcW w:type="dxa" w:w="1008"/>
            <w:shd w:fill="EDEDF7" w:val="clear"/>
          </w:tcPr>
          <w:p>
            <w:r/>
            <w:r>
              <w:rPr>
                <w:rFonts w:ascii="Arial" w:hAnsi="Arial"/>
                <w:sz w:val="15"/>
              </w:rPr>
              <w:t>Process mapping intake (1hr)</w:t>
            </w:r>
          </w:p>
        </w:tc>
        <w:tc>
          <w:tcPr>
            <w:tcW w:type="dxa" w:w="1872"/>
            <w:shd w:fill="EDEDF7" w:val="clear"/>
          </w:tcPr>
          <w:p>
            <w:r/>
            <w:r>
              <w:rPr>
                <w:rFonts w:ascii="Arial" w:hAnsi="Arial"/>
                <w:sz w:val="15"/>
              </w:rPr>
              <w:t>Free bottleneck analysis. Show throughput improvement potential.</w:t>
            </w:r>
          </w:p>
        </w:tc>
        <w:tc>
          <w:tcPr>
            <w:tcW w:type="dxa" w:w="1440"/>
            <w:shd w:fill="EDEDF7" w:val="clear"/>
          </w:tcPr>
          <w:p>
            <w:r/>
            <w:r>
              <w:rPr>
                <w:rFonts w:ascii="Arial" w:hAnsi="Arial"/>
                <w:sz w:val="15"/>
              </w:rPr>
              <w:t>Workflow integration across teams</w:t>
            </w:r>
          </w:p>
        </w:tc>
      </w:tr>
      <w:tr>
        <w:tc>
          <w:tcPr>
            <w:tcW w:type="dxa" w:w="1008"/>
          </w:tcPr>
          <w:p>
            <w:r/>
            <w:r>
              <w:rPr>
                <w:rFonts w:ascii="Arial" w:hAnsi="Arial"/>
                <w:sz w:val="15"/>
              </w:rPr>
              <w:t>Compliance Officers</w:t>
            </w:r>
          </w:p>
        </w:tc>
        <w:tc>
          <w:tcPr>
            <w:tcW w:type="dxa" w:w="720"/>
          </w:tcPr>
          <w:p>
            <w:r/>
            <w:r>
              <w:rPr>
                <w:rFonts w:ascii="Arial" w:hAnsi="Arial"/>
                <w:sz w:val="15"/>
              </w:rPr>
              <w:t>2M+ globally</w:t>
            </w:r>
          </w:p>
        </w:tc>
        <w:tc>
          <w:tcPr>
            <w:tcW w:type="dxa" w:w="1152"/>
          </w:tcPr>
          <w:p>
            <w:r/>
            <w:r>
              <w:rPr>
                <w:rFonts w:ascii="Arial" w:hAnsi="Arial"/>
                <w:sz w:val="15"/>
              </w:rPr>
              <w:t>Regulatory velocity (217 updates/day)</w:t>
            </w:r>
          </w:p>
        </w:tc>
        <w:tc>
          <w:tcPr>
            <w:tcW w:type="dxa" w:w="1152"/>
          </w:tcPr>
          <w:p>
            <w:r/>
            <w:r>
              <w:rPr>
                <w:rFonts w:ascii="Arial" w:hAnsi="Arial"/>
                <w:sz w:val="15"/>
              </w:rPr>
              <w:t>RegTrack AINE (jurisdiction-specific)</w:t>
            </w:r>
          </w:p>
        </w:tc>
        <w:tc>
          <w:tcPr>
            <w:tcW w:type="dxa" w:w="1008"/>
          </w:tcPr>
          <w:p>
            <w:r/>
            <w:r>
              <w:rPr>
                <w:rFonts w:ascii="Arial" w:hAnsi="Arial"/>
                <w:sz w:val="15"/>
              </w:rPr>
              <w:t>Regulatory scope selection</w:t>
            </w:r>
          </w:p>
        </w:tc>
        <w:tc>
          <w:tcPr>
            <w:tcW w:type="dxa" w:w="1872"/>
          </w:tcPr>
          <w:p>
            <w:r/>
            <w:r>
              <w:rPr>
                <w:rFonts w:ascii="Arial" w:hAnsi="Arial"/>
                <w:sz w:val="15"/>
              </w:rPr>
              <w:t>Free regulatory change feed for their industry. Premium for automated compliance.</w:t>
            </w:r>
          </w:p>
        </w:tc>
        <w:tc>
          <w:tcPr>
            <w:tcW w:type="dxa" w:w="1440"/>
          </w:tcPr>
          <w:p>
            <w:r/>
            <w:r>
              <w:rPr>
                <w:rFonts w:ascii="Arial" w:hAnsi="Arial"/>
                <w:sz w:val="15"/>
              </w:rPr>
              <w:t>Regulatory memory: switching means rebuilding compliance history</w:t>
            </w:r>
          </w:p>
        </w:tc>
      </w:tr>
      <w:tr>
        <w:tc>
          <w:tcPr>
            <w:tcW w:type="dxa" w:w="1008"/>
            <w:shd w:fill="EDEDF7" w:val="clear"/>
          </w:tcPr>
          <w:p>
            <w:r/>
            <w:r>
              <w:rPr>
                <w:rFonts w:ascii="Arial" w:hAnsi="Arial"/>
                <w:sz w:val="15"/>
              </w:rPr>
              <w:t>HR Directors</w:t>
            </w:r>
          </w:p>
        </w:tc>
        <w:tc>
          <w:tcPr>
            <w:tcW w:type="dxa" w:w="720"/>
            <w:shd w:fill="EDEDF7" w:val="clear"/>
          </w:tcPr>
          <w:p>
            <w:r/>
            <w:r>
              <w:rPr>
                <w:rFonts w:ascii="Arial" w:hAnsi="Arial"/>
                <w:sz w:val="15"/>
              </w:rPr>
              <w:t>5M+ globally</w:t>
            </w:r>
          </w:p>
        </w:tc>
        <w:tc>
          <w:tcPr>
            <w:tcW w:type="dxa" w:w="1152"/>
            <w:shd w:fill="EDEDF7" w:val="clear"/>
          </w:tcPr>
          <w:p>
            <w:r/>
            <w:r>
              <w:rPr>
                <w:rFonts w:ascii="Arial" w:hAnsi="Arial"/>
                <w:sz w:val="15"/>
              </w:rPr>
              <w:t>Hiring cost, skills gap, turnover</w:t>
            </w:r>
          </w:p>
        </w:tc>
        <w:tc>
          <w:tcPr>
            <w:tcW w:type="dxa" w:w="1152"/>
            <w:shd w:fill="EDEDF7" w:val="clear"/>
          </w:tcPr>
          <w:p>
            <w:r/>
            <w:r>
              <w:rPr>
                <w:rFonts w:ascii="Arial" w:hAnsi="Arial"/>
                <w:sz w:val="15"/>
              </w:rPr>
              <w:t>Talent Lifecycle AINE</w:t>
            </w:r>
          </w:p>
        </w:tc>
        <w:tc>
          <w:tcPr>
            <w:tcW w:type="dxa" w:w="1008"/>
            <w:shd w:fill="EDEDF7" w:val="clear"/>
          </w:tcPr>
          <w:p>
            <w:r/>
            <w:r>
              <w:rPr>
                <w:rFonts w:ascii="Arial" w:hAnsi="Arial"/>
                <w:sz w:val="15"/>
              </w:rPr>
              <w:t>HRIS integration</w:t>
            </w:r>
          </w:p>
        </w:tc>
        <w:tc>
          <w:tcPr>
            <w:tcW w:type="dxa" w:w="1872"/>
            <w:shd w:fill="EDEDF7" w:val="clear"/>
          </w:tcPr>
          <w:p>
            <w:r/>
            <w:r>
              <w:rPr>
                <w:rFonts w:ascii="Arial" w:hAnsi="Arial"/>
                <w:sz w:val="15"/>
              </w:rPr>
              <w:t>First 3 hires free through JRAS. Show cost-per-hire reduction.</w:t>
            </w:r>
          </w:p>
        </w:tc>
        <w:tc>
          <w:tcPr>
            <w:tcW w:type="dxa" w:w="1440"/>
            <w:shd w:fill="EDEDF7" w:val="clear"/>
          </w:tcPr>
          <w:p>
            <w:r/>
            <w:r>
              <w:rPr>
                <w:rFonts w:ascii="Arial" w:hAnsi="Arial"/>
                <w:sz w:val="15"/>
              </w:rPr>
              <w:t>Candidate relationship data, performance benchmarks</w:t>
            </w:r>
          </w:p>
        </w:tc>
      </w:tr>
      <w:tr>
        <w:tc>
          <w:tcPr>
            <w:tcW w:type="dxa" w:w="1008"/>
          </w:tcPr>
          <w:p>
            <w:r/>
            <w:r>
              <w:rPr>
                <w:rFonts w:ascii="Arial" w:hAnsi="Arial"/>
                <w:sz w:val="15"/>
              </w:rPr>
              <w:t>IT Leaders/CIOs</w:t>
            </w:r>
          </w:p>
        </w:tc>
        <w:tc>
          <w:tcPr>
            <w:tcW w:type="dxa" w:w="720"/>
          </w:tcPr>
          <w:p>
            <w:r/>
            <w:r>
              <w:rPr>
                <w:rFonts w:ascii="Arial" w:hAnsi="Arial"/>
                <w:sz w:val="15"/>
              </w:rPr>
              <w:t>3M+ globally</w:t>
            </w:r>
          </w:p>
        </w:tc>
        <w:tc>
          <w:tcPr>
            <w:tcW w:type="dxa" w:w="1152"/>
          </w:tcPr>
          <w:p>
            <w:r/>
            <w:r>
              <w:rPr>
                <w:rFonts w:ascii="Arial" w:hAnsi="Arial"/>
                <w:sz w:val="15"/>
              </w:rPr>
              <w:t>Technical debt, security, integration</w:t>
            </w:r>
          </w:p>
        </w:tc>
        <w:tc>
          <w:tcPr>
            <w:tcW w:type="dxa" w:w="1152"/>
          </w:tcPr>
          <w:p>
            <w:r/>
            <w:r>
              <w:rPr>
                <w:rFonts w:ascii="Arial" w:hAnsi="Arial"/>
                <w:sz w:val="15"/>
              </w:rPr>
              <w:t>Tech Stack Health AINE</w:t>
            </w:r>
          </w:p>
        </w:tc>
        <w:tc>
          <w:tcPr>
            <w:tcW w:type="dxa" w:w="1008"/>
          </w:tcPr>
          <w:p>
            <w:r/>
            <w:r>
              <w:rPr>
                <w:rFonts w:ascii="Arial" w:hAnsi="Arial"/>
                <w:sz w:val="15"/>
              </w:rPr>
              <w:t>Infrastructure scan (automated)</w:t>
            </w:r>
          </w:p>
        </w:tc>
        <w:tc>
          <w:tcPr>
            <w:tcW w:type="dxa" w:w="1872"/>
          </w:tcPr>
          <w:p>
            <w:r/>
            <w:r>
              <w:rPr>
                <w:rFonts w:ascii="Arial" w:hAnsi="Arial"/>
                <w:sz w:val="15"/>
              </w:rPr>
              <w:t>Free security + debt assessment. Premium for remediation.</w:t>
            </w:r>
          </w:p>
        </w:tc>
        <w:tc>
          <w:tcPr>
            <w:tcW w:type="dxa" w:w="1440"/>
          </w:tcPr>
          <w:p>
            <w:r/>
            <w:r>
              <w:rPr>
                <w:rFonts w:ascii="Arial" w:hAnsi="Arial"/>
                <w:sz w:val="15"/>
              </w:rPr>
              <w:t>System dependency mapping</w:t>
            </w:r>
          </w:p>
        </w:tc>
      </w:tr>
      <w:tr>
        <w:tc>
          <w:tcPr>
            <w:tcW w:type="dxa" w:w="1008"/>
            <w:shd w:fill="EDEDF7" w:val="clear"/>
          </w:tcPr>
          <w:p>
            <w:r/>
            <w:r>
              <w:rPr>
                <w:rFonts w:ascii="Arial" w:hAnsi="Arial"/>
                <w:sz w:val="15"/>
              </w:rPr>
              <w:t>Sales Leaders</w:t>
            </w:r>
          </w:p>
        </w:tc>
        <w:tc>
          <w:tcPr>
            <w:tcW w:type="dxa" w:w="720"/>
            <w:shd w:fill="EDEDF7" w:val="clear"/>
          </w:tcPr>
          <w:p>
            <w:r/>
            <w:r>
              <w:rPr>
                <w:rFonts w:ascii="Arial" w:hAnsi="Arial"/>
                <w:sz w:val="15"/>
              </w:rPr>
              <w:t>8M+ globally</w:t>
            </w:r>
          </w:p>
        </w:tc>
        <w:tc>
          <w:tcPr>
            <w:tcW w:type="dxa" w:w="1152"/>
            <w:shd w:fill="EDEDF7" w:val="clear"/>
          </w:tcPr>
          <w:p>
            <w:r/>
            <w:r>
              <w:rPr>
                <w:rFonts w:ascii="Arial" w:hAnsi="Arial"/>
                <w:sz w:val="15"/>
              </w:rPr>
              <w:t>Pipeline leakage, forecast inaccuracy</w:t>
            </w:r>
          </w:p>
        </w:tc>
        <w:tc>
          <w:tcPr>
            <w:tcW w:type="dxa" w:w="1152"/>
            <w:shd w:fill="EDEDF7" w:val="clear"/>
          </w:tcPr>
          <w:p>
            <w:r/>
            <w:r>
              <w:rPr>
                <w:rFonts w:ascii="Arial" w:hAnsi="Arial"/>
                <w:sz w:val="15"/>
              </w:rPr>
              <w:t>Revenue Intelligence AINE</w:t>
            </w:r>
          </w:p>
        </w:tc>
        <w:tc>
          <w:tcPr>
            <w:tcW w:type="dxa" w:w="1008"/>
            <w:shd w:fill="EDEDF7" w:val="clear"/>
          </w:tcPr>
          <w:p>
            <w:r/>
            <w:r>
              <w:rPr>
                <w:rFonts w:ascii="Arial" w:hAnsi="Arial"/>
                <w:sz w:val="15"/>
              </w:rPr>
              <w:t>CRM connection</w:t>
            </w:r>
          </w:p>
        </w:tc>
        <w:tc>
          <w:tcPr>
            <w:tcW w:type="dxa" w:w="1872"/>
            <w:shd w:fill="EDEDF7" w:val="clear"/>
          </w:tcPr>
          <w:p>
            <w:r/>
            <w:r>
              <w:rPr>
                <w:rFonts w:ascii="Arial" w:hAnsi="Arial"/>
                <w:sz w:val="15"/>
              </w:rPr>
              <w:t>Show pipeline leakage $ in first analysis. Free trial closes deals.</w:t>
            </w:r>
          </w:p>
        </w:tc>
        <w:tc>
          <w:tcPr>
            <w:tcW w:type="dxa" w:w="1440"/>
            <w:shd w:fill="EDEDF7" w:val="clear"/>
          </w:tcPr>
          <w:p>
            <w:r/>
            <w:r>
              <w:rPr>
                <w:rFonts w:ascii="Arial" w:hAnsi="Arial"/>
                <w:sz w:val="15"/>
              </w:rPr>
              <w:t>Pipeline intelligence compounds over quarters</w:t>
            </w:r>
          </w:p>
        </w:tc>
      </w:tr>
      <w:tr>
        <w:tc>
          <w:tcPr>
            <w:tcW w:type="dxa" w:w="1008"/>
          </w:tcPr>
          <w:p>
            <w:r/>
            <w:r>
              <w:rPr>
                <w:rFonts w:ascii="Arial" w:hAnsi="Arial"/>
                <w:sz w:val="15"/>
              </w:rPr>
              <w:t>Procurement Officers</w:t>
            </w:r>
          </w:p>
        </w:tc>
        <w:tc>
          <w:tcPr>
            <w:tcW w:type="dxa" w:w="720"/>
          </w:tcPr>
          <w:p>
            <w:r/>
            <w:r>
              <w:rPr>
                <w:rFonts w:ascii="Arial" w:hAnsi="Arial"/>
                <w:sz w:val="15"/>
              </w:rPr>
              <w:t>4M+ globally</w:t>
            </w:r>
          </w:p>
        </w:tc>
        <w:tc>
          <w:tcPr>
            <w:tcW w:type="dxa" w:w="1152"/>
          </w:tcPr>
          <w:p>
            <w:r/>
            <w:r>
              <w:rPr>
                <w:rFonts w:ascii="Arial" w:hAnsi="Arial"/>
                <w:sz w:val="15"/>
              </w:rPr>
              <w:t>Supplier risk, cost optimization</w:t>
            </w:r>
          </w:p>
        </w:tc>
        <w:tc>
          <w:tcPr>
            <w:tcW w:type="dxa" w:w="1152"/>
          </w:tcPr>
          <w:p>
            <w:r/>
            <w:r>
              <w:rPr>
                <w:rFonts w:ascii="Arial" w:hAnsi="Arial"/>
                <w:sz w:val="15"/>
              </w:rPr>
              <w:t>Procurement Intelligence AINE</w:t>
            </w:r>
          </w:p>
        </w:tc>
        <w:tc>
          <w:tcPr>
            <w:tcW w:type="dxa" w:w="1008"/>
          </w:tcPr>
          <w:p>
            <w:r/>
            <w:r>
              <w:rPr>
                <w:rFonts w:ascii="Arial" w:hAnsi="Arial"/>
                <w:sz w:val="15"/>
              </w:rPr>
              <w:t>Spend data upload</w:t>
            </w:r>
          </w:p>
        </w:tc>
        <w:tc>
          <w:tcPr>
            <w:tcW w:type="dxa" w:w="1872"/>
          </w:tcPr>
          <w:p>
            <w:r/>
            <w:r>
              <w:rPr>
                <w:rFonts w:ascii="Arial" w:hAnsi="Arial"/>
                <w:sz w:val="15"/>
              </w:rPr>
              <w:t>Free spend analysis reveals 5-15% savings opportunity.</w:t>
            </w:r>
          </w:p>
        </w:tc>
        <w:tc>
          <w:tcPr>
            <w:tcW w:type="dxa" w:w="1440"/>
          </w:tcPr>
          <w:p>
            <w:r/>
            <w:r>
              <w:rPr>
                <w:rFonts w:ascii="Arial" w:hAnsi="Arial"/>
                <w:sz w:val="15"/>
              </w:rPr>
              <w:t>Supplier performance benchmarks over time</w:t>
            </w:r>
          </w:p>
        </w:tc>
      </w:tr>
      <w:tr>
        <w:tc>
          <w:tcPr>
            <w:tcW w:type="dxa" w:w="1008"/>
            <w:shd w:fill="EDEDF7" w:val="clear"/>
          </w:tcPr>
          <w:p>
            <w:r/>
            <w:r>
              <w:rPr>
                <w:rFonts w:ascii="Arial" w:hAnsi="Arial"/>
                <w:sz w:val="15"/>
              </w:rPr>
              <w:t>Investors/Fund Managers</w:t>
            </w:r>
          </w:p>
        </w:tc>
        <w:tc>
          <w:tcPr>
            <w:tcW w:type="dxa" w:w="720"/>
            <w:shd w:fill="EDEDF7" w:val="clear"/>
          </w:tcPr>
          <w:p>
            <w:r/>
            <w:r>
              <w:rPr>
                <w:rFonts w:ascii="Arial" w:hAnsi="Arial"/>
                <w:sz w:val="15"/>
              </w:rPr>
              <w:t>500K+ globally</w:t>
            </w:r>
          </w:p>
        </w:tc>
        <w:tc>
          <w:tcPr>
            <w:tcW w:type="dxa" w:w="1152"/>
            <w:shd w:fill="EDEDF7" w:val="clear"/>
          </w:tcPr>
          <w:p>
            <w:r/>
            <w:r>
              <w:rPr>
                <w:rFonts w:ascii="Arial" w:hAnsi="Arial"/>
                <w:sz w:val="15"/>
              </w:rPr>
              <w:t>Deal flow quality, due diligence</w:t>
            </w:r>
          </w:p>
        </w:tc>
        <w:tc>
          <w:tcPr>
            <w:tcW w:type="dxa" w:w="1152"/>
            <w:shd w:fill="EDEDF7" w:val="clear"/>
          </w:tcPr>
          <w:p>
            <w:r/>
            <w:r>
              <w:rPr>
                <w:rFonts w:ascii="Arial" w:hAnsi="Arial"/>
                <w:sz w:val="15"/>
              </w:rPr>
              <w:t>Venture Intelligence AINE</w:t>
            </w:r>
          </w:p>
        </w:tc>
        <w:tc>
          <w:tcPr>
            <w:tcW w:type="dxa" w:w="1008"/>
            <w:shd w:fill="EDEDF7" w:val="clear"/>
          </w:tcPr>
          <w:p>
            <w:r/>
            <w:r>
              <w:rPr>
                <w:rFonts w:ascii="Arial" w:hAnsi="Arial"/>
                <w:sz w:val="15"/>
              </w:rPr>
              <w:t>Andrew Franklin Leo intro</w:t>
            </w:r>
          </w:p>
        </w:tc>
        <w:tc>
          <w:tcPr>
            <w:tcW w:type="dxa" w:w="1872"/>
            <w:shd w:fill="EDEDF7" w:val="clear"/>
          </w:tcPr>
          <w:p>
            <w:r/>
            <w:r>
              <w:rPr>
                <w:rFonts w:ascii="Arial" w:hAnsi="Arial"/>
                <w:sz w:val="15"/>
              </w:rPr>
              <w:t>Free industry entropy maps. Premium for deal flow + diligence.</w:t>
            </w:r>
          </w:p>
        </w:tc>
        <w:tc>
          <w:tcPr>
            <w:tcW w:type="dxa" w:w="1440"/>
            <w:shd w:fill="EDEDF7" w:val="clear"/>
          </w:tcPr>
          <w:p>
            <w:r/>
            <w:r>
              <w:rPr>
                <w:rFonts w:ascii="Arial" w:hAnsi="Arial"/>
                <w:sz w:val="15"/>
              </w:rPr>
              <w:t>Proprietary sector intelligence</w:t>
            </w:r>
          </w:p>
        </w:tc>
      </w:tr>
      <w:tr>
        <w:tc>
          <w:tcPr>
            <w:tcW w:type="dxa" w:w="1008"/>
          </w:tcPr>
          <w:p>
            <w:r/>
            <w:r>
              <w:rPr>
                <w:rFonts w:ascii="Arial" w:hAnsi="Arial"/>
                <w:sz w:val="15"/>
              </w:rPr>
              <w:t>Government Procurement</w:t>
            </w:r>
          </w:p>
        </w:tc>
        <w:tc>
          <w:tcPr>
            <w:tcW w:type="dxa" w:w="720"/>
          </w:tcPr>
          <w:p>
            <w:r/>
            <w:r>
              <w:rPr>
                <w:rFonts w:ascii="Arial" w:hAnsi="Arial"/>
                <w:sz w:val="15"/>
              </w:rPr>
              <w:t>200K+ agencies globally</w:t>
            </w:r>
          </w:p>
        </w:tc>
        <w:tc>
          <w:tcPr>
            <w:tcW w:type="dxa" w:w="1152"/>
          </w:tcPr>
          <w:p>
            <w:r/>
            <w:r>
              <w:rPr>
                <w:rFonts w:ascii="Arial" w:hAnsi="Arial"/>
                <w:sz w:val="15"/>
              </w:rPr>
              <w:t>Vendor quality, compliance burden</w:t>
            </w:r>
          </w:p>
        </w:tc>
        <w:tc>
          <w:tcPr>
            <w:tcW w:type="dxa" w:w="1152"/>
          </w:tcPr>
          <w:p>
            <w:r/>
            <w:r>
              <w:rPr>
                <w:rFonts w:ascii="Arial" w:hAnsi="Arial"/>
                <w:sz w:val="15"/>
              </w:rPr>
              <w:t>GovTech AINE Stack</w:t>
            </w:r>
          </w:p>
        </w:tc>
        <w:tc>
          <w:tcPr>
            <w:tcW w:type="dxa" w:w="1008"/>
          </w:tcPr>
          <w:p>
            <w:r/>
            <w:r>
              <w:rPr>
                <w:rFonts w:ascii="Arial" w:hAnsi="Arial"/>
                <w:sz w:val="15"/>
              </w:rPr>
              <w:t>Procurement compliance review</w:t>
            </w:r>
          </w:p>
        </w:tc>
        <w:tc>
          <w:tcPr>
            <w:tcW w:type="dxa" w:w="1872"/>
          </w:tcPr>
          <w:p>
            <w:r/>
            <w:r>
              <w:rPr>
                <w:rFonts w:ascii="Arial" w:hAnsi="Arial"/>
                <w:sz w:val="15"/>
              </w:rPr>
              <w:t>Pilot program: success-based pricing. No upfront cost.</w:t>
            </w:r>
          </w:p>
        </w:tc>
        <w:tc>
          <w:tcPr>
            <w:tcW w:type="dxa" w:w="1440"/>
          </w:tcPr>
          <w:p>
            <w:r/>
            <w:r>
              <w:rPr>
                <w:rFonts w:ascii="Arial" w:hAnsi="Arial"/>
                <w:sz w:val="15"/>
              </w:rPr>
              <w:t>Sovereign data + audit trails</w:t>
            </w:r>
          </w:p>
        </w:tc>
      </w:tr>
      <w:tr>
        <w:tc>
          <w:tcPr>
            <w:tcW w:type="dxa" w:w="1008"/>
            <w:shd w:fill="EDEDF7" w:val="clear"/>
          </w:tcPr>
          <w:p>
            <w:r/>
            <w:r>
              <w:rPr>
                <w:rFonts w:ascii="Arial" w:hAnsi="Arial"/>
                <w:sz w:val="15"/>
              </w:rPr>
              <w:t>Workers/Professionals</w:t>
            </w:r>
          </w:p>
        </w:tc>
        <w:tc>
          <w:tcPr>
            <w:tcW w:type="dxa" w:w="720"/>
            <w:shd w:fill="EDEDF7" w:val="clear"/>
          </w:tcPr>
          <w:p>
            <w:r/>
            <w:r>
              <w:rPr>
                <w:rFonts w:ascii="Arial" w:hAnsi="Arial"/>
                <w:sz w:val="15"/>
              </w:rPr>
              <w:t>3.5B globally</w:t>
            </w:r>
          </w:p>
        </w:tc>
        <w:tc>
          <w:tcPr>
            <w:tcW w:type="dxa" w:w="1152"/>
            <w:shd w:fill="EDEDF7" w:val="clear"/>
          </w:tcPr>
          <w:p>
            <w:r/>
            <w:r>
              <w:rPr>
                <w:rFonts w:ascii="Arial" w:hAnsi="Arial"/>
                <w:sz w:val="15"/>
              </w:rPr>
              <w:t>Skills obsolescence, career uncertainty</w:t>
            </w:r>
          </w:p>
        </w:tc>
        <w:tc>
          <w:tcPr>
            <w:tcW w:type="dxa" w:w="1152"/>
            <w:shd w:fill="EDEDF7" w:val="clear"/>
          </w:tcPr>
          <w:p>
            <w:r/>
            <w:r>
              <w:rPr>
                <w:rFonts w:ascii="Arial" w:hAnsi="Arial"/>
                <w:sz w:val="15"/>
              </w:rPr>
              <w:t>Career Entropy AINE (via Levelupmax)</w:t>
            </w:r>
          </w:p>
        </w:tc>
        <w:tc>
          <w:tcPr>
            <w:tcW w:type="dxa" w:w="1008"/>
            <w:shd w:fill="EDEDF7" w:val="clear"/>
          </w:tcPr>
          <w:p>
            <w:r/>
            <w:r>
              <w:rPr>
                <w:rFonts w:ascii="Arial" w:hAnsi="Arial"/>
                <w:sz w:val="15"/>
              </w:rPr>
              <w:t>Mobile signup, 2 min</w:t>
            </w:r>
          </w:p>
        </w:tc>
        <w:tc>
          <w:tcPr>
            <w:tcW w:type="dxa" w:w="1872"/>
            <w:shd w:fill="EDEDF7" w:val="clear"/>
          </w:tcPr>
          <w:p>
            <w:r/>
            <w:r>
              <w:rPr>
                <w:rFonts w:ascii="Arial" w:hAnsi="Arial"/>
                <w:sz w:val="15"/>
              </w:rPr>
              <w:t>Free SOC-code career risk assessment. Shows AI displacement probability.</w:t>
            </w:r>
          </w:p>
        </w:tc>
        <w:tc>
          <w:tcPr>
            <w:tcW w:type="dxa" w:w="1440"/>
            <w:shd w:fill="EDEDF7" w:val="clear"/>
          </w:tcPr>
          <w:p>
            <w:r/>
            <w:r>
              <w:rPr>
                <w:rFonts w:ascii="Arial" w:hAnsi="Arial"/>
                <w:sz w:val="15"/>
              </w:rPr>
              <w:t>Certification progression, JRAS job access</w:t>
            </w:r>
          </w:p>
        </w:tc>
      </w:tr>
      <w:tr>
        <w:tc>
          <w:tcPr>
            <w:tcW w:type="dxa" w:w="1008"/>
          </w:tcPr>
          <w:p>
            <w:r/>
            <w:r>
              <w:rPr>
                <w:rFonts w:ascii="Arial" w:hAnsi="Arial"/>
                <w:sz w:val="15"/>
              </w:rPr>
              <w:t>Students/Learners</w:t>
            </w:r>
          </w:p>
        </w:tc>
        <w:tc>
          <w:tcPr>
            <w:tcW w:type="dxa" w:w="720"/>
          </w:tcPr>
          <w:p>
            <w:r/>
            <w:r>
              <w:rPr>
                <w:rFonts w:ascii="Arial" w:hAnsi="Arial"/>
                <w:sz w:val="15"/>
              </w:rPr>
              <w:t>1.5B globally</w:t>
            </w:r>
          </w:p>
        </w:tc>
        <w:tc>
          <w:tcPr>
            <w:tcW w:type="dxa" w:w="1152"/>
          </w:tcPr>
          <w:p>
            <w:r/>
            <w:r>
              <w:rPr>
                <w:rFonts w:ascii="Arial" w:hAnsi="Arial"/>
                <w:sz w:val="15"/>
              </w:rPr>
              <w:t>Education-job gap, curriculum obsolescence</w:t>
            </w:r>
          </w:p>
        </w:tc>
        <w:tc>
          <w:tcPr>
            <w:tcW w:type="dxa" w:w="1152"/>
          </w:tcPr>
          <w:p>
            <w:r/>
            <w:r>
              <w:rPr>
                <w:rFonts w:ascii="Arial" w:hAnsi="Arial"/>
                <w:sz w:val="15"/>
              </w:rPr>
              <w:t>Learning Path AINE (via Levelupmax)</w:t>
            </w:r>
          </w:p>
        </w:tc>
        <w:tc>
          <w:tcPr>
            <w:tcW w:type="dxa" w:w="1008"/>
          </w:tcPr>
          <w:p>
            <w:r/>
            <w:r>
              <w:rPr>
                <w:rFonts w:ascii="Arial" w:hAnsi="Arial"/>
                <w:sz w:val="15"/>
              </w:rPr>
              <w:t>CIP-code selection</w:t>
            </w:r>
          </w:p>
        </w:tc>
        <w:tc>
          <w:tcPr>
            <w:tcW w:type="dxa" w:w="1872"/>
          </w:tcPr>
          <w:p>
            <w:r/>
            <w:r>
              <w:rPr>
                <w:rFonts w:ascii="Arial" w:hAnsi="Arial"/>
                <w:sz w:val="15"/>
              </w:rPr>
              <w:t>Free program ROI analysis. Shows earnings potential vs debt load.</w:t>
            </w:r>
          </w:p>
        </w:tc>
        <w:tc>
          <w:tcPr>
            <w:tcW w:type="dxa" w:w="1440"/>
          </w:tcPr>
          <w:p>
            <w:r/>
            <w:r>
              <w:rPr>
                <w:rFonts w:ascii="Arial" w:hAnsi="Arial"/>
                <w:sz w:val="15"/>
              </w:rPr>
              <w:t>Credential stack, employer network access</w:t>
            </w:r>
          </w:p>
        </w:tc>
      </w:tr>
      <w:tr>
        <w:tc>
          <w:tcPr>
            <w:tcW w:type="dxa" w:w="1008"/>
            <w:shd w:fill="EDEDF7" w:val="clear"/>
          </w:tcPr>
          <w:p>
            <w:r/>
            <w:r>
              <w:rPr>
                <w:rFonts w:ascii="Arial" w:hAnsi="Arial"/>
                <w:sz w:val="15"/>
              </w:rPr>
              <w:t>Regulators</w:t>
            </w:r>
          </w:p>
        </w:tc>
        <w:tc>
          <w:tcPr>
            <w:tcW w:type="dxa" w:w="720"/>
            <w:shd w:fill="EDEDF7" w:val="clear"/>
          </w:tcPr>
          <w:p>
            <w:r/>
            <w:r>
              <w:rPr>
                <w:rFonts w:ascii="Arial" w:hAnsi="Arial"/>
                <w:sz w:val="15"/>
              </w:rPr>
              <w:t>50K+ agencies globally</w:t>
            </w:r>
          </w:p>
        </w:tc>
        <w:tc>
          <w:tcPr>
            <w:tcW w:type="dxa" w:w="1152"/>
            <w:shd w:fill="EDEDF7" w:val="clear"/>
          </w:tcPr>
          <w:p>
            <w:r/>
            <w:r>
              <w:rPr>
                <w:rFonts w:ascii="Arial" w:hAnsi="Arial"/>
                <w:sz w:val="15"/>
              </w:rPr>
              <w:t>Enforcement capacity, data lag</w:t>
            </w:r>
          </w:p>
        </w:tc>
        <w:tc>
          <w:tcPr>
            <w:tcW w:type="dxa" w:w="1152"/>
            <w:shd w:fill="EDEDF7" w:val="clear"/>
          </w:tcPr>
          <w:p>
            <w:r/>
            <w:r>
              <w:rPr>
                <w:rFonts w:ascii="Arial" w:hAnsi="Arial"/>
                <w:sz w:val="15"/>
              </w:rPr>
              <w:t>Regulatory Intelligence AINE</w:t>
            </w:r>
          </w:p>
        </w:tc>
        <w:tc>
          <w:tcPr>
            <w:tcW w:type="dxa" w:w="1008"/>
            <w:shd w:fill="EDEDF7" w:val="clear"/>
          </w:tcPr>
          <w:p>
            <w:r/>
            <w:r>
              <w:rPr>
                <w:rFonts w:ascii="Arial" w:hAnsi="Arial"/>
                <w:sz w:val="15"/>
              </w:rPr>
              <w:t>Data sharing agreement</w:t>
            </w:r>
          </w:p>
        </w:tc>
        <w:tc>
          <w:tcPr>
            <w:tcW w:type="dxa" w:w="1872"/>
            <w:shd w:fill="EDEDF7" w:val="clear"/>
          </w:tcPr>
          <w:p>
            <w:r/>
            <w:r>
              <w:rPr>
                <w:rFonts w:ascii="Arial" w:hAnsi="Arial"/>
                <w:sz w:val="15"/>
              </w:rPr>
              <w:t>Free industry compliance dashboards. Premium for predictive enforcement.</w:t>
            </w:r>
          </w:p>
        </w:tc>
        <w:tc>
          <w:tcPr>
            <w:tcW w:type="dxa" w:w="1440"/>
            <w:shd w:fill="EDEDF7" w:val="clear"/>
          </w:tcPr>
          <w:p>
            <w:r/>
            <w:r>
              <w:rPr>
                <w:rFonts w:ascii="Arial" w:hAnsi="Arial"/>
                <w:sz w:val="15"/>
              </w:rPr>
              <w:t>Real-time compliance data feed from regulated entities</w:t>
            </w:r>
          </w:p>
        </w:tc>
      </w:tr>
      <w:tr>
        <w:tc>
          <w:tcPr>
            <w:tcW w:type="dxa" w:w="1008"/>
          </w:tcPr>
          <w:p>
            <w:r/>
            <w:r>
              <w:rPr>
                <w:rFonts w:ascii="Arial" w:hAnsi="Arial"/>
                <w:sz w:val="15"/>
              </w:rPr>
              <w:t>Insurance Carriers</w:t>
            </w:r>
          </w:p>
        </w:tc>
        <w:tc>
          <w:tcPr>
            <w:tcW w:type="dxa" w:w="720"/>
          </w:tcPr>
          <w:p>
            <w:r/>
            <w:r>
              <w:rPr>
                <w:rFonts w:ascii="Arial" w:hAnsi="Arial"/>
                <w:sz w:val="15"/>
              </w:rPr>
              <w:t>15K+ globally</w:t>
            </w:r>
          </w:p>
        </w:tc>
        <w:tc>
          <w:tcPr>
            <w:tcW w:type="dxa" w:w="1152"/>
          </w:tcPr>
          <w:p>
            <w:r/>
            <w:r>
              <w:rPr>
                <w:rFonts w:ascii="Arial" w:hAnsi="Arial"/>
                <w:sz w:val="15"/>
              </w:rPr>
              <w:t>Risk pricing accuracy, claims cost</w:t>
            </w:r>
          </w:p>
        </w:tc>
        <w:tc>
          <w:tcPr>
            <w:tcW w:type="dxa" w:w="1152"/>
          </w:tcPr>
          <w:p>
            <w:r/>
            <w:r>
              <w:rPr>
                <w:rFonts w:ascii="Arial" w:hAnsi="Arial"/>
                <w:sz w:val="15"/>
              </w:rPr>
              <w:t>Risk Intelligence AINE</w:t>
            </w:r>
          </w:p>
        </w:tc>
        <w:tc>
          <w:tcPr>
            <w:tcW w:type="dxa" w:w="1008"/>
          </w:tcPr>
          <w:p>
            <w:r/>
            <w:r>
              <w:rPr>
                <w:rFonts w:ascii="Arial" w:hAnsi="Arial"/>
                <w:sz w:val="15"/>
              </w:rPr>
              <w:t>Data integration</w:t>
            </w:r>
          </w:p>
        </w:tc>
        <w:tc>
          <w:tcPr>
            <w:tcW w:type="dxa" w:w="1872"/>
          </w:tcPr>
          <w:p>
            <w:r/>
            <w:r>
              <w:rPr>
                <w:rFonts w:ascii="Arial" w:hAnsi="Arial"/>
                <w:sz w:val="15"/>
              </w:rPr>
              <w:t>Better risk selection reduces loss ratio 3-8 points.</w:t>
            </w:r>
          </w:p>
        </w:tc>
        <w:tc>
          <w:tcPr>
            <w:tcW w:type="dxa" w:w="1440"/>
          </w:tcPr>
          <w:p>
            <w:r/>
            <w:r>
              <w:rPr>
                <w:rFonts w:ascii="Arial" w:hAnsi="Arial"/>
                <w:sz w:val="15"/>
              </w:rPr>
              <w:t>Claims pattern data, risk model calibration</w:t>
            </w:r>
          </w:p>
        </w:tc>
      </w:tr>
      <w:tr>
        <w:tc>
          <w:tcPr>
            <w:tcW w:type="dxa" w:w="1008"/>
            <w:shd w:fill="EDEDF7" w:val="clear"/>
          </w:tcPr>
          <w:p>
            <w:r/>
            <w:r>
              <w:rPr>
                <w:rFonts w:ascii="Arial" w:hAnsi="Arial"/>
                <w:sz w:val="15"/>
              </w:rPr>
              <w:t>Industry Associations</w:t>
            </w:r>
          </w:p>
        </w:tc>
        <w:tc>
          <w:tcPr>
            <w:tcW w:type="dxa" w:w="720"/>
            <w:shd w:fill="EDEDF7" w:val="clear"/>
          </w:tcPr>
          <w:p>
            <w:r/>
            <w:r>
              <w:rPr>
                <w:rFonts w:ascii="Arial" w:hAnsi="Arial"/>
                <w:sz w:val="15"/>
              </w:rPr>
              <w:t>100K+ globally</w:t>
            </w:r>
          </w:p>
        </w:tc>
        <w:tc>
          <w:tcPr>
            <w:tcW w:type="dxa" w:w="1152"/>
            <w:shd w:fill="EDEDF7" w:val="clear"/>
          </w:tcPr>
          <w:p>
            <w:r/>
            <w:r>
              <w:rPr>
                <w:rFonts w:ascii="Arial" w:hAnsi="Arial"/>
                <w:sz w:val="15"/>
              </w:rPr>
              <w:t>Member value erosion, relevance decay</w:t>
            </w:r>
          </w:p>
        </w:tc>
        <w:tc>
          <w:tcPr>
            <w:tcW w:type="dxa" w:w="1152"/>
            <w:shd w:fill="EDEDF7" w:val="clear"/>
          </w:tcPr>
          <w:p>
            <w:r/>
            <w:r>
              <w:rPr>
                <w:rFonts w:ascii="Arial" w:hAnsi="Arial"/>
                <w:sz w:val="15"/>
              </w:rPr>
              <w:t>White-Label AINE Pack</w:t>
            </w:r>
          </w:p>
        </w:tc>
        <w:tc>
          <w:tcPr>
            <w:tcW w:type="dxa" w:w="1008"/>
            <w:shd w:fill="EDEDF7" w:val="clear"/>
          </w:tcPr>
          <w:p>
            <w:r/>
            <w:r>
              <w:rPr>
                <w:rFonts w:ascii="Arial" w:hAnsi="Arial"/>
                <w:sz w:val="15"/>
              </w:rPr>
              <w:t>Co-branding agreement</w:t>
            </w:r>
          </w:p>
        </w:tc>
        <w:tc>
          <w:tcPr>
            <w:tcW w:type="dxa" w:w="1872"/>
            <w:shd w:fill="EDEDF7" w:val="clear"/>
          </w:tcPr>
          <w:p>
            <w:r/>
            <w:r>
              <w:rPr>
                <w:rFonts w:ascii="Arial" w:hAnsi="Arial"/>
                <w:sz w:val="15"/>
              </w:rPr>
              <w:t>Revenue share on member adoption. Zero upfront cost.</w:t>
            </w:r>
          </w:p>
        </w:tc>
        <w:tc>
          <w:tcPr>
            <w:tcW w:type="dxa" w:w="1440"/>
            <w:shd w:fill="EDEDF7" w:val="clear"/>
          </w:tcPr>
          <w:p>
            <w:r/>
            <w:r>
              <w:rPr>
                <w:rFonts w:ascii="Arial" w:hAnsi="Arial"/>
                <w:sz w:val="15"/>
              </w:rPr>
              <w:t>Association becomes distribution channel. Members lock in through association.</w:t>
            </w:r>
          </w:p>
        </w:tc>
      </w:tr>
    </w:tbl>
    <w:p>
      <w:r>
        <w:br w:type="page"/>
      </w:r>
    </w:p>
    <w:p>
      <w:pPr>
        <w:pStyle w:val="Heading1"/>
      </w:pPr>
      <w:r>
        <w:t>6. Industry Code x Business Function Platform Density</w:t>
      </w:r>
    </w:p>
    <w:p>
      <w:pPr>
        <w:spacing w:after="60"/>
      </w:pPr>
      <w:r>
        <w:rPr>
          <w:rFonts w:ascii="Arial" w:hAnsi="Arial"/>
          <w:b w:val="0"/>
          <w:sz w:val="20"/>
        </w:rPr>
        <w:t>Different industry sectors have different platform density across business functions. Manufacturing has dense Operations platforms. Finance has dense Compliance platforms. Healthcare has dense Governance platforms. This matrix shows where platform surface area is richest.</w:t>
      </w:r>
    </w:p>
    <w:tbl>
      <w:tblPr>
        <w:tblStyle w:val="TableGrid"/>
        <w:tblW w:type="auto" w:w="0"/>
        <w:jc w:val="center"/>
        <w:tblLook w:firstColumn="1" w:firstRow="1" w:lastColumn="0" w:lastRow="0" w:noHBand="0" w:noVBand="1" w:val="04A0"/>
      </w:tblPr>
      <w:tblGrid>
        <w:gridCol w:w="689"/>
        <w:gridCol w:w="689"/>
        <w:gridCol w:w="689"/>
        <w:gridCol w:w="689"/>
        <w:gridCol w:w="689"/>
        <w:gridCol w:w="689"/>
        <w:gridCol w:w="689"/>
        <w:gridCol w:w="689"/>
        <w:gridCol w:w="689"/>
        <w:gridCol w:w="689"/>
        <w:gridCol w:w="689"/>
        <w:gridCol w:w="689"/>
        <w:gridCol w:w="689"/>
        <w:gridCol w:w="689"/>
      </w:tblGrid>
      <w:tr>
        <w:tc>
          <w:tcPr>
            <w:tcW w:type="dxa" w:w="1440"/>
            <w:shd w:fill="0D0D2B" w:val="clear"/>
          </w:tcPr>
          <w:p>
            <w:pPr>
              <w:jc w:val="center"/>
            </w:pPr>
            <w:r/>
            <w:r>
              <w:rPr>
                <w:rFonts w:ascii="Arial" w:hAnsi="Arial"/>
                <w:b/>
                <w:color w:val="FFFFFF"/>
                <w:sz w:val="16"/>
              </w:rPr>
              <w:t>NAICS Sector</w:t>
            </w:r>
          </w:p>
        </w:tc>
        <w:tc>
          <w:tcPr>
            <w:tcW w:type="dxa" w:w="504"/>
            <w:shd w:fill="0D0D2B" w:val="clear"/>
          </w:tcPr>
          <w:p>
            <w:pPr>
              <w:jc w:val="center"/>
            </w:pPr>
            <w:r/>
            <w:r>
              <w:rPr>
                <w:rFonts w:ascii="Arial" w:hAnsi="Arial"/>
                <w:b/>
                <w:color w:val="FFFFFF"/>
                <w:sz w:val="16"/>
              </w:rPr>
              <w:t>Finance</w:t>
            </w:r>
          </w:p>
        </w:tc>
        <w:tc>
          <w:tcPr>
            <w:tcW w:type="dxa" w:w="432"/>
            <w:shd w:fill="0D0D2B" w:val="clear"/>
          </w:tcPr>
          <w:p>
            <w:pPr>
              <w:jc w:val="center"/>
            </w:pPr>
            <w:r/>
            <w:r>
              <w:rPr>
                <w:rFonts w:ascii="Arial" w:hAnsi="Arial"/>
                <w:b/>
                <w:color w:val="FFFFFF"/>
                <w:sz w:val="16"/>
              </w:rPr>
              <w:t>Ops</w:t>
            </w:r>
          </w:p>
        </w:tc>
        <w:tc>
          <w:tcPr>
            <w:tcW w:type="dxa" w:w="504"/>
            <w:shd w:fill="0D0D2B" w:val="clear"/>
          </w:tcPr>
          <w:p>
            <w:pPr>
              <w:jc w:val="center"/>
            </w:pPr>
            <w:r/>
            <w:r>
              <w:rPr>
                <w:rFonts w:ascii="Arial" w:hAnsi="Arial"/>
                <w:b/>
                <w:color w:val="FFFFFF"/>
                <w:sz w:val="16"/>
              </w:rPr>
              <w:t>Sales</w:t>
            </w:r>
          </w:p>
        </w:tc>
        <w:tc>
          <w:tcPr>
            <w:tcW w:type="dxa" w:w="504"/>
            <w:shd w:fill="0D0D2B" w:val="clear"/>
          </w:tcPr>
          <w:p>
            <w:pPr>
              <w:jc w:val="center"/>
            </w:pPr>
            <w:r/>
            <w:r>
              <w:rPr>
                <w:rFonts w:ascii="Arial" w:hAnsi="Arial"/>
                <w:b/>
                <w:color w:val="FFFFFF"/>
                <w:sz w:val="16"/>
              </w:rPr>
              <w:t>Marketing</w:t>
            </w:r>
          </w:p>
        </w:tc>
        <w:tc>
          <w:tcPr>
            <w:tcW w:type="dxa" w:w="432"/>
            <w:shd w:fill="0D0D2B" w:val="clear"/>
          </w:tcPr>
          <w:p>
            <w:pPr>
              <w:jc w:val="center"/>
            </w:pPr>
            <w:r/>
            <w:r>
              <w:rPr>
                <w:rFonts w:ascii="Arial" w:hAnsi="Arial"/>
                <w:b/>
                <w:color w:val="FFFFFF"/>
                <w:sz w:val="16"/>
              </w:rPr>
              <w:t>HR</w:t>
            </w:r>
          </w:p>
        </w:tc>
        <w:tc>
          <w:tcPr>
            <w:tcW w:type="dxa" w:w="432"/>
            <w:shd w:fill="0D0D2B" w:val="clear"/>
          </w:tcPr>
          <w:p>
            <w:pPr>
              <w:jc w:val="center"/>
            </w:pPr>
            <w:r/>
            <w:r>
              <w:rPr>
                <w:rFonts w:ascii="Arial" w:hAnsi="Arial"/>
                <w:b/>
                <w:color w:val="FFFFFF"/>
                <w:sz w:val="16"/>
              </w:rPr>
              <w:t>IT</w:t>
            </w:r>
          </w:p>
        </w:tc>
        <w:tc>
          <w:tcPr>
            <w:tcW w:type="dxa" w:w="504"/>
            <w:shd w:fill="0D0D2B" w:val="clear"/>
          </w:tcPr>
          <w:p>
            <w:pPr>
              <w:jc w:val="center"/>
            </w:pPr>
            <w:r/>
            <w:r>
              <w:rPr>
                <w:rFonts w:ascii="Arial" w:hAnsi="Arial"/>
                <w:b/>
                <w:color w:val="FFFFFF"/>
                <w:sz w:val="16"/>
              </w:rPr>
              <w:t>Legal</w:t>
            </w:r>
          </w:p>
        </w:tc>
        <w:tc>
          <w:tcPr>
            <w:tcW w:type="dxa" w:w="720"/>
            <w:shd w:fill="0D0D2B" w:val="clear"/>
          </w:tcPr>
          <w:p>
            <w:pPr>
              <w:jc w:val="center"/>
            </w:pPr>
            <w:r/>
            <w:r>
              <w:rPr>
                <w:rFonts w:ascii="Arial" w:hAnsi="Arial"/>
                <w:b/>
                <w:color w:val="FFFFFF"/>
                <w:sz w:val="16"/>
              </w:rPr>
              <w:t>Supply Chain</w:t>
            </w:r>
          </w:p>
        </w:tc>
        <w:tc>
          <w:tcPr>
            <w:tcW w:type="dxa" w:w="576"/>
            <w:shd w:fill="0D0D2B" w:val="clear"/>
          </w:tcPr>
          <w:p>
            <w:pPr>
              <w:jc w:val="center"/>
            </w:pPr>
            <w:r/>
            <w:r>
              <w:rPr>
                <w:rFonts w:ascii="Arial" w:hAnsi="Arial"/>
                <w:b/>
                <w:color w:val="FFFFFF"/>
                <w:sz w:val="16"/>
              </w:rPr>
              <w:t>CustSvc</w:t>
            </w:r>
          </w:p>
        </w:tc>
        <w:tc>
          <w:tcPr>
            <w:tcW w:type="dxa" w:w="432"/>
            <w:shd w:fill="0D0D2B" w:val="clear"/>
          </w:tcPr>
          <w:p>
            <w:pPr>
              <w:jc w:val="center"/>
            </w:pPr>
            <w:r/>
            <w:r>
              <w:rPr>
                <w:rFonts w:ascii="Arial" w:hAnsi="Arial"/>
                <w:b/>
                <w:color w:val="FFFFFF"/>
                <w:sz w:val="16"/>
              </w:rPr>
              <w:t>R&amp;D</w:t>
            </w:r>
          </w:p>
        </w:tc>
        <w:tc>
          <w:tcPr>
            <w:tcW w:type="dxa" w:w="504"/>
            <w:shd w:fill="0D0D2B" w:val="clear"/>
          </w:tcPr>
          <w:p>
            <w:pPr>
              <w:jc w:val="center"/>
            </w:pPr>
            <w:r/>
            <w:r>
              <w:rPr>
                <w:rFonts w:ascii="Arial" w:hAnsi="Arial"/>
                <w:b/>
                <w:color w:val="FFFFFF"/>
                <w:sz w:val="16"/>
              </w:rPr>
              <w:t>Strategy</w:t>
            </w:r>
          </w:p>
        </w:tc>
        <w:tc>
          <w:tcPr>
            <w:tcW w:type="dxa" w:w="720"/>
            <w:shd w:fill="0D0D2B" w:val="clear"/>
          </w:tcPr>
          <w:p>
            <w:pPr>
              <w:jc w:val="center"/>
            </w:pPr>
            <w:r/>
            <w:r>
              <w:rPr>
                <w:rFonts w:ascii="Arial" w:hAnsi="Arial"/>
                <w:b/>
                <w:color w:val="FFFFFF"/>
                <w:sz w:val="16"/>
              </w:rPr>
              <w:t>Governance</w:t>
            </w:r>
          </w:p>
        </w:tc>
        <w:tc>
          <w:tcPr>
            <w:tcW w:type="dxa" w:w="720"/>
            <w:shd w:fill="0D0D2B" w:val="clear"/>
          </w:tcPr>
          <w:p>
            <w:pPr>
              <w:jc w:val="center"/>
            </w:pPr>
            <w:r/>
            <w:r>
              <w:rPr>
                <w:rFonts w:ascii="Arial" w:hAnsi="Arial"/>
                <w:b/>
                <w:color w:val="FFFFFF"/>
                <w:sz w:val="16"/>
              </w:rPr>
              <w:t>TOTAL Density</w:t>
            </w:r>
          </w:p>
        </w:tc>
      </w:tr>
      <w:tr>
        <w:tc>
          <w:tcPr>
            <w:tcW w:type="dxa" w:w="1440"/>
            <w:shd w:fill="EDEDF7" w:val="clear"/>
          </w:tcPr>
          <w:p>
            <w:r/>
            <w:r>
              <w:rPr>
                <w:rFonts w:ascii="Arial" w:hAnsi="Arial"/>
                <w:sz w:val="15"/>
              </w:rPr>
              <w:t>11 Agriculture</w:t>
            </w:r>
          </w:p>
        </w:tc>
        <w:tc>
          <w:tcPr>
            <w:tcW w:type="dxa" w:w="504"/>
            <w:shd w:fill="EDEDF7" w:val="clear"/>
          </w:tcPr>
          <w:p>
            <w:r/>
            <w:r>
              <w:rPr>
                <w:rFonts w:ascii="Arial" w:hAnsi="Arial"/>
                <w:sz w:val="15"/>
              </w:rPr>
              <w:t>M</w:t>
            </w:r>
          </w:p>
        </w:tc>
        <w:tc>
          <w:tcPr>
            <w:tcW w:type="dxa" w:w="432"/>
            <w:shd w:fill="EDEDF7" w:val="clear"/>
          </w:tcPr>
          <w:p>
            <w:r/>
            <w:r>
              <w:rPr>
                <w:rFonts w:ascii="Arial" w:hAnsi="Arial"/>
                <w:sz w:val="15"/>
              </w:rPr>
              <w:t>H</w:t>
            </w:r>
          </w:p>
        </w:tc>
        <w:tc>
          <w:tcPr>
            <w:tcW w:type="dxa" w:w="504"/>
            <w:shd w:fill="EDEDF7" w:val="clear"/>
          </w:tcPr>
          <w:p>
            <w:r/>
            <w:r>
              <w:rPr>
                <w:rFonts w:ascii="Arial" w:hAnsi="Arial"/>
                <w:sz w:val="15"/>
              </w:rPr>
              <w:t>M</w:t>
            </w:r>
          </w:p>
        </w:tc>
        <w:tc>
          <w:tcPr>
            <w:tcW w:type="dxa" w:w="504"/>
            <w:shd w:fill="EDEDF7" w:val="clear"/>
          </w:tcPr>
          <w:p>
            <w:r/>
            <w:r>
              <w:rPr>
                <w:rFonts w:ascii="Arial" w:hAnsi="Arial"/>
                <w:sz w:val="15"/>
              </w:rPr>
              <w:t>L</w:t>
            </w:r>
          </w:p>
        </w:tc>
        <w:tc>
          <w:tcPr>
            <w:tcW w:type="dxa" w:w="432"/>
            <w:shd w:fill="EDEDF7" w:val="clear"/>
          </w:tcPr>
          <w:p>
            <w:r/>
            <w:r>
              <w:rPr>
                <w:rFonts w:ascii="Arial" w:hAnsi="Arial"/>
                <w:sz w:val="15"/>
              </w:rPr>
              <w:t>M</w:t>
            </w:r>
          </w:p>
        </w:tc>
        <w:tc>
          <w:tcPr>
            <w:tcW w:type="dxa" w:w="432"/>
            <w:shd w:fill="EDEDF7" w:val="clear"/>
          </w:tcPr>
          <w:p>
            <w:r/>
            <w:r>
              <w:rPr>
                <w:rFonts w:ascii="Arial" w:hAnsi="Arial"/>
                <w:sz w:val="15"/>
              </w:rPr>
              <w:t>L</w:t>
            </w:r>
          </w:p>
        </w:tc>
        <w:tc>
          <w:tcPr>
            <w:tcW w:type="dxa" w:w="504"/>
            <w:shd w:fill="EDEDF7" w:val="clear"/>
          </w:tcPr>
          <w:p>
            <w:r/>
            <w:r>
              <w:rPr>
                <w:rFonts w:ascii="Arial" w:hAnsi="Arial"/>
                <w:sz w:val="15"/>
              </w:rPr>
              <w:t>M</w:t>
            </w:r>
          </w:p>
        </w:tc>
        <w:tc>
          <w:tcPr>
            <w:tcW w:type="dxa" w:w="720"/>
            <w:shd w:fill="EDEDF7" w:val="clear"/>
          </w:tcPr>
          <w:p>
            <w:r/>
            <w:r>
              <w:rPr>
                <w:rFonts w:ascii="Arial" w:hAnsi="Arial"/>
                <w:sz w:val="15"/>
              </w:rPr>
              <w:t>H</w:t>
            </w:r>
          </w:p>
        </w:tc>
        <w:tc>
          <w:tcPr>
            <w:tcW w:type="dxa" w:w="576"/>
            <w:shd w:fill="EDEDF7" w:val="clear"/>
          </w:tcPr>
          <w:p>
            <w:r/>
            <w:r>
              <w:rPr>
                <w:rFonts w:ascii="Arial" w:hAnsi="Arial"/>
                <w:sz w:val="15"/>
              </w:rPr>
              <w:t>L</w:t>
            </w:r>
          </w:p>
        </w:tc>
        <w:tc>
          <w:tcPr>
            <w:tcW w:type="dxa" w:w="432"/>
            <w:shd w:fill="EDEDF7" w:val="clear"/>
          </w:tcPr>
          <w:p>
            <w:r/>
            <w:r>
              <w:rPr>
                <w:rFonts w:ascii="Arial" w:hAnsi="Arial"/>
                <w:sz w:val="15"/>
              </w:rPr>
              <w:t>M</w:t>
            </w:r>
          </w:p>
        </w:tc>
        <w:tc>
          <w:tcPr>
            <w:tcW w:type="dxa" w:w="504"/>
            <w:shd w:fill="EDEDF7" w:val="clear"/>
          </w:tcPr>
          <w:p>
            <w:r/>
            <w:r>
              <w:rPr>
                <w:rFonts w:ascii="Arial" w:hAnsi="Arial"/>
                <w:sz w:val="15"/>
              </w:rPr>
              <w:t>L</w:t>
            </w:r>
          </w:p>
        </w:tc>
        <w:tc>
          <w:tcPr>
            <w:tcW w:type="dxa" w:w="720"/>
            <w:shd w:fill="EDEDF7" w:val="clear"/>
          </w:tcPr>
          <w:p>
            <w:r/>
            <w:r>
              <w:rPr>
                <w:rFonts w:ascii="Arial" w:hAnsi="Arial"/>
                <w:sz w:val="15"/>
              </w:rPr>
              <w:t>M</w:t>
            </w:r>
          </w:p>
        </w:tc>
        <w:tc>
          <w:tcPr>
            <w:tcW w:type="dxa" w:w="720"/>
            <w:shd w:fill="EDEDF7" w:val="clear"/>
          </w:tcPr>
          <w:p>
            <w:r/>
            <w:r>
              <w:rPr>
                <w:rFonts w:ascii="Arial" w:hAnsi="Arial"/>
                <w:sz w:val="15"/>
              </w:rPr>
              <w:t>MEDIUM</w:t>
            </w:r>
          </w:p>
        </w:tc>
      </w:tr>
      <w:tr>
        <w:tc>
          <w:tcPr>
            <w:tcW w:type="dxa" w:w="1440"/>
          </w:tcPr>
          <w:p>
            <w:r/>
            <w:r>
              <w:rPr>
                <w:rFonts w:ascii="Arial" w:hAnsi="Arial"/>
                <w:sz w:val="15"/>
              </w:rPr>
              <w:t>21 Mining</w:t>
            </w:r>
          </w:p>
        </w:tc>
        <w:tc>
          <w:tcPr>
            <w:tcW w:type="dxa" w:w="504"/>
          </w:tcPr>
          <w:p>
            <w:r/>
            <w:r>
              <w:rPr>
                <w:rFonts w:ascii="Arial" w:hAnsi="Arial"/>
                <w:sz w:val="15"/>
              </w:rPr>
              <w:t>H</w:t>
            </w:r>
          </w:p>
        </w:tc>
        <w:tc>
          <w:tcPr>
            <w:tcW w:type="dxa" w:w="432"/>
          </w:tcPr>
          <w:p>
            <w:r/>
            <w:r>
              <w:rPr>
                <w:rFonts w:ascii="Arial" w:hAnsi="Arial"/>
                <w:sz w:val="15"/>
              </w:rPr>
              <w:t>H</w:t>
            </w:r>
          </w:p>
        </w:tc>
        <w:tc>
          <w:tcPr>
            <w:tcW w:type="dxa" w:w="504"/>
          </w:tcPr>
          <w:p>
            <w:r/>
            <w:r>
              <w:rPr>
                <w:rFonts w:ascii="Arial" w:hAnsi="Arial"/>
                <w:sz w:val="15"/>
              </w:rPr>
              <w:t>M</w:t>
            </w:r>
          </w:p>
        </w:tc>
        <w:tc>
          <w:tcPr>
            <w:tcW w:type="dxa" w:w="504"/>
          </w:tcPr>
          <w:p>
            <w:r/>
            <w:r>
              <w:rPr>
                <w:rFonts w:ascii="Arial" w:hAnsi="Arial"/>
                <w:sz w:val="15"/>
              </w:rPr>
              <w:t>L</w:t>
            </w:r>
          </w:p>
        </w:tc>
        <w:tc>
          <w:tcPr>
            <w:tcW w:type="dxa" w:w="432"/>
          </w:tcPr>
          <w:p>
            <w:r/>
            <w:r>
              <w:rPr>
                <w:rFonts w:ascii="Arial" w:hAnsi="Arial"/>
                <w:sz w:val="15"/>
              </w:rPr>
              <w:t>H</w:t>
            </w:r>
          </w:p>
        </w:tc>
        <w:tc>
          <w:tcPr>
            <w:tcW w:type="dxa" w:w="432"/>
          </w:tcPr>
          <w:p>
            <w:r/>
            <w:r>
              <w:rPr>
                <w:rFonts w:ascii="Arial" w:hAnsi="Arial"/>
                <w:sz w:val="15"/>
              </w:rPr>
              <w:t>M</w:t>
            </w:r>
          </w:p>
        </w:tc>
        <w:tc>
          <w:tcPr>
            <w:tcW w:type="dxa" w:w="504"/>
          </w:tcPr>
          <w:p>
            <w:r/>
            <w:r>
              <w:rPr>
                <w:rFonts w:ascii="Arial" w:hAnsi="Arial"/>
                <w:sz w:val="15"/>
              </w:rPr>
              <w:t>H</w:t>
            </w:r>
          </w:p>
        </w:tc>
        <w:tc>
          <w:tcPr>
            <w:tcW w:type="dxa" w:w="720"/>
          </w:tcPr>
          <w:p>
            <w:r/>
            <w:r>
              <w:rPr>
                <w:rFonts w:ascii="Arial" w:hAnsi="Arial"/>
                <w:sz w:val="15"/>
              </w:rPr>
              <w:t>H</w:t>
            </w:r>
          </w:p>
        </w:tc>
        <w:tc>
          <w:tcPr>
            <w:tcW w:type="dxa" w:w="576"/>
          </w:tcPr>
          <w:p>
            <w:r/>
            <w:r>
              <w:rPr>
                <w:rFonts w:ascii="Arial" w:hAnsi="Arial"/>
                <w:sz w:val="15"/>
              </w:rPr>
              <w:t>L</w:t>
            </w:r>
          </w:p>
        </w:tc>
        <w:tc>
          <w:tcPr>
            <w:tcW w:type="dxa" w:w="432"/>
          </w:tcPr>
          <w:p>
            <w:r/>
            <w:r>
              <w:rPr>
                <w:rFonts w:ascii="Arial" w:hAnsi="Arial"/>
                <w:sz w:val="15"/>
              </w:rPr>
              <w:t>H</w:t>
            </w:r>
          </w:p>
        </w:tc>
        <w:tc>
          <w:tcPr>
            <w:tcW w:type="dxa" w:w="504"/>
          </w:tcPr>
          <w:p>
            <w:r/>
            <w:r>
              <w:rPr>
                <w:rFonts w:ascii="Arial" w:hAnsi="Arial"/>
                <w:sz w:val="15"/>
              </w:rPr>
              <w:t>M</w:t>
            </w:r>
          </w:p>
        </w:tc>
        <w:tc>
          <w:tcPr>
            <w:tcW w:type="dxa" w:w="720"/>
          </w:tcPr>
          <w:p>
            <w:r/>
            <w:r>
              <w:rPr>
                <w:rFonts w:ascii="Arial" w:hAnsi="Arial"/>
                <w:sz w:val="15"/>
              </w:rPr>
              <w:t>H</w:t>
            </w:r>
          </w:p>
        </w:tc>
        <w:tc>
          <w:tcPr>
            <w:tcW w:type="dxa" w:w="720"/>
          </w:tcPr>
          <w:p>
            <w:r/>
            <w:r>
              <w:rPr>
                <w:rFonts w:ascii="Arial" w:hAnsi="Arial"/>
                <w:sz w:val="15"/>
              </w:rPr>
              <w:t>HIGH</w:t>
            </w:r>
          </w:p>
        </w:tc>
      </w:tr>
      <w:tr>
        <w:tc>
          <w:tcPr>
            <w:tcW w:type="dxa" w:w="1440"/>
            <w:shd w:fill="EDEDF7" w:val="clear"/>
          </w:tcPr>
          <w:p>
            <w:r/>
            <w:r>
              <w:rPr>
                <w:rFonts w:ascii="Arial" w:hAnsi="Arial"/>
                <w:sz w:val="15"/>
              </w:rPr>
              <w:t>22 Utilities</w:t>
            </w:r>
          </w:p>
        </w:tc>
        <w:tc>
          <w:tcPr>
            <w:tcW w:type="dxa" w:w="504"/>
            <w:shd w:fill="EDEDF7" w:val="clear"/>
          </w:tcPr>
          <w:p>
            <w:r/>
            <w:r>
              <w:rPr>
                <w:rFonts w:ascii="Arial" w:hAnsi="Arial"/>
                <w:sz w:val="15"/>
              </w:rPr>
              <w:t>H</w:t>
            </w:r>
          </w:p>
        </w:tc>
        <w:tc>
          <w:tcPr>
            <w:tcW w:type="dxa" w:w="432"/>
            <w:shd w:fill="EDEDF7" w:val="clear"/>
          </w:tcPr>
          <w:p>
            <w:r/>
            <w:r>
              <w:rPr>
                <w:rFonts w:ascii="Arial" w:hAnsi="Arial"/>
                <w:sz w:val="15"/>
              </w:rPr>
              <w:t>H</w:t>
            </w:r>
          </w:p>
        </w:tc>
        <w:tc>
          <w:tcPr>
            <w:tcW w:type="dxa" w:w="504"/>
            <w:shd w:fill="EDEDF7" w:val="clear"/>
          </w:tcPr>
          <w:p>
            <w:r/>
            <w:r>
              <w:rPr>
                <w:rFonts w:ascii="Arial" w:hAnsi="Arial"/>
                <w:sz w:val="15"/>
              </w:rPr>
              <w:t>M</w:t>
            </w:r>
          </w:p>
        </w:tc>
        <w:tc>
          <w:tcPr>
            <w:tcW w:type="dxa" w:w="504"/>
            <w:shd w:fill="EDEDF7" w:val="clear"/>
          </w:tcPr>
          <w:p>
            <w:r/>
            <w:r>
              <w:rPr>
                <w:rFonts w:ascii="Arial" w:hAnsi="Arial"/>
                <w:sz w:val="15"/>
              </w:rPr>
              <w:t>L</w:t>
            </w:r>
          </w:p>
        </w:tc>
        <w:tc>
          <w:tcPr>
            <w:tcW w:type="dxa" w:w="432"/>
            <w:shd w:fill="EDEDF7" w:val="clear"/>
          </w:tcPr>
          <w:p>
            <w:r/>
            <w:r>
              <w:rPr>
                <w:rFonts w:ascii="Arial" w:hAnsi="Arial"/>
                <w:sz w:val="15"/>
              </w:rPr>
              <w:t>M</w:t>
            </w:r>
          </w:p>
        </w:tc>
        <w:tc>
          <w:tcPr>
            <w:tcW w:type="dxa" w:w="432"/>
            <w:shd w:fill="EDEDF7" w:val="clear"/>
          </w:tcPr>
          <w:p>
            <w:r/>
            <w:r>
              <w:rPr>
                <w:rFonts w:ascii="Arial" w:hAnsi="Arial"/>
                <w:sz w:val="15"/>
              </w:rPr>
              <w:t>H</w:t>
            </w:r>
          </w:p>
        </w:tc>
        <w:tc>
          <w:tcPr>
            <w:tcW w:type="dxa" w:w="504"/>
            <w:shd w:fill="EDEDF7" w:val="clear"/>
          </w:tcPr>
          <w:p>
            <w:r/>
            <w:r>
              <w:rPr>
                <w:rFonts w:ascii="Arial" w:hAnsi="Arial"/>
                <w:sz w:val="15"/>
              </w:rPr>
              <w:t>H</w:t>
            </w:r>
          </w:p>
        </w:tc>
        <w:tc>
          <w:tcPr>
            <w:tcW w:type="dxa" w:w="720"/>
            <w:shd w:fill="EDEDF7" w:val="clear"/>
          </w:tcPr>
          <w:p>
            <w:r/>
            <w:r>
              <w:rPr>
                <w:rFonts w:ascii="Arial" w:hAnsi="Arial"/>
                <w:sz w:val="15"/>
              </w:rPr>
              <w:t>M</w:t>
            </w:r>
          </w:p>
        </w:tc>
        <w:tc>
          <w:tcPr>
            <w:tcW w:type="dxa" w:w="576"/>
            <w:shd w:fill="EDEDF7" w:val="clear"/>
          </w:tcPr>
          <w:p>
            <w:r/>
            <w:r>
              <w:rPr>
                <w:rFonts w:ascii="Arial" w:hAnsi="Arial"/>
                <w:sz w:val="15"/>
              </w:rPr>
              <w:t>H</w:t>
            </w:r>
          </w:p>
        </w:tc>
        <w:tc>
          <w:tcPr>
            <w:tcW w:type="dxa" w:w="432"/>
            <w:shd w:fill="EDEDF7" w:val="clear"/>
          </w:tcPr>
          <w:p>
            <w:r/>
            <w:r>
              <w:rPr>
                <w:rFonts w:ascii="Arial" w:hAnsi="Arial"/>
                <w:sz w:val="15"/>
              </w:rPr>
              <w:t>H</w:t>
            </w:r>
          </w:p>
        </w:tc>
        <w:tc>
          <w:tcPr>
            <w:tcW w:type="dxa" w:w="504"/>
            <w:shd w:fill="EDEDF7" w:val="clear"/>
          </w:tcPr>
          <w:p>
            <w:r/>
            <w:r>
              <w:rPr>
                <w:rFonts w:ascii="Arial" w:hAnsi="Arial"/>
                <w:sz w:val="15"/>
              </w:rPr>
              <w:t>H</w:t>
            </w:r>
          </w:p>
        </w:tc>
        <w:tc>
          <w:tcPr>
            <w:tcW w:type="dxa" w:w="720"/>
            <w:shd w:fill="EDEDF7" w:val="clear"/>
          </w:tcPr>
          <w:p>
            <w:r/>
            <w:r>
              <w:rPr>
                <w:rFonts w:ascii="Arial" w:hAnsi="Arial"/>
                <w:sz w:val="15"/>
              </w:rPr>
              <w:t>H</w:t>
            </w:r>
          </w:p>
        </w:tc>
        <w:tc>
          <w:tcPr>
            <w:tcW w:type="dxa" w:w="720"/>
            <w:shd w:fill="EDEDF7" w:val="clear"/>
          </w:tcPr>
          <w:p>
            <w:r/>
            <w:r>
              <w:rPr>
                <w:rFonts w:ascii="Arial" w:hAnsi="Arial"/>
                <w:sz w:val="15"/>
              </w:rPr>
              <w:t>CRITICAL</w:t>
            </w:r>
          </w:p>
        </w:tc>
      </w:tr>
      <w:tr>
        <w:tc>
          <w:tcPr>
            <w:tcW w:type="dxa" w:w="1440"/>
          </w:tcPr>
          <w:p>
            <w:r/>
            <w:r>
              <w:rPr>
                <w:rFonts w:ascii="Arial" w:hAnsi="Arial"/>
                <w:sz w:val="15"/>
              </w:rPr>
              <w:t>23 Construction</w:t>
            </w:r>
          </w:p>
        </w:tc>
        <w:tc>
          <w:tcPr>
            <w:tcW w:type="dxa" w:w="504"/>
          </w:tcPr>
          <w:p>
            <w:r/>
            <w:r>
              <w:rPr>
                <w:rFonts w:ascii="Arial" w:hAnsi="Arial"/>
                <w:sz w:val="15"/>
              </w:rPr>
              <w:t>H</w:t>
            </w:r>
          </w:p>
        </w:tc>
        <w:tc>
          <w:tcPr>
            <w:tcW w:type="dxa" w:w="432"/>
          </w:tcPr>
          <w:p>
            <w:r/>
            <w:r>
              <w:rPr>
                <w:rFonts w:ascii="Arial" w:hAnsi="Arial"/>
                <w:sz w:val="15"/>
              </w:rPr>
              <w:t>H</w:t>
            </w:r>
          </w:p>
        </w:tc>
        <w:tc>
          <w:tcPr>
            <w:tcW w:type="dxa" w:w="504"/>
          </w:tcPr>
          <w:p>
            <w:r/>
            <w:r>
              <w:rPr>
                <w:rFonts w:ascii="Arial" w:hAnsi="Arial"/>
                <w:sz w:val="15"/>
              </w:rPr>
              <w:t>H</w:t>
            </w:r>
          </w:p>
        </w:tc>
        <w:tc>
          <w:tcPr>
            <w:tcW w:type="dxa" w:w="504"/>
          </w:tcPr>
          <w:p>
            <w:r/>
            <w:r>
              <w:rPr>
                <w:rFonts w:ascii="Arial" w:hAnsi="Arial"/>
                <w:sz w:val="15"/>
              </w:rPr>
              <w:t>M</w:t>
            </w:r>
          </w:p>
        </w:tc>
        <w:tc>
          <w:tcPr>
            <w:tcW w:type="dxa" w:w="432"/>
          </w:tcPr>
          <w:p>
            <w:r/>
            <w:r>
              <w:rPr>
                <w:rFonts w:ascii="Arial" w:hAnsi="Arial"/>
                <w:sz w:val="15"/>
              </w:rPr>
              <w:t>H</w:t>
            </w:r>
          </w:p>
        </w:tc>
        <w:tc>
          <w:tcPr>
            <w:tcW w:type="dxa" w:w="432"/>
          </w:tcPr>
          <w:p>
            <w:r/>
            <w:r>
              <w:rPr>
                <w:rFonts w:ascii="Arial" w:hAnsi="Arial"/>
                <w:sz w:val="15"/>
              </w:rPr>
              <w:t>M</w:t>
            </w:r>
          </w:p>
        </w:tc>
        <w:tc>
          <w:tcPr>
            <w:tcW w:type="dxa" w:w="504"/>
          </w:tcPr>
          <w:p>
            <w:r/>
            <w:r>
              <w:rPr>
                <w:rFonts w:ascii="Arial" w:hAnsi="Arial"/>
                <w:sz w:val="15"/>
              </w:rPr>
              <w:t>H</w:t>
            </w:r>
          </w:p>
        </w:tc>
        <w:tc>
          <w:tcPr>
            <w:tcW w:type="dxa" w:w="720"/>
          </w:tcPr>
          <w:p>
            <w:r/>
            <w:r>
              <w:rPr>
                <w:rFonts w:ascii="Arial" w:hAnsi="Arial"/>
                <w:sz w:val="15"/>
              </w:rPr>
              <w:t>H</w:t>
            </w:r>
          </w:p>
        </w:tc>
        <w:tc>
          <w:tcPr>
            <w:tcW w:type="dxa" w:w="576"/>
          </w:tcPr>
          <w:p>
            <w:r/>
            <w:r>
              <w:rPr>
                <w:rFonts w:ascii="Arial" w:hAnsi="Arial"/>
                <w:sz w:val="15"/>
              </w:rPr>
              <w:t>M</w:t>
            </w:r>
          </w:p>
        </w:tc>
        <w:tc>
          <w:tcPr>
            <w:tcW w:type="dxa" w:w="432"/>
          </w:tcPr>
          <w:p>
            <w:r/>
            <w:r>
              <w:rPr>
                <w:rFonts w:ascii="Arial" w:hAnsi="Arial"/>
                <w:sz w:val="15"/>
              </w:rPr>
              <w:t>L</w:t>
            </w:r>
          </w:p>
        </w:tc>
        <w:tc>
          <w:tcPr>
            <w:tcW w:type="dxa" w:w="504"/>
          </w:tcPr>
          <w:p>
            <w:r/>
            <w:r>
              <w:rPr>
                <w:rFonts w:ascii="Arial" w:hAnsi="Arial"/>
                <w:sz w:val="15"/>
              </w:rPr>
              <w:t>M</w:t>
            </w:r>
          </w:p>
        </w:tc>
        <w:tc>
          <w:tcPr>
            <w:tcW w:type="dxa" w:w="720"/>
          </w:tcPr>
          <w:p>
            <w:r/>
            <w:r>
              <w:rPr>
                <w:rFonts w:ascii="Arial" w:hAnsi="Arial"/>
                <w:sz w:val="15"/>
              </w:rPr>
              <w:t>H</w:t>
            </w:r>
          </w:p>
        </w:tc>
        <w:tc>
          <w:tcPr>
            <w:tcW w:type="dxa" w:w="720"/>
          </w:tcPr>
          <w:p>
            <w:r/>
            <w:r>
              <w:rPr>
                <w:rFonts w:ascii="Arial" w:hAnsi="Arial"/>
                <w:sz w:val="15"/>
              </w:rPr>
              <w:t>HIGH</w:t>
            </w:r>
          </w:p>
        </w:tc>
      </w:tr>
      <w:tr>
        <w:tc>
          <w:tcPr>
            <w:tcW w:type="dxa" w:w="1440"/>
            <w:shd w:fill="EDEDF7" w:val="clear"/>
          </w:tcPr>
          <w:p>
            <w:r/>
            <w:r>
              <w:rPr>
                <w:rFonts w:ascii="Arial" w:hAnsi="Arial"/>
                <w:sz w:val="15"/>
              </w:rPr>
              <w:t>31-33 Manufacturing</w:t>
            </w:r>
          </w:p>
        </w:tc>
        <w:tc>
          <w:tcPr>
            <w:tcW w:type="dxa" w:w="504"/>
            <w:shd w:fill="EDEDF7" w:val="clear"/>
          </w:tcPr>
          <w:p>
            <w:r/>
            <w:r>
              <w:rPr>
                <w:rFonts w:ascii="Arial" w:hAnsi="Arial"/>
                <w:sz w:val="15"/>
              </w:rPr>
              <w:t>H</w:t>
            </w:r>
          </w:p>
        </w:tc>
        <w:tc>
          <w:tcPr>
            <w:tcW w:type="dxa" w:w="432"/>
            <w:shd w:fill="EDEDF7" w:val="clear"/>
          </w:tcPr>
          <w:p>
            <w:r/>
            <w:r>
              <w:rPr>
                <w:rFonts w:ascii="Arial" w:hAnsi="Arial"/>
                <w:sz w:val="15"/>
              </w:rPr>
              <w:t>C</w:t>
            </w:r>
          </w:p>
        </w:tc>
        <w:tc>
          <w:tcPr>
            <w:tcW w:type="dxa" w:w="504"/>
            <w:shd w:fill="EDEDF7" w:val="clear"/>
          </w:tcPr>
          <w:p>
            <w:r/>
            <w:r>
              <w:rPr>
                <w:rFonts w:ascii="Arial" w:hAnsi="Arial"/>
                <w:sz w:val="15"/>
              </w:rPr>
              <w:t>H</w:t>
            </w:r>
          </w:p>
        </w:tc>
        <w:tc>
          <w:tcPr>
            <w:tcW w:type="dxa" w:w="504"/>
            <w:shd w:fill="EDEDF7" w:val="clear"/>
          </w:tcPr>
          <w:p>
            <w:r/>
            <w:r>
              <w:rPr>
                <w:rFonts w:ascii="Arial" w:hAnsi="Arial"/>
                <w:sz w:val="15"/>
              </w:rPr>
              <w:t>M</w:t>
            </w:r>
          </w:p>
        </w:tc>
        <w:tc>
          <w:tcPr>
            <w:tcW w:type="dxa" w:w="432"/>
            <w:shd w:fill="EDEDF7" w:val="clear"/>
          </w:tcPr>
          <w:p>
            <w:r/>
            <w:r>
              <w:rPr>
                <w:rFonts w:ascii="Arial" w:hAnsi="Arial"/>
                <w:sz w:val="15"/>
              </w:rPr>
              <w:t>H</w:t>
            </w:r>
          </w:p>
        </w:tc>
        <w:tc>
          <w:tcPr>
            <w:tcW w:type="dxa" w:w="432"/>
            <w:shd w:fill="EDEDF7" w:val="clear"/>
          </w:tcPr>
          <w:p>
            <w:r/>
            <w:r>
              <w:rPr>
                <w:rFonts w:ascii="Arial" w:hAnsi="Arial"/>
                <w:sz w:val="15"/>
              </w:rPr>
              <w:t>H</w:t>
            </w:r>
          </w:p>
        </w:tc>
        <w:tc>
          <w:tcPr>
            <w:tcW w:type="dxa" w:w="504"/>
            <w:shd w:fill="EDEDF7" w:val="clear"/>
          </w:tcPr>
          <w:p>
            <w:r/>
            <w:r>
              <w:rPr>
                <w:rFonts w:ascii="Arial" w:hAnsi="Arial"/>
                <w:sz w:val="15"/>
              </w:rPr>
              <w:t>H</w:t>
            </w:r>
          </w:p>
        </w:tc>
        <w:tc>
          <w:tcPr>
            <w:tcW w:type="dxa" w:w="720"/>
            <w:shd w:fill="EDEDF7" w:val="clear"/>
          </w:tcPr>
          <w:p>
            <w:r/>
            <w:r>
              <w:rPr>
                <w:rFonts w:ascii="Arial" w:hAnsi="Arial"/>
                <w:sz w:val="15"/>
              </w:rPr>
              <w:t>C</w:t>
            </w:r>
          </w:p>
        </w:tc>
        <w:tc>
          <w:tcPr>
            <w:tcW w:type="dxa" w:w="576"/>
            <w:shd w:fill="EDEDF7" w:val="clear"/>
          </w:tcPr>
          <w:p>
            <w:r/>
            <w:r>
              <w:rPr>
                <w:rFonts w:ascii="Arial" w:hAnsi="Arial"/>
                <w:sz w:val="15"/>
              </w:rPr>
              <w:t>M</w:t>
            </w:r>
          </w:p>
        </w:tc>
        <w:tc>
          <w:tcPr>
            <w:tcW w:type="dxa" w:w="432"/>
            <w:shd w:fill="EDEDF7" w:val="clear"/>
          </w:tcPr>
          <w:p>
            <w:r/>
            <w:r>
              <w:rPr>
                <w:rFonts w:ascii="Arial" w:hAnsi="Arial"/>
                <w:sz w:val="15"/>
              </w:rPr>
              <w:t>H</w:t>
            </w:r>
          </w:p>
        </w:tc>
        <w:tc>
          <w:tcPr>
            <w:tcW w:type="dxa" w:w="504"/>
            <w:shd w:fill="EDEDF7" w:val="clear"/>
          </w:tcPr>
          <w:p>
            <w:r/>
            <w:r>
              <w:rPr>
                <w:rFonts w:ascii="Arial" w:hAnsi="Arial"/>
                <w:sz w:val="15"/>
              </w:rPr>
              <w:t>H</w:t>
            </w:r>
          </w:p>
        </w:tc>
        <w:tc>
          <w:tcPr>
            <w:tcW w:type="dxa" w:w="720"/>
            <w:shd w:fill="EDEDF7" w:val="clear"/>
          </w:tcPr>
          <w:p>
            <w:r/>
            <w:r>
              <w:rPr>
                <w:rFonts w:ascii="Arial" w:hAnsi="Arial"/>
                <w:sz w:val="15"/>
              </w:rPr>
              <w:t>H</w:t>
            </w:r>
          </w:p>
        </w:tc>
        <w:tc>
          <w:tcPr>
            <w:tcW w:type="dxa" w:w="720"/>
            <w:shd w:fill="EDEDF7" w:val="clear"/>
          </w:tcPr>
          <w:p>
            <w:r/>
            <w:r>
              <w:rPr>
                <w:rFonts w:ascii="Arial" w:hAnsi="Arial"/>
                <w:sz w:val="15"/>
              </w:rPr>
              <w:t>CRITICAL</w:t>
            </w:r>
          </w:p>
        </w:tc>
      </w:tr>
      <w:tr>
        <w:tc>
          <w:tcPr>
            <w:tcW w:type="dxa" w:w="1440"/>
          </w:tcPr>
          <w:p>
            <w:r/>
            <w:r>
              <w:rPr>
                <w:rFonts w:ascii="Arial" w:hAnsi="Arial"/>
                <w:sz w:val="15"/>
              </w:rPr>
              <w:t>42 Wholesale</w:t>
            </w:r>
          </w:p>
        </w:tc>
        <w:tc>
          <w:tcPr>
            <w:tcW w:type="dxa" w:w="504"/>
          </w:tcPr>
          <w:p>
            <w:r/>
            <w:r>
              <w:rPr>
                <w:rFonts w:ascii="Arial" w:hAnsi="Arial"/>
                <w:sz w:val="15"/>
              </w:rPr>
              <w:t>H</w:t>
            </w:r>
          </w:p>
        </w:tc>
        <w:tc>
          <w:tcPr>
            <w:tcW w:type="dxa" w:w="432"/>
          </w:tcPr>
          <w:p>
            <w:r/>
            <w:r>
              <w:rPr>
                <w:rFonts w:ascii="Arial" w:hAnsi="Arial"/>
                <w:sz w:val="15"/>
              </w:rPr>
              <w:t>H</w:t>
            </w:r>
          </w:p>
        </w:tc>
        <w:tc>
          <w:tcPr>
            <w:tcW w:type="dxa" w:w="504"/>
          </w:tcPr>
          <w:p>
            <w:r/>
            <w:r>
              <w:rPr>
                <w:rFonts w:ascii="Arial" w:hAnsi="Arial"/>
                <w:sz w:val="15"/>
              </w:rPr>
              <w:t>H</w:t>
            </w:r>
          </w:p>
        </w:tc>
        <w:tc>
          <w:tcPr>
            <w:tcW w:type="dxa" w:w="504"/>
          </w:tcPr>
          <w:p>
            <w:r/>
            <w:r>
              <w:rPr>
                <w:rFonts w:ascii="Arial" w:hAnsi="Arial"/>
                <w:sz w:val="15"/>
              </w:rPr>
              <w:t>M</w:t>
            </w:r>
          </w:p>
        </w:tc>
        <w:tc>
          <w:tcPr>
            <w:tcW w:type="dxa" w:w="432"/>
          </w:tcPr>
          <w:p>
            <w:r/>
            <w:r>
              <w:rPr>
                <w:rFonts w:ascii="Arial" w:hAnsi="Arial"/>
                <w:sz w:val="15"/>
              </w:rPr>
              <w:t>M</w:t>
            </w:r>
          </w:p>
        </w:tc>
        <w:tc>
          <w:tcPr>
            <w:tcW w:type="dxa" w:w="432"/>
          </w:tcPr>
          <w:p>
            <w:r/>
            <w:r>
              <w:rPr>
                <w:rFonts w:ascii="Arial" w:hAnsi="Arial"/>
                <w:sz w:val="15"/>
              </w:rPr>
              <w:t>M</w:t>
            </w:r>
          </w:p>
        </w:tc>
        <w:tc>
          <w:tcPr>
            <w:tcW w:type="dxa" w:w="504"/>
          </w:tcPr>
          <w:p>
            <w:r/>
            <w:r>
              <w:rPr>
                <w:rFonts w:ascii="Arial" w:hAnsi="Arial"/>
                <w:sz w:val="15"/>
              </w:rPr>
              <w:t>M</w:t>
            </w:r>
          </w:p>
        </w:tc>
        <w:tc>
          <w:tcPr>
            <w:tcW w:type="dxa" w:w="720"/>
          </w:tcPr>
          <w:p>
            <w:r/>
            <w:r>
              <w:rPr>
                <w:rFonts w:ascii="Arial" w:hAnsi="Arial"/>
                <w:sz w:val="15"/>
              </w:rPr>
              <w:t>H</w:t>
            </w:r>
          </w:p>
        </w:tc>
        <w:tc>
          <w:tcPr>
            <w:tcW w:type="dxa" w:w="576"/>
          </w:tcPr>
          <w:p>
            <w:r/>
            <w:r>
              <w:rPr>
                <w:rFonts w:ascii="Arial" w:hAnsi="Arial"/>
                <w:sz w:val="15"/>
              </w:rPr>
              <w:t>H</w:t>
            </w:r>
          </w:p>
        </w:tc>
        <w:tc>
          <w:tcPr>
            <w:tcW w:type="dxa" w:w="432"/>
          </w:tcPr>
          <w:p>
            <w:r/>
            <w:r>
              <w:rPr>
                <w:rFonts w:ascii="Arial" w:hAnsi="Arial"/>
                <w:sz w:val="15"/>
              </w:rPr>
              <w:t>L</w:t>
            </w:r>
          </w:p>
        </w:tc>
        <w:tc>
          <w:tcPr>
            <w:tcW w:type="dxa" w:w="504"/>
          </w:tcPr>
          <w:p>
            <w:r/>
            <w:r>
              <w:rPr>
                <w:rFonts w:ascii="Arial" w:hAnsi="Arial"/>
                <w:sz w:val="15"/>
              </w:rPr>
              <w:t>M</w:t>
            </w:r>
          </w:p>
        </w:tc>
        <w:tc>
          <w:tcPr>
            <w:tcW w:type="dxa" w:w="720"/>
          </w:tcPr>
          <w:p>
            <w:r/>
            <w:r>
              <w:rPr>
                <w:rFonts w:ascii="Arial" w:hAnsi="Arial"/>
                <w:sz w:val="15"/>
              </w:rPr>
              <w:t>M</w:t>
            </w:r>
          </w:p>
        </w:tc>
        <w:tc>
          <w:tcPr>
            <w:tcW w:type="dxa" w:w="720"/>
          </w:tcPr>
          <w:p>
            <w:r/>
            <w:r>
              <w:rPr>
                <w:rFonts w:ascii="Arial" w:hAnsi="Arial"/>
                <w:sz w:val="15"/>
              </w:rPr>
              <w:t>HIGH</w:t>
            </w:r>
          </w:p>
        </w:tc>
      </w:tr>
      <w:tr>
        <w:tc>
          <w:tcPr>
            <w:tcW w:type="dxa" w:w="1440"/>
            <w:shd w:fill="EDEDF7" w:val="clear"/>
          </w:tcPr>
          <w:p>
            <w:r/>
            <w:r>
              <w:rPr>
                <w:rFonts w:ascii="Arial" w:hAnsi="Arial"/>
                <w:sz w:val="15"/>
              </w:rPr>
              <w:t>44-45 Retail</w:t>
            </w:r>
          </w:p>
        </w:tc>
        <w:tc>
          <w:tcPr>
            <w:tcW w:type="dxa" w:w="504"/>
            <w:shd w:fill="EDEDF7" w:val="clear"/>
          </w:tcPr>
          <w:p>
            <w:r/>
            <w:r>
              <w:rPr>
                <w:rFonts w:ascii="Arial" w:hAnsi="Arial"/>
                <w:sz w:val="15"/>
              </w:rPr>
              <w:t>H</w:t>
            </w:r>
          </w:p>
        </w:tc>
        <w:tc>
          <w:tcPr>
            <w:tcW w:type="dxa" w:w="432"/>
            <w:shd w:fill="EDEDF7" w:val="clear"/>
          </w:tcPr>
          <w:p>
            <w:r/>
            <w:r>
              <w:rPr>
                <w:rFonts w:ascii="Arial" w:hAnsi="Arial"/>
                <w:sz w:val="15"/>
              </w:rPr>
              <w:t>H</w:t>
            </w:r>
          </w:p>
        </w:tc>
        <w:tc>
          <w:tcPr>
            <w:tcW w:type="dxa" w:w="504"/>
            <w:shd w:fill="EDEDF7" w:val="clear"/>
          </w:tcPr>
          <w:p>
            <w:r/>
            <w:r>
              <w:rPr>
                <w:rFonts w:ascii="Arial" w:hAnsi="Arial"/>
                <w:sz w:val="15"/>
              </w:rPr>
              <w:t>H</w:t>
            </w:r>
          </w:p>
        </w:tc>
        <w:tc>
          <w:tcPr>
            <w:tcW w:type="dxa" w:w="504"/>
            <w:shd w:fill="EDEDF7" w:val="clear"/>
          </w:tcPr>
          <w:p>
            <w:r/>
            <w:r>
              <w:rPr>
                <w:rFonts w:ascii="Arial" w:hAnsi="Arial"/>
                <w:sz w:val="15"/>
              </w:rPr>
              <w:t>H</w:t>
            </w:r>
          </w:p>
        </w:tc>
        <w:tc>
          <w:tcPr>
            <w:tcW w:type="dxa" w:w="432"/>
            <w:shd w:fill="EDEDF7" w:val="clear"/>
          </w:tcPr>
          <w:p>
            <w:r/>
            <w:r>
              <w:rPr>
                <w:rFonts w:ascii="Arial" w:hAnsi="Arial"/>
                <w:sz w:val="15"/>
              </w:rPr>
              <w:t>H</w:t>
            </w:r>
          </w:p>
        </w:tc>
        <w:tc>
          <w:tcPr>
            <w:tcW w:type="dxa" w:w="432"/>
            <w:shd w:fill="EDEDF7" w:val="clear"/>
          </w:tcPr>
          <w:p>
            <w:r/>
            <w:r>
              <w:rPr>
                <w:rFonts w:ascii="Arial" w:hAnsi="Arial"/>
                <w:sz w:val="15"/>
              </w:rPr>
              <w:t>H</w:t>
            </w:r>
          </w:p>
        </w:tc>
        <w:tc>
          <w:tcPr>
            <w:tcW w:type="dxa" w:w="504"/>
            <w:shd w:fill="EDEDF7" w:val="clear"/>
          </w:tcPr>
          <w:p>
            <w:r/>
            <w:r>
              <w:rPr>
                <w:rFonts w:ascii="Arial" w:hAnsi="Arial"/>
                <w:sz w:val="15"/>
              </w:rPr>
              <w:t>M</w:t>
            </w:r>
          </w:p>
        </w:tc>
        <w:tc>
          <w:tcPr>
            <w:tcW w:type="dxa" w:w="720"/>
            <w:shd w:fill="EDEDF7" w:val="clear"/>
          </w:tcPr>
          <w:p>
            <w:r/>
            <w:r>
              <w:rPr>
                <w:rFonts w:ascii="Arial" w:hAnsi="Arial"/>
                <w:sz w:val="15"/>
              </w:rPr>
              <w:t>H</w:t>
            </w:r>
          </w:p>
        </w:tc>
        <w:tc>
          <w:tcPr>
            <w:tcW w:type="dxa" w:w="576"/>
            <w:shd w:fill="EDEDF7" w:val="clear"/>
          </w:tcPr>
          <w:p>
            <w:r/>
            <w:r>
              <w:rPr>
                <w:rFonts w:ascii="Arial" w:hAnsi="Arial"/>
                <w:sz w:val="15"/>
              </w:rPr>
              <w:t>C</w:t>
            </w:r>
          </w:p>
        </w:tc>
        <w:tc>
          <w:tcPr>
            <w:tcW w:type="dxa" w:w="432"/>
            <w:shd w:fill="EDEDF7" w:val="clear"/>
          </w:tcPr>
          <w:p>
            <w:r/>
            <w:r>
              <w:rPr>
                <w:rFonts w:ascii="Arial" w:hAnsi="Arial"/>
                <w:sz w:val="15"/>
              </w:rPr>
              <w:t>M</w:t>
            </w:r>
          </w:p>
        </w:tc>
        <w:tc>
          <w:tcPr>
            <w:tcW w:type="dxa" w:w="504"/>
            <w:shd w:fill="EDEDF7" w:val="clear"/>
          </w:tcPr>
          <w:p>
            <w:r/>
            <w:r>
              <w:rPr>
                <w:rFonts w:ascii="Arial" w:hAnsi="Arial"/>
                <w:sz w:val="15"/>
              </w:rPr>
              <w:t>H</w:t>
            </w:r>
          </w:p>
        </w:tc>
        <w:tc>
          <w:tcPr>
            <w:tcW w:type="dxa" w:w="720"/>
            <w:shd w:fill="EDEDF7" w:val="clear"/>
          </w:tcPr>
          <w:p>
            <w:r/>
            <w:r>
              <w:rPr>
                <w:rFonts w:ascii="Arial" w:hAnsi="Arial"/>
                <w:sz w:val="15"/>
              </w:rPr>
              <w:t>M</w:t>
            </w:r>
          </w:p>
        </w:tc>
        <w:tc>
          <w:tcPr>
            <w:tcW w:type="dxa" w:w="720"/>
            <w:shd w:fill="EDEDF7" w:val="clear"/>
          </w:tcPr>
          <w:p>
            <w:r/>
            <w:r>
              <w:rPr>
                <w:rFonts w:ascii="Arial" w:hAnsi="Arial"/>
                <w:sz w:val="15"/>
              </w:rPr>
              <w:t>CRITICAL</w:t>
            </w:r>
          </w:p>
        </w:tc>
      </w:tr>
      <w:tr>
        <w:tc>
          <w:tcPr>
            <w:tcW w:type="dxa" w:w="1440"/>
          </w:tcPr>
          <w:p>
            <w:r/>
            <w:r>
              <w:rPr>
                <w:rFonts w:ascii="Arial" w:hAnsi="Arial"/>
                <w:sz w:val="15"/>
              </w:rPr>
              <w:t>48-49 Transportation</w:t>
            </w:r>
          </w:p>
        </w:tc>
        <w:tc>
          <w:tcPr>
            <w:tcW w:type="dxa" w:w="504"/>
          </w:tcPr>
          <w:p>
            <w:r/>
            <w:r>
              <w:rPr>
                <w:rFonts w:ascii="Arial" w:hAnsi="Arial"/>
                <w:sz w:val="15"/>
              </w:rPr>
              <w:t>H</w:t>
            </w:r>
          </w:p>
        </w:tc>
        <w:tc>
          <w:tcPr>
            <w:tcW w:type="dxa" w:w="432"/>
          </w:tcPr>
          <w:p>
            <w:r/>
            <w:r>
              <w:rPr>
                <w:rFonts w:ascii="Arial" w:hAnsi="Arial"/>
                <w:sz w:val="15"/>
              </w:rPr>
              <w:t>C</w:t>
            </w:r>
          </w:p>
        </w:tc>
        <w:tc>
          <w:tcPr>
            <w:tcW w:type="dxa" w:w="504"/>
          </w:tcPr>
          <w:p>
            <w:r/>
            <w:r>
              <w:rPr>
                <w:rFonts w:ascii="Arial" w:hAnsi="Arial"/>
                <w:sz w:val="15"/>
              </w:rPr>
              <w:t>M</w:t>
            </w:r>
          </w:p>
        </w:tc>
        <w:tc>
          <w:tcPr>
            <w:tcW w:type="dxa" w:w="504"/>
          </w:tcPr>
          <w:p>
            <w:r/>
            <w:r>
              <w:rPr>
                <w:rFonts w:ascii="Arial" w:hAnsi="Arial"/>
                <w:sz w:val="15"/>
              </w:rPr>
              <w:t>L</w:t>
            </w:r>
          </w:p>
        </w:tc>
        <w:tc>
          <w:tcPr>
            <w:tcW w:type="dxa" w:w="432"/>
          </w:tcPr>
          <w:p>
            <w:r/>
            <w:r>
              <w:rPr>
                <w:rFonts w:ascii="Arial" w:hAnsi="Arial"/>
                <w:sz w:val="15"/>
              </w:rPr>
              <w:t>H</w:t>
            </w:r>
          </w:p>
        </w:tc>
        <w:tc>
          <w:tcPr>
            <w:tcW w:type="dxa" w:w="432"/>
          </w:tcPr>
          <w:p>
            <w:r/>
            <w:r>
              <w:rPr>
                <w:rFonts w:ascii="Arial" w:hAnsi="Arial"/>
                <w:sz w:val="15"/>
              </w:rPr>
              <w:t>H</w:t>
            </w:r>
          </w:p>
        </w:tc>
        <w:tc>
          <w:tcPr>
            <w:tcW w:type="dxa" w:w="504"/>
          </w:tcPr>
          <w:p>
            <w:r/>
            <w:r>
              <w:rPr>
                <w:rFonts w:ascii="Arial" w:hAnsi="Arial"/>
                <w:sz w:val="15"/>
              </w:rPr>
              <w:t>H</w:t>
            </w:r>
          </w:p>
        </w:tc>
        <w:tc>
          <w:tcPr>
            <w:tcW w:type="dxa" w:w="720"/>
          </w:tcPr>
          <w:p>
            <w:r/>
            <w:r>
              <w:rPr>
                <w:rFonts w:ascii="Arial" w:hAnsi="Arial"/>
                <w:sz w:val="15"/>
              </w:rPr>
              <w:t>C</w:t>
            </w:r>
          </w:p>
        </w:tc>
        <w:tc>
          <w:tcPr>
            <w:tcW w:type="dxa" w:w="576"/>
          </w:tcPr>
          <w:p>
            <w:r/>
            <w:r>
              <w:rPr>
                <w:rFonts w:ascii="Arial" w:hAnsi="Arial"/>
                <w:sz w:val="15"/>
              </w:rPr>
              <w:t>H</w:t>
            </w:r>
          </w:p>
        </w:tc>
        <w:tc>
          <w:tcPr>
            <w:tcW w:type="dxa" w:w="432"/>
          </w:tcPr>
          <w:p>
            <w:r/>
            <w:r>
              <w:rPr>
                <w:rFonts w:ascii="Arial" w:hAnsi="Arial"/>
                <w:sz w:val="15"/>
              </w:rPr>
              <w:t>M</w:t>
            </w:r>
          </w:p>
        </w:tc>
        <w:tc>
          <w:tcPr>
            <w:tcW w:type="dxa" w:w="504"/>
          </w:tcPr>
          <w:p>
            <w:r/>
            <w:r>
              <w:rPr>
                <w:rFonts w:ascii="Arial" w:hAnsi="Arial"/>
                <w:sz w:val="15"/>
              </w:rPr>
              <w:t>M</w:t>
            </w:r>
          </w:p>
        </w:tc>
        <w:tc>
          <w:tcPr>
            <w:tcW w:type="dxa" w:w="720"/>
          </w:tcPr>
          <w:p>
            <w:r/>
            <w:r>
              <w:rPr>
                <w:rFonts w:ascii="Arial" w:hAnsi="Arial"/>
                <w:sz w:val="15"/>
              </w:rPr>
              <w:t>H</w:t>
            </w:r>
          </w:p>
        </w:tc>
        <w:tc>
          <w:tcPr>
            <w:tcW w:type="dxa" w:w="720"/>
          </w:tcPr>
          <w:p>
            <w:r/>
            <w:r>
              <w:rPr>
                <w:rFonts w:ascii="Arial" w:hAnsi="Arial"/>
                <w:sz w:val="15"/>
              </w:rPr>
              <w:t>CRITICAL</w:t>
            </w:r>
          </w:p>
        </w:tc>
      </w:tr>
      <w:tr>
        <w:tc>
          <w:tcPr>
            <w:tcW w:type="dxa" w:w="1440"/>
            <w:shd w:fill="EDEDF7" w:val="clear"/>
          </w:tcPr>
          <w:p>
            <w:r/>
            <w:r>
              <w:rPr>
                <w:rFonts w:ascii="Arial" w:hAnsi="Arial"/>
                <w:sz w:val="15"/>
              </w:rPr>
              <w:t>51 Information</w:t>
            </w:r>
          </w:p>
        </w:tc>
        <w:tc>
          <w:tcPr>
            <w:tcW w:type="dxa" w:w="504"/>
            <w:shd w:fill="EDEDF7" w:val="clear"/>
          </w:tcPr>
          <w:p>
            <w:r/>
            <w:r>
              <w:rPr>
                <w:rFonts w:ascii="Arial" w:hAnsi="Arial"/>
                <w:sz w:val="15"/>
              </w:rPr>
              <w:t>H</w:t>
            </w:r>
          </w:p>
        </w:tc>
        <w:tc>
          <w:tcPr>
            <w:tcW w:type="dxa" w:w="432"/>
            <w:shd w:fill="EDEDF7" w:val="clear"/>
          </w:tcPr>
          <w:p>
            <w:r/>
            <w:r>
              <w:rPr>
                <w:rFonts w:ascii="Arial" w:hAnsi="Arial"/>
                <w:sz w:val="15"/>
              </w:rPr>
              <w:t>H</w:t>
            </w:r>
          </w:p>
        </w:tc>
        <w:tc>
          <w:tcPr>
            <w:tcW w:type="dxa" w:w="504"/>
            <w:shd w:fill="EDEDF7" w:val="clear"/>
          </w:tcPr>
          <w:p>
            <w:r/>
            <w:r>
              <w:rPr>
                <w:rFonts w:ascii="Arial" w:hAnsi="Arial"/>
                <w:sz w:val="15"/>
              </w:rPr>
              <w:t>H</w:t>
            </w:r>
          </w:p>
        </w:tc>
        <w:tc>
          <w:tcPr>
            <w:tcW w:type="dxa" w:w="504"/>
            <w:shd w:fill="EDEDF7" w:val="clear"/>
          </w:tcPr>
          <w:p>
            <w:r/>
            <w:r>
              <w:rPr>
                <w:rFonts w:ascii="Arial" w:hAnsi="Arial"/>
                <w:sz w:val="15"/>
              </w:rPr>
              <w:t>H</w:t>
            </w:r>
          </w:p>
        </w:tc>
        <w:tc>
          <w:tcPr>
            <w:tcW w:type="dxa" w:w="432"/>
            <w:shd w:fill="EDEDF7" w:val="clear"/>
          </w:tcPr>
          <w:p>
            <w:r/>
            <w:r>
              <w:rPr>
                <w:rFonts w:ascii="Arial" w:hAnsi="Arial"/>
                <w:sz w:val="15"/>
              </w:rPr>
              <w:t>H</w:t>
            </w:r>
          </w:p>
        </w:tc>
        <w:tc>
          <w:tcPr>
            <w:tcW w:type="dxa" w:w="432"/>
            <w:shd w:fill="EDEDF7" w:val="clear"/>
          </w:tcPr>
          <w:p>
            <w:r/>
            <w:r>
              <w:rPr>
                <w:rFonts w:ascii="Arial" w:hAnsi="Arial"/>
                <w:sz w:val="15"/>
              </w:rPr>
              <w:t>C</w:t>
            </w:r>
          </w:p>
        </w:tc>
        <w:tc>
          <w:tcPr>
            <w:tcW w:type="dxa" w:w="504"/>
            <w:shd w:fill="EDEDF7" w:val="clear"/>
          </w:tcPr>
          <w:p>
            <w:r/>
            <w:r>
              <w:rPr>
                <w:rFonts w:ascii="Arial" w:hAnsi="Arial"/>
                <w:sz w:val="15"/>
              </w:rPr>
              <w:t>H</w:t>
            </w:r>
          </w:p>
        </w:tc>
        <w:tc>
          <w:tcPr>
            <w:tcW w:type="dxa" w:w="720"/>
            <w:shd w:fill="EDEDF7" w:val="clear"/>
          </w:tcPr>
          <w:p>
            <w:r/>
            <w:r>
              <w:rPr>
                <w:rFonts w:ascii="Arial" w:hAnsi="Arial"/>
                <w:sz w:val="15"/>
              </w:rPr>
              <w:t>M</w:t>
            </w:r>
          </w:p>
        </w:tc>
        <w:tc>
          <w:tcPr>
            <w:tcW w:type="dxa" w:w="576"/>
            <w:shd w:fill="EDEDF7" w:val="clear"/>
          </w:tcPr>
          <w:p>
            <w:r/>
            <w:r>
              <w:rPr>
                <w:rFonts w:ascii="Arial" w:hAnsi="Arial"/>
                <w:sz w:val="15"/>
              </w:rPr>
              <w:t>H</w:t>
            </w:r>
          </w:p>
        </w:tc>
        <w:tc>
          <w:tcPr>
            <w:tcW w:type="dxa" w:w="432"/>
            <w:shd w:fill="EDEDF7" w:val="clear"/>
          </w:tcPr>
          <w:p>
            <w:r/>
            <w:r>
              <w:rPr>
                <w:rFonts w:ascii="Arial" w:hAnsi="Arial"/>
                <w:sz w:val="15"/>
              </w:rPr>
              <w:t>C</w:t>
            </w:r>
          </w:p>
        </w:tc>
        <w:tc>
          <w:tcPr>
            <w:tcW w:type="dxa" w:w="504"/>
            <w:shd w:fill="EDEDF7" w:val="clear"/>
          </w:tcPr>
          <w:p>
            <w:r/>
            <w:r>
              <w:rPr>
                <w:rFonts w:ascii="Arial" w:hAnsi="Arial"/>
                <w:sz w:val="15"/>
              </w:rPr>
              <w:t>H</w:t>
            </w:r>
          </w:p>
        </w:tc>
        <w:tc>
          <w:tcPr>
            <w:tcW w:type="dxa" w:w="720"/>
            <w:shd w:fill="EDEDF7" w:val="clear"/>
          </w:tcPr>
          <w:p>
            <w:r/>
            <w:r>
              <w:rPr>
                <w:rFonts w:ascii="Arial" w:hAnsi="Arial"/>
                <w:sz w:val="15"/>
              </w:rPr>
              <w:t>H</w:t>
            </w:r>
          </w:p>
        </w:tc>
        <w:tc>
          <w:tcPr>
            <w:tcW w:type="dxa" w:w="720"/>
            <w:shd w:fill="EDEDF7" w:val="clear"/>
          </w:tcPr>
          <w:p>
            <w:r/>
            <w:r>
              <w:rPr>
                <w:rFonts w:ascii="Arial" w:hAnsi="Arial"/>
                <w:sz w:val="15"/>
              </w:rPr>
              <w:t>CRITICAL</w:t>
            </w:r>
          </w:p>
        </w:tc>
      </w:tr>
      <w:tr>
        <w:tc>
          <w:tcPr>
            <w:tcW w:type="dxa" w:w="1440"/>
          </w:tcPr>
          <w:p>
            <w:r/>
            <w:r>
              <w:rPr>
                <w:rFonts w:ascii="Arial" w:hAnsi="Arial"/>
                <w:sz w:val="15"/>
              </w:rPr>
              <w:t>52 Finance/Insurance</w:t>
            </w:r>
          </w:p>
        </w:tc>
        <w:tc>
          <w:tcPr>
            <w:tcW w:type="dxa" w:w="504"/>
          </w:tcPr>
          <w:p>
            <w:r/>
            <w:r>
              <w:rPr>
                <w:rFonts w:ascii="Arial" w:hAnsi="Arial"/>
                <w:sz w:val="15"/>
              </w:rPr>
              <w:t>C</w:t>
            </w:r>
          </w:p>
        </w:tc>
        <w:tc>
          <w:tcPr>
            <w:tcW w:type="dxa" w:w="432"/>
          </w:tcPr>
          <w:p>
            <w:r/>
            <w:r>
              <w:rPr>
                <w:rFonts w:ascii="Arial" w:hAnsi="Arial"/>
                <w:sz w:val="15"/>
              </w:rPr>
              <w:t>H</w:t>
            </w:r>
          </w:p>
        </w:tc>
        <w:tc>
          <w:tcPr>
            <w:tcW w:type="dxa" w:w="504"/>
          </w:tcPr>
          <w:p>
            <w:r/>
            <w:r>
              <w:rPr>
                <w:rFonts w:ascii="Arial" w:hAnsi="Arial"/>
                <w:sz w:val="15"/>
              </w:rPr>
              <w:t>H</w:t>
            </w:r>
          </w:p>
        </w:tc>
        <w:tc>
          <w:tcPr>
            <w:tcW w:type="dxa" w:w="504"/>
          </w:tcPr>
          <w:p>
            <w:r/>
            <w:r>
              <w:rPr>
                <w:rFonts w:ascii="Arial" w:hAnsi="Arial"/>
                <w:sz w:val="15"/>
              </w:rPr>
              <w:t>H</w:t>
            </w:r>
          </w:p>
        </w:tc>
        <w:tc>
          <w:tcPr>
            <w:tcW w:type="dxa" w:w="432"/>
          </w:tcPr>
          <w:p>
            <w:r/>
            <w:r>
              <w:rPr>
                <w:rFonts w:ascii="Arial" w:hAnsi="Arial"/>
                <w:sz w:val="15"/>
              </w:rPr>
              <w:t>H</w:t>
            </w:r>
          </w:p>
        </w:tc>
        <w:tc>
          <w:tcPr>
            <w:tcW w:type="dxa" w:w="432"/>
          </w:tcPr>
          <w:p>
            <w:r/>
            <w:r>
              <w:rPr>
                <w:rFonts w:ascii="Arial" w:hAnsi="Arial"/>
                <w:sz w:val="15"/>
              </w:rPr>
              <w:t>H</w:t>
            </w:r>
          </w:p>
        </w:tc>
        <w:tc>
          <w:tcPr>
            <w:tcW w:type="dxa" w:w="504"/>
          </w:tcPr>
          <w:p>
            <w:r/>
            <w:r>
              <w:rPr>
                <w:rFonts w:ascii="Arial" w:hAnsi="Arial"/>
                <w:sz w:val="15"/>
              </w:rPr>
              <w:t>C</w:t>
            </w:r>
          </w:p>
        </w:tc>
        <w:tc>
          <w:tcPr>
            <w:tcW w:type="dxa" w:w="720"/>
          </w:tcPr>
          <w:p>
            <w:r/>
            <w:r>
              <w:rPr>
                <w:rFonts w:ascii="Arial" w:hAnsi="Arial"/>
                <w:sz w:val="15"/>
              </w:rPr>
              <w:t>M</w:t>
            </w:r>
          </w:p>
        </w:tc>
        <w:tc>
          <w:tcPr>
            <w:tcW w:type="dxa" w:w="576"/>
          </w:tcPr>
          <w:p>
            <w:r/>
            <w:r>
              <w:rPr>
                <w:rFonts w:ascii="Arial" w:hAnsi="Arial"/>
                <w:sz w:val="15"/>
              </w:rPr>
              <w:t>H</w:t>
            </w:r>
          </w:p>
        </w:tc>
        <w:tc>
          <w:tcPr>
            <w:tcW w:type="dxa" w:w="432"/>
          </w:tcPr>
          <w:p>
            <w:r/>
            <w:r>
              <w:rPr>
                <w:rFonts w:ascii="Arial" w:hAnsi="Arial"/>
                <w:sz w:val="15"/>
              </w:rPr>
              <w:t>H</w:t>
            </w:r>
          </w:p>
        </w:tc>
        <w:tc>
          <w:tcPr>
            <w:tcW w:type="dxa" w:w="504"/>
          </w:tcPr>
          <w:p>
            <w:r/>
            <w:r>
              <w:rPr>
                <w:rFonts w:ascii="Arial" w:hAnsi="Arial"/>
                <w:sz w:val="15"/>
              </w:rPr>
              <w:t>C</w:t>
            </w:r>
          </w:p>
        </w:tc>
        <w:tc>
          <w:tcPr>
            <w:tcW w:type="dxa" w:w="720"/>
          </w:tcPr>
          <w:p>
            <w:r/>
            <w:r>
              <w:rPr>
                <w:rFonts w:ascii="Arial" w:hAnsi="Arial"/>
                <w:sz w:val="15"/>
              </w:rPr>
              <w:t>C</w:t>
            </w:r>
          </w:p>
        </w:tc>
        <w:tc>
          <w:tcPr>
            <w:tcW w:type="dxa" w:w="720"/>
          </w:tcPr>
          <w:p>
            <w:r/>
            <w:r>
              <w:rPr>
                <w:rFonts w:ascii="Arial" w:hAnsi="Arial"/>
                <w:sz w:val="15"/>
              </w:rPr>
              <w:t>CRITICAL</w:t>
            </w:r>
          </w:p>
        </w:tc>
      </w:tr>
      <w:tr>
        <w:tc>
          <w:tcPr>
            <w:tcW w:type="dxa" w:w="1440"/>
            <w:shd w:fill="EDEDF7" w:val="clear"/>
          </w:tcPr>
          <w:p>
            <w:r/>
            <w:r>
              <w:rPr>
                <w:rFonts w:ascii="Arial" w:hAnsi="Arial"/>
                <w:sz w:val="15"/>
              </w:rPr>
              <w:t>53 Real Estate</w:t>
            </w:r>
          </w:p>
        </w:tc>
        <w:tc>
          <w:tcPr>
            <w:tcW w:type="dxa" w:w="504"/>
            <w:shd w:fill="EDEDF7" w:val="clear"/>
          </w:tcPr>
          <w:p>
            <w:r/>
            <w:r>
              <w:rPr>
                <w:rFonts w:ascii="Arial" w:hAnsi="Arial"/>
                <w:sz w:val="15"/>
              </w:rPr>
              <w:t>H</w:t>
            </w:r>
          </w:p>
        </w:tc>
        <w:tc>
          <w:tcPr>
            <w:tcW w:type="dxa" w:w="432"/>
            <w:shd w:fill="EDEDF7" w:val="clear"/>
          </w:tcPr>
          <w:p>
            <w:r/>
            <w:r>
              <w:rPr>
                <w:rFonts w:ascii="Arial" w:hAnsi="Arial"/>
                <w:sz w:val="15"/>
              </w:rPr>
              <w:t>M</w:t>
            </w:r>
          </w:p>
        </w:tc>
        <w:tc>
          <w:tcPr>
            <w:tcW w:type="dxa" w:w="504"/>
            <w:shd w:fill="EDEDF7" w:val="clear"/>
          </w:tcPr>
          <w:p>
            <w:r/>
            <w:r>
              <w:rPr>
                <w:rFonts w:ascii="Arial" w:hAnsi="Arial"/>
                <w:sz w:val="15"/>
              </w:rPr>
              <w:t>H</w:t>
            </w:r>
          </w:p>
        </w:tc>
        <w:tc>
          <w:tcPr>
            <w:tcW w:type="dxa" w:w="504"/>
            <w:shd w:fill="EDEDF7" w:val="clear"/>
          </w:tcPr>
          <w:p>
            <w:r/>
            <w:r>
              <w:rPr>
                <w:rFonts w:ascii="Arial" w:hAnsi="Arial"/>
                <w:sz w:val="15"/>
              </w:rPr>
              <w:t>H</w:t>
            </w:r>
          </w:p>
        </w:tc>
        <w:tc>
          <w:tcPr>
            <w:tcW w:type="dxa" w:w="432"/>
            <w:shd w:fill="EDEDF7" w:val="clear"/>
          </w:tcPr>
          <w:p>
            <w:r/>
            <w:r>
              <w:rPr>
                <w:rFonts w:ascii="Arial" w:hAnsi="Arial"/>
                <w:sz w:val="15"/>
              </w:rPr>
              <w:t>M</w:t>
            </w:r>
          </w:p>
        </w:tc>
        <w:tc>
          <w:tcPr>
            <w:tcW w:type="dxa" w:w="432"/>
            <w:shd w:fill="EDEDF7" w:val="clear"/>
          </w:tcPr>
          <w:p>
            <w:r/>
            <w:r>
              <w:rPr>
                <w:rFonts w:ascii="Arial" w:hAnsi="Arial"/>
                <w:sz w:val="15"/>
              </w:rPr>
              <w:t>M</w:t>
            </w:r>
          </w:p>
        </w:tc>
        <w:tc>
          <w:tcPr>
            <w:tcW w:type="dxa" w:w="504"/>
            <w:shd w:fill="EDEDF7" w:val="clear"/>
          </w:tcPr>
          <w:p>
            <w:r/>
            <w:r>
              <w:rPr>
                <w:rFonts w:ascii="Arial" w:hAnsi="Arial"/>
                <w:sz w:val="15"/>
              </w:rPr>
              <w:t>H</w:t>
            </w:r>
          </w:p>
        </w:tc>
        <w:tc>
          <w:tcPr>
            <w:tcW w:type="dxa" w:w="720"/>
            <w:shd w:fill="EDEDF7" w:val="clear"/>
          </w:tcPr>
          <w:p>
            <w:r/>
            <w:r>
              <w:rPr>
                <w:rFonts w:ascii="Arial" w:hAnsi="Arial"/>
                <w:sz w:val="15"/>
              </w:rPr>
              <w:t>L</w:t>
            </w:r>
          </w:p>
        </w:tc>
        <w:tc>
          <w:tcPr>
            <w:tcW w:type="dxa" w:w="576"/>
            <w:shd w:fill="EDEDF7" w:val="clear"/>
          </w:tcPr>
          <w:p>
            <w:r/>
            <w:r>
              <w:rPr>
                <w:rFonts w:ascii="Arial" w:hAnsi="Arial"/>
                <w:sz w:val="15"/>
              </w:rPr>
              <w:t>H</w:t>
            </w:r>
          </w:p>
        </w:tc>
        <w:tc>
          <w:tcPr>
            <w:tcW w:type="dxa" w:w="432"/>
            <w:shd w:fill="EDEDF7" w:val="clear"/>
          </w:tcPr>
          <w:p>
            <w:r/>
            <w:r>
              <w:rPr>
                <w:rFonts w:ascii="Arial" w:hAnsi="Arial"/>
                <w:sz w:val="15"/>
              </w:rPr>
              <w:t>L</w:t>
            </w:r>
          </w:p>
        </w:tc>
        <w:tc>
          <w:tcPr>
            <w:tcW w:type="dxa" w:w="504"/>
            <w:shd w:fill="EDEDF7" w:val="clear"/>
          </w:tcPr>
          <w:p>
            <w:r/>
            <w:r>
              <w:rPr>
                <w:rFonts w:ascii="Arial" w:hAnsi="Arial"/>
                <w:sz w:val="15"/>
              </w:rPr>
              <w:t>H</w:t>
            </w:r>
          </w:p>
        </w:tc>
        <w:tc>
          <w:tcPr>
            <w:tcW w:type="dxa" w:w="720"/>
            <w:shd w:fill="EDEDF7" w:val="clear"/>
          </w:tcPr>
          <w:p>
            <w:r/>
            <w:r>
              <w:rPr>
                <w:rFonts w:ascii="Arial" w:hAnsi="Arial"/>
                <w:sz w:val="15"/>
              </w:rPr>
              <w:t>H</w:t>
            </w:r>
          </w:p>
        </w:tc>
        <w:tc>
          <w:tcPr>
            <w:tcW w:type="dxa" w:w="720"/>
            <w:shd w:fill="EDEDF7" w:val="clear"/>
          </w:tcPr>
          <w:p>
            <w:r/>
            <w:r>
              <w:rPr>
                <w:rFonts w:ascii="Arial" w:hAnsi="Arial"/>
                <w:sz w:val="15"/>
              </w:rPr>
              <w:t>HIGH</w:t>
            </w:r>
          </w:p>
        </w:tc>
      </w:tr>
      <w:tr>
        <w:tc>
          <w:tcPr>
            <w:tcW w:type="dxa" w:w="1440"/>
          </w:tcPr>
          <w:p>
            <w:r/>
            <w:r>
              <w:rPr>
                <w:rFonts w:ascii="Arial" w:hAnsi="Arial"/>
                <w:sz w:val="15"/>
              </w:rPr>
              <w:t>54 Professional Services</w:t>
            </w:r>
          </w:p>
        </w:tc>
        <w:tc>
          <w:tcPr>
            <w:tcW w:type="dxa" w:w="504"/>
          </w:tcPr>
          <w:p>
            <w:r/>
            <w:r>
              <w:rPr>
                <w:rFonts w:ascii="Arial" w:hAnsi="Arial"/>
                <w:sz w:val="15"/>
              </w:rPr>
              <w:t>H</w:t>
            </w:r>
          </w:p>
        </w:tc>
        <w:tc>
          <w:tcPr>
            <w:tcW w:type="dxa" w:w="432"/>
          </w:tcPr>
          <w:p>
            <w:r/>
            <w:r>
              <w:rPr>
                <w:rFonts w:ascii="Arial" w:hAnsi="Arial"/>
                <w:sz w:val="15"/>
              </w:rPr>
              <w:t>M</w:t>
            </w:r>
          </w:p>
        </w:tc>
        <w:tc>
          <w:tcPr>
            <w:tcW w:type="dxa" w:w="504"/>
          </w:tcPr>
          <w:p>
            <w:r/>
            <w:r>
              <w:rPr>
                <w:rFonts w:ascii="Arial" w:hAnsi="Arial"/>
                <w:sz w:val="15"/>
              </w:rPr>
              <w:t>H</w:t>
            </w:r>
          </w:p>
        </w:tc>
        <w:tc>
          <w:tcPr>
            <w:tcW w:type="dxa" w:w="504"/>
          </w:tcPr>
          <w:p>
            <w:r/>
            <w:r>
              <w:rPr>
                <w:rFonts w:ascii="Arial" w:hAnsi="Arial"/>
                <w:sz w:val="15"/>
              </w:rPr>
              <w:t>H</w:t>
            </w:r>
          </w:p>
        </w:tc>
        <w:tc>
          <w:tcPr>
            <w:tcW w:type="dxa" w:w="432"/>
          </w:tcPr>
          <w:p>
            <w:r/>
            <w:r>
              <w:rPr>
                <w:rFonts w:ascii="Arial" w:hAnsi="Arial"/>
                <w:sz w:val="15"/>
              </w:rPr>
              <w:t>H</w:t>
            </w:r>
          </w:p>
        </w:tc>
        <w:tc>
          <w:tcPr>
            <w:tcW w:type="dxa" w:w="432"/>
          </w:tcPr>
          <w:p>
            <w:r/>
            <w:r>
              <w:rPr>
                <w:rFonts w:ascii="Arial" w:hAnsi="Arial"/>
                <w:sz w:val="15"/>
              </w:rPr>
              <w:t>H</w:t>
            </w:r>
          </w:p>
        </w:tc>
        <w:tc>
          <w:tcPr>
            <w:tcW w:type="dxa" w:w="504"/>
          </w:tcPr>
          <w:p>
            <w:r/>
            <w:r>
              <w:rPr>
                <w:rFonts w:ascii="Arial" w:hAnsi="Arial"/>
                <w:sz w:val="15"/>
              </w:rPr>
              <w:t>H</w:t>
            </w:r>
          </w:p>
        </w:tc>
        <w:tc>
          <w:tcPr>
            <w:tcW w:type="dxa" w:w="720"/>
          </w:tcPr>
          <w:p>
            <w:r/>
            <w:r>
              <w:rPr>
                <w:rFonts w:ascii="Arial" w:hAnsi="Arial"/>
                <w:sz w:val="15"/>
              </w:rPr>
              <w:t>M</w:t>
            </w:r>
          </w:p>
        </w:tc>
        <w:tc>
          <w:tcPr>
            <w:tcW w:type="dxa" w:w="576"/>
          </w:tcPr>
          <w:p>
            <w:r/>
            <w:r>
              <w:rPr>
                <w:rFonts w:ascii="Arial" w:hAnsi="Arial"/>
                <w:sz w:val="15"/>
              </w:rPr>
              <w:t>H</w:t>
            </w:r>
          </w:p>
        </w:tc>
        <w:tc>
          <w:tcPr>
            <w:tcW w:type="dxa" w:w="432"/>
          </w:tcPr>
          <w:p>
            <w:r/>
            <w:r>
              <w:rPr>
                <w:rFonts w:ascii="Arial" w:hAnsi="Arial"/>
                <w:sz w:val="15"/>
              </w:rPr>
              <w:t>H</w:t>
            </w:r>
          </w:p>
        </w:tc>
        <w:tc>
          <w:tcPr>
            <w:tcW w:type="dxa" w:w="504"/>
          </w:tcPr>
          <w:p>
            <w:r/>
            <w:r>
              <w:rPr>
                <w:rFonts w:ascii="Arial" w:hAnsi="Arial"/>
                <w:sz w:val="15"/>
              </w:rPr>
              <w:t>H</w:t>
            </w:r>
          </w:p>
        </w:tc>
        <w:tc>
          <w:tcPr>
            <w:tcW w:type="dxa" w:w="720"/>
          </w:tcPr>
          <w:p>
            <w:r/>
            <w:r>
              <w:rPr>
                <w:rFonts w:ascii="Arial" w:hAnsi="Arial"/>
                <w:sz w:val="15"/>
              </w:rPr>
              <w:t>H</w:t>
            </w:r>
          </w:p>
        </w:tc>
        <w:tc>
          <w:tcPr>
            <w:tcW w:type="dxa" w:w="720"/>
          </w:tcPr>
          <w:p>
            <w:r/>
            <w:r>
              <w:rPr>
                <w:rFonts w:ascii="Arial" w:hAnsi="Arial"/>
                <w:sz w:val="15"/>
              </w:rPr>
              <w:t>CRITICAL</w:t>
            </w:r>
          </w:p>
        </w:tc>
      </w:tr>
      <w:tr>
        <w:tc>
          <w:tcPr>
            <w:tcW w:type="dxa" w:w="1440"/>
            <w:shd w:fill="EDEDF7" w:val="clear"/>
          </w:tcPr>
          <w:p>
            <w:r/>
            <w:r>
              <w:rPr>
                <w:rFonts w:ascii="Arial" w:hAnsi="Arial"/>
                <w:sz w:val="15"/>
              </w:rPr>
              <w:t>55 Management</w:t>
            </w:r>
          </w:p>
        </w:tc>
        <w:tc>
          <w:tcPr>
            <w:tcW w:type="dxa" w:w="504"/>
            <w:shd w:fill="EDEDF7" w:val="clear"/>
          </w:tcPr>
          <w:p>
            <w:r/>
            <w:r>
              <w:rPr>
                <w:rFonts w:ascii="Arial" w:hAnsi="Arial"/>
                <w:sz w:val="15"/>
              </w:rPr>
              <w:t>H</w:t>
            </w:r>
          </w:p>
        </w:tc>
        <w:tc>
          <w:tcPr>
            <w:tcW w:type="dxa" w:w="432"/>
            <w:shd w:fill="EDEDF7" w:val="clear"/>
          </w:tcPr>
          <w:p>
            <w:r/>
            <w:r>
              <w:rPr>
                <w:rFonts w:ascii="Arial" w:hAnsi="Arial"/>
                <w:sz w:val="15"/>
              </w:rPr>
              <w:t>M</w:t>
            </w:r>
          </w:p>
        </w:tc>
        <w:tc>
          <w:tcPr>
            <w:tcW w:type="dxa" w:w="504"/>
            <w:shd w:fill="EDEDF7" w:val="clear"/>
          </w:tcPr>
          <w:p>
            <w:r/>
            <w:r>
              <w:rPr>
                <w:rFonts w:ascii="Arial" w:hAnsi="Arial"/>
                <w:sz w:val="15"/>
              </w:rPr>
              <w:t>M</w:t>
            </w:r>
          </w:p>
        </w:tc>
        <w:tc>
          <w:tcPr>
            <w:tcW w:type="dxa" w:w="504"/>
            <w:shd w:fill="EDEDF7" w:val="clear"/>
          </w:tcPr>
          <w:p>
            <w:r/>
            <w:r>
              <w:rPr>
                <w:rFonts w:ascii="Arial" w:hAnsi="Arial"/>
                <w:sz w:val="15"/>
              </w:rPr>
              <w:t>L</w:t>
            </w:r>
          </w:p>
        </w:tc>
        <w:tc>
          <w:tcPr>
            <w:tcW w:type="dxa" w:w="432"/>
            <w:shd w:fill="EDEDF7" w:val="clear"/>
          </w:tcPr>
          <w:p>
            <w:r/>
            <w:r>
              <w:rPr>
                <w:rFonts w:ascii="Arial" w:hAnsi="Arial"/>
                <w:sz w:val="15"/>
              </w:rPr>
              <w:t>H</w:t>
            </w:r>
          </w:p>
        </w:tc>
        <w:tc>
          <w:tcPr>
            <w:tcW w:type="dxa" w:w="432"/>
            <w:shd w:fill="EDEDF7" w:val="clear"/>
          </w:tcPr>
          <w:p>
            <w:r/>
            <w:r>
              <w:rPr>
                <w:rFonts w:ascii="Arial" w:hAnsi="Arial"/>
                <w:sz w:val="15"/>
              </w:rPr>
              <w:t>H</w:t>
            </w:r>
          </w:p>
        </w:tc>
        <w:tc>
          <w:tcPr>
            <w:tcW w:type="dxa" w:w="504"/>
            <w:shd w:fill="EDEDF7" w:val="clear"/>
          </w:tcPr>
          <w:p>
            <w:r/>
            <w:r>
              <w:rPr>
                <w:rFonts w:ascii="Arial" w:hAnsi="Arial"/>
                <w:sz w:val="15"/>
              </w:rPr>
              <w:t>H</w:t>
            </w:r>
          </w:p>
        </w:tc>
        <w:tc>
          <w:tcPr>
            <w:tcW w:type="dxa" w:w="720"/>
            <w:shd w:fill="EDEDF7" w:val="clear"/>
          </w:tcPr>
          <w:p>
            <w:r/>
            <w:r>
              <w:rPr>
                <w:rFonts w:ascii="Arial" w:hAnsi="Arial"/>
                <w:sz w:val="15"/>
              </w:rPr>
              <w:t>L</w:t>
            </w:r>
          </w:p>
        </w:tc>
        <w:tc>
          <w:tcPr>
            <w:tcW w:type="dxa" w:w="576"/>
            <w:shd w:fill="EDEDF7" w:val="clear"/>
          </w:tcPr>
          <w:p>
            <w:r/>
            <w:r>
              <w:rPr>
                <w:rFonts w:ascii="Arial" w:hAnsi="Arial"/>
                <w:sz w:val="15"/>
              </w:rPr>
              <w:t>L</w:t>
            </w:r>
          </w:p>
        </w:tc>
        <w:tc>
          <w:tcPr>
            <w:tcW w:type="dxa" w:w="432"/>
            <w:shd w:fill="EDEDF7" w:val="clear"/>
          </w:tcPr>
          <w:p>
            <w:r/>
            <w:r>
              <w:rPr>
                <w:rFonts w:ascii="Arial" w:hAnsi="Arial"/>
                <w:sz w:val="15"/>
              </w:rPr>
              <w:t>M</w:t>
            </w:r>
          </w:p>
        </w:tc>
        <w:tc>
          <w:tcPr>
            <w:tcW w:type="dxa" w:w="504"/>
            <w:shd w:fill="EDEDF7" w:val="clear"/>
          </w:tcPr>
          <w:p>
            <w:r/>
            <w:r>
              <w:rPr>
                <w:rFonts w:ascii="Arial" w:hAnsi="Arial"/>
                <w:sz w:val="15"/>
              </w:rPr>
              <w:t>C</w:t>
            </w:r>
          </w:p>
        </w:tc>
        <w:tc>
          <w:tcPr>
            <w:tcW w:type="dxa" w:w="720"/>
            <w:shd w:fill="EDEDF7" w:val="clear"/>
          </w:tcPr>
          <w:p>
            <w:r/>
            <w:r>
              <w:rPr>
                <w:rFonts w:ascii="Arial" w:hAnsi="Arial"/>
                <w:sz w:val="15"/>
              </w:rPr>
              <w:t>C</w:t>
            </w:r>
          </w:p>
        </w:tc>
        <w:tc>
          <w:tcPr>
            <w:tcW w:type="dxa" w:w="720"/>
            <w:shd w:fill="EDEDF7" w:val="clear"/>
          </w:tcPr>
          <w:p>
            <w:r/>
            <w:r>
              <w:rPr>
                <w:rFonts w:ascii="Arial" w:hAnsi="Arial"/>
                <w:sz w:val="15"/>
              </w:rPr>
              <w:t>HIGH</w:t>
            </w:r>
          </w:p>
        </w:tc>
      </w:tr>
      <w:tr>
        <w:tc>
          <w:tcPr>
            <w:tcW w:type="dxa" w:w="1440"/>
          </w:tcPr>
          <w:p>
            <w:r/>
            <w:r>
              <w:rPr>
                <w:rFonts w:ascii="Arial" w:hAnsi="Arial"/>
                <w:sz w:val="15"/>
              </w:rPr>
              <w:t>56 Admin/Waste</w:t>
            </w:r>
          </w:p>
        </w:tc>
        <w:tc>
          <w:tcPr>
            <w:tcW w:type="dxa" w:w="504"/>
          </w:tcPr>
          <w:p>
            <w:r/>
            <w:r>
              <w:rPr>
                <w:rFonts w:ascii="Arial" w:hAnsi="Arial"/>
                <w:sz w:val="15"/>
              </w:rPr>
              <w:t>M</w:t>
            </w:r>
          </w:p>
        </w:tc>
        <w:tc>
          <w:tcPr>
            <w:tcW w:type="dxa" w:w="432"/>
          </w:tcPr>
          <w:p>
            <w:r/>
            <w:r>
              <w:rPr>
                <w:rFonts w:ascii="Arial" w:hAnsi="Arial"/>
                <w:sz w:val="15"/>
              </w:rPr>
              <w:t>H</w:t>
            </w:r>
          </w:p>
        </w:tc>
        <w:tc>
          <w:tcPr>
            <w:tcW w:type="dxa" w:w="504"/>
          </w:tcPr>
          <w:p>
            <w:r/>
            <w:r>
              <w:rPr>
                <w:rFonts w:ascii="Arial" w:hAnsi="Arial"/>
                <w:sz w:val="15"/>
              </w:rPr>
              <w:t>H</w:t>
            </w:r>
          </w:p>
        </w:tc>
        <w:tc>
          <w:tcPr>
            <w:tcW w:type="dxa" w:w="504"/>
          </w:tcPr>
          <w:p>
            <w:r/>
            <w:r>
              <w:rPr>
                <w:rFonts w:ascii="Arial" w:hAnsi="Arial"/>
                <w:sz w:val="15"/>
              </w:rPr>
              <w:t>M</w:t>
            </w:r>
          </w:p>
        </w:tc>
        <w:tc>
          <w:tcPr>
            <w:tcW w:type="dxa" w:w="432"/>
          </w:tcPr>
          <w:p>
            <w:r/>
            <w:r>
              <w:rPr>
                <w:rFonts w:ascii="Arial" w:hAnsi="Arial"/>
                <w:sz w:val="15"/>
              </w:rPr>
              <w:t>H</w:t>
            </w:r>
          </w:p>
        </w:tc>
        <w:tc>
          <w:tcPr>
            <w:tcW w:type="dxa" w:w="432"/>
          </w:tcPr>
          <w:p>
            <w:r/>
            <w:r>
              <w:rPr>
                <w:rFonts w:ascii="Arial" w:hAnsi="Arial"/>
                <w:sz w:val="15"/>
              </w:rPr>
              <w:t>M</w:t>
            </w:r>
          </w:p>
        </w:tc>
        <w:tc>
          <w:tcPr>
            <w:tcW w:type="dxa" w:w="504"/>
          </w:tcPr>
          <w:p>
            <w:r/>
            <w:r>
              <w:rPr>
                <w:rFonts w:ascii="Arial" w:hAnsi="Arial"/>
                <w:sz w:val="15"/>
              </w:rPr>
              <w:t>H</w:t>
            </w:r>
          </w:p>
        </w:tc>
        <w:tc>
          <w:tcPr>
            <w:tcW w:type="dxa" w:w="720"/>
          </w:tcPr>
          <w:p>
            <w:r/>
            <w:r>
              <w:rPr>
                <w:rFonts w:ascii="Arial" w:hAnsi="Arial"/>
                <w:sz w:val="15"/>
              </w:rPr>
              <w:t>H</w:t>
            </w:r>
          </w:p>
        </w:tc>
        <w:tc>
          <w:tcPr>
            <w:tcW w:type="dxa" w:w="576"/>
          </w:tcPr>
          <w:p>
            <w:r/>
            <w:r>
              <w:rPr>
                <w:rFonts w:ascii="Arial" w:hAnsi="Arial"/>
                <w:sz w:val="15"/>
              </w:rPr>
              <w:t>H</w:t>
            </w:r>
          </w:p>
        </w:tc>
        <w:tc>
          <w:tcPr>
            <w:tcW w:type="dxa" w:w="432"/>
          </w:tcPr>
          <w:p>
            <w:r/>
            <w:r>
              <w:rPr>
                <w:rFonts w:ascii="Arial" w:hAnsi="Arial"/>
                <w:sz w:val="15"/>
              </w:rPr>
              <w:t>L</w:t>
            </w:r>
          </w:p>
        </w:tc>
        <w:tc>
          <w:tcPr>
            <w:tcW w:type="dxa" w:w="504"/>
          </w:tcPr>
          <w:p>
            <w:r/>
            <w:r>
              <w:rPr>
                <w:rFonts w:ascii="Arial" w:hAnsi="Arial"/>
                <w:sz w:val="15"/>
              </w:rPr>
              <w:t>M</w:t>
            </w:r>
          </w:p>
        </w:tc>
        <w:tc>
          <w:tcPr>
            <w:tcW w:type="dxa" w:w="720"/>
          </w:tcPr>
          <w:p>
            <w:r/>
            <w:r>
              <w:rPr>
                <w:rFonts w:ascii="Arial" w:hAnsi="Arial"/>
                <w:sz w:val="15"/>
              </w:rPr>
              <w:t>H</w:t>
            </w:r>
          </w:p>
        </w:tc>
        <w:tc>
          <w:tcPr>
            <w:tcW w:type="dxa" w:w="720"/>
          </w:tcPr>
          <w:p>
            <w:r/>
            <w:r>
              <w:rPr>
                <w:rFonts w:ascii="Arial" w:hAnsi="Arial"/>
                <w:sz w:val="15"/>
              </w:rPr>
              <w:t>HIGH</w:t>
            </w:r>
          </w:p>
        </w:tc>
      </w:tr>
      <w:tr>
        <w:tc>
          <w:tcPr>
            <w:tcW w:type="dxa" w:w="1440"/>
            <w:shd w:fill="EDEDF7" w:val="clear"/>
          </w:tcPr>
          <w:p>
            <w:r/>
            <w:r>
              <w:rPr>
                <w:rFonts w:ascii="Arial" w:hAnsi="Arial"/>
                <w:sz w:val="15"/>
              </w:rPr>
              <w:t>61 Education</w:t>
            </w:r>
          </w:p>
        </w:tc>
        <w:tc>
          <w:tcPr>
            <w:tcW w:type="dxa" w:w="504"/>
            <w:shd w:fill="EDEDF7" w:val="clear"/>
          </w:tcPr>
          <w:p>
            <w:r/>
            <w:r>
              <w:rPr>
                <w:rFonts w:ascii="Arial" w:hAnsi="Arial"/>
                <w:sz w:val="15"/>
              </w:rPr>
              <w:t>H</w:t>
            </w:r>
          </w:p>
        </w:tc>
        <w:tc>
          <w:tcPr>
            <w:tcW w:type="dxa" w:w="432"/>
            <w:shd w:fill="EDEDF7" w:val="clear"/>
          </w:tcPr>
          <w:p>
            <w:r/>
            <w:r>
              <w:rPr>
                <w:rFonts w:ascii="Arial" w:hAnsi="Arial"/>
                <w:sz w:val="15"/>
              </w:rPr>
              <w:t>M</w:t>
            </w:r>
          </w:p>
        </w:tc>
        <w:tc>
          <w:tcPr>
            <w:tcW w:type="dxa" w:w="504"/>
            <w:shd w:fill="EDEDF7" w:val="clear"/>
          </w:tcPr>
          <w:p>
            <w:r/>
            <w:r>
              <w:rPr>
                <w:rFonts w:ascii="Arial" w:hAnsi="Arial"/>
                <w:sz w:val="15"/>
              </w:rPr>
              <w:t>H</w:t>
            </w:r>
          </w:p>
        </w:tc>
        <w:tc>
          <w:tcPr>
            <w:tcW w:type="dxa" w:w="504"/>
            <w:shd w:fill="EDEDF7" w:val="clear"/>
          </w:tcPr>
          <w:p>
            <w:r/>
            <w:r>
              <w:rPr>
                <w:rFonts w:ascii="Arial" w:hAnsi="Arial"/>
                <w:sz w:val="15"/>
              </w:rPr>
              <w:t>H</w:t>
            </w:r>
          </w:p>
        </w:tc>
        <w:tc>
          <w:tcPr>
            <w:tcW w:type="dxa" w:w="432"/>
            <w:shd w:fill="EDEDF7" w:val="clear"/>
          </w:tcPr>
          <w:p>
            <w:r/>
            <w:r>
              <w:rPr>
                <w:rFonts w:ascii="Arial" w:hAnsi="Arial"/>
                <w:sz w:val="15"/>
              </w:rPr>
              <w:t>H</w:t>
            </w:r>
          </w:p>
        </w:tc>
        <w:tc>
          <w:tcPr>
            <w:tcW w:type="dxa" w:w="432"/>
            <w:shd w:fill="EDEDF7" w:val="clear"/>
          </w:tcPr>
          <w:p>
            <w:r/>
            <w:r>
              <w:rPr>
                <w:rFonts w:ascii="Arial" w:hAnsi="Arial"/>
                <w:sz w:val="15"/>
              </w:rPr>
              <w:t>H</w:t>
            </w:r>
          </w:p>
        </w:tc>
        <w:tc>
          <w:tcPr>
            <w:tcW w:type="dxa" w:w="504"/>
            <w:shd w:fill="EDEDF7" w:val="clear"/>
          </w:tcPr>
          <w:p>
            <w:r/>
            <w:r>
              <w:rPr>
                <w:rFonts w:ascii="Arial" w:hAnsi="Arial"/>
                <w:sz w:val="15"/>
              </w:rPr>
              <w:t>M</w:t>
            </w:r>
          </w:p>
        </w:tc>
        <w:tc>
          <w:tcPr>
            <w:tcW w:type="dxa" w:w="720"/>
            <w:shd w:fill="EDEDF7" w:val="clear"/>
          </w:tcPr>
          <w:p>
            <w:r/>
            <w:r>
              <w:rPr>
                <w:rFonts w:ascii="Arial" w:hAnsi="Arial"/>
                <w:sz w:val="15"/>
              </w:rPr>
              <w:t>M</w:t>
            </w:r>
          </w:p>
        </w:tc>
        <w:tc>
          <w:tcPr>
            <w:tcW w:type="dxa" w:w="576"/>
            <w:shd w:fill="EDEDF7" w:val="clear"/>
          </w:tcPr>
          <w:p>
            <w:r/>
            <w:r>
              <w:rPr>
                <w:rFonts w:ascii="Arial" w:hAnsi="Arial"/>
                <w:sz w:val="15"/>
              </w:rPr>
              <w:t>H</w:t>
            </w:r>
          </w:p>
        </w:tc>
        <w:tc>
          <w:tcPr>
            <w:tcW w:type="dxa" w:w="432"/>
            <w:shd w:fill="EDEDF7" w:val="clear"/>
          </w:tcPr>
          <w:p>
            <w:r/>
            <w:r>
              <w:rPr>
                <w:rFonts w:ascii="Arial" w:hAnsi="Arial"/>
                <w:sz w:val="15"/>
              </w:rPr>
              <w:t>H</w:t>
            </w:r>
          </w:p>
        </w:tc>
        <w:tc>
          <w:tcPr>
            <w:tcW w:type="dxa" w:w="504"/>
            <w:shd w:fill="EDEDF7" w:val="clear"/>
          </w:tcPr>
          <w:p>
            <w:r/>
            <w:r>
              <w:rPr>
                <w:rFonts w:ascii="Arial" w:hAnsi="Arial"/>
                <w:sz w:val="15"/>
              </w:rPr>
              <w:t>H</w:t>
            </w:r>
          </w:p>
        </w:tc>
        <w:tc>
          <w:tcPr>
            <w:tcW w:type="dxa" w:w="720"/>
            <w:shd w:fill="EDEDF7" w:val="clear"/>
          </w:tcPr>
          <w:p>
            <w:r/>
            <w:r>
              <w:rPr>
                <w:rFonts w:ascii="Arial" w:hAnsi="Arial"/>
                <w:sz w:val="15"/>
              </w:rPr>
              <w:t>H</w:t>
            </w:r>
          </w:p>
        </w:tc>
        <w:tc>
          <w:tcPr>
            <w:tcW w:type="dxa" w:w="720"/>
            <w:shd w:fill="EDEDF7" w:val="clear"/>
          </w:tcPr>
          <w:p>
            <w:r/>
            <w:r>
              <w:rPr>
                <w:rFonts w:ascii="Arial" w:hAnsi="Arial"/>
                <w:sz w:val="15"/>
              </w:rPr>
              <w:t>CRITICAL</w:t>
            </w:r>
          </w:p>
        </w:tc>
      </w:tr>
      <w:tr>
        <w:tc>
          <w:tcPr>
            <w:tcW w:type="dxa" w:w="1440"/>
          </w:tcPr>
          <w:p>
            <w:r/>
            <w:r>
              <w:rPr>
                <w:rFonts w:ascii="Arial" w:hAnsi="Arial"/>
                <w:sz w:val="15"/>
              </w:rPr>
              <w:t>62 Healthcare</w:t>
            </w:r>
          </w:p>
        </w:tc>
        <w:tc>
          <w:tcPr>
            <w:tcW w:type="dxa" w:w="504"/>
          </w:tcPr>
          <w:p>
            <w:r/>
            <w:r>
              <w:rPr>
                <w:rFonts w:ascii="Arial" w:hAnsi="Arial"/>
                <w:sz w:val="15"/>
              </w:rPr>
              <w:t>C</w:t>
            </w:r>
          </w:p>
        </w:tc>
        <w:tc>
          <w:tcPr>
            <w:tcW w:type="dxa" w:w="432"/>
          </w:tcPr>
          <w:p>
            <w:r/>
            <w:r>
              <w:rPr>
                <w:rFonts w:ascii="Arial" w:hAnsi="Arial"/>
                <w:sz w:val="15"/>
              </w:rPr>
              <w:t>C</w:t>
            </w:r>
          </w:p>
        </w:tc>
        <w:tc>
          <w:tcPr>
            <w:tcW w:type="dxa" w:w="504"/>
          </w:tcPr>
          <w:p>
            <w:r/>
            <w:r>
              <w:rPr>
                <w:rFonts w:ascii="Arial" w:hAnsi="Arial"/>
                <w:sz w:val="15"/>
              </w:rPr>
              <w:t>M</w:t>
            </w:r>
          </w:p>
        </w:tc>
        <w:tc>
          <w:tcPr>
            <w:tcW w:type="dxa" w:w="504"/>
          </w:tcPr>
          <w:p>
            <w:r/>
            <w:r>
              <w:rPr>
                <w:rFonts w:ascii="Arial" w:hAnsi="Arial"/>
                <w:sz w:val="15"/>
              </w:rPr>
              <w:t>M</w:t>
            </w:r>
          </w:p>
        </w:tc>
        <w:tc>
          <w:tcPr>
            <w:tcW w:type="dxa" w:w="432"/>
          </w:tcPr>
          <w:p>
            <w:r/>
            <w:r>
              <w:rPr>
                <w:rFonts w:ascii="Arial" w:hAnsi="Arial"/>
                <w:sz w:val="15"/>
              </w:rPr>
              <w:t>H</w:t>
            </w:r>
          </w:p>
        </w:tc>
        <w:tc>
          <w:tcPr>
            <w:tcW w:type="dxa" w:w="432"/>
          </w:tcPr>
          <w:p>
            <w:r/>
            <w:r>
              <w:rPr>
                <w:rFonts w:ascii="Arial" w:hAnsi="Arial"/>
                <w:sz w:val="15"/>
              </w:rPr>
              <w:t>H</w:t>
            </w:r>
          </w:p>
        </w:tc>
        <w:tc>
          <w:tcPr>
            <w:tcW w:type="dxa" w:w="504"/>
          </w:tcPr>
          <w:p>
            <w:r/>
            <w:r>
              <w:rPr>
                <w:rFonts w:ascii="Arial" w:hAnsi="Arial"/>
                <w:sz w:val="15"/>
              </w:rPr>
              <w:t>C</w:t>
            </w:r>
          </w:p>
        </w:tc>
        <w:tc>
          <w:tcPr>
            <w:tcW w:type="dxa" w:w="720"/>
          </w:tcPr>
          <w:p>
            <w:r/>
            <w:r>
              <w:rPr>
                <w:rFonts w:ascii="Arial" w:hAnsi="Arial"/>
                <w:sz w:val="15"/>
              </w:rPr>
              <w:t>H</w:t>
            </w:r>
          </w:p>
        </w:tc>
        <w:tc>
          <w:tcPr>
            <w:tcW w:type="dxa" w:w="576"/>
          </w:tcPr>
          <w:p>
            <w:r/>
            <w:r>
              <w:rPr>
                <w:rFonts w:ascii="Arial" w:hAnsi="Arial"/>
                <w:sz w:val="15"/>
              </w:rPr>
              <w:t>C</w:t>
            </w:r>
          </w:p>
        </w:tc>
        <w:tc>
          <w:tcPr>
            <w:tcW w:type="dxa" w:w="432"/>
          </w:tcPr>
          <w:p>
            <w:r/>
            <w:r>
              <w:rPr>
                <w:rFonts w:ascii="Arial" w:hAnsi="Arial"/>
                <w:sz w:val="15"/>
              </w:rPr>
              <w:t>H</w:t>
            </w:r>
          </w:p>
        </w:tc>
        <w:tc>
          <w:tcPr>
            <w:tcW w:type="dxa" w:w="504"/>
          </w:tcPr>
          <w:p>
            <w:r/>
            <w:r>
              <w:rPr>
                <w:rFonts w:ascii="Arial" w:hAnsi="Arial"/>
                <w:sz w:val="15"/>
              </w:rPr>
              <w:t>H</w:t>
            </w:r>
          </w:p>
        </w:tc>
        <w:tc>
          <w:tcPr>
            <w:tcW w:type="dxa" w:w="720"/>
          </w:tcPr>
          <w:p>
            <w:r/>
            <w:r>
              <w:rPr>
                <w:rFonts w:ascii="Arial" w:hAnsi="Arial"/>
                <w:sz w:val="15"/>
              </w:rPr>
              <w:t>C</w:t>
            </w:r>
          </w:p>
        </w:tc>
        <w:tc>
          <w:tcPr>
            <w:tcW w:type="dxa" w:w="720"/>
          </w:tcPr>
          <w:p>
            <w:r/>
            <w:r>
              <w:rPr>
                <w:rFonts w:ascii="Arial" w:hAnsi="Arial"/>
                <w:sz w:val="15"/>
              </w:rPr>
              <w:t>CRITICAL</w:t>
            </w:r>
          </w:p>
        </w:tc>
      </w:tr>
      <w:tr>
        <w:tc>
          <w:tcPr>
            <w:tcW w:type="dxa" w:w="1440"/>
            <w:shd w:fill="EDEDF7" w:val="clear"/>
          </w:tcPr>
          <w:p>
            <w:r/>
            <w:r>
              <w:rPr>
                <w:rFonts w:ascii="Arial" w:hAnsi="Arial"/>
                <w:sz w:val="15"/>
              </w:rPr>
              <w:t>71 Arts/Entertainment</w:t>
            </w:r>
          </w:p>
        </w:tc>
        <w:tc>
          <w:tcPr>
            <w:tcW w:type="dxa" w:w="504"/>
            <w:shd w:fill="EDEDF7" w:val="clear"/>
          </w:tcPr>
          <w:p>
            <w:r/>
            <w:r>
              <w:rPr>
                <w:rFonts w:ascii="Arial" w:hAnsi="Arial"/>
                <w:sz w:val="15"/>
              </w:rPr>
              <w:t>M</w:t>
            </w:r>
          </w:p>
        </w:tc>
        <w:tc>
          <w:tcPr>
            <w:tcW w:type="dxa" w:w="432"/>
            <w:shd w:fill="EDEDF7" w:val="clear"/>
          </w:tcPr>
          <w:p>
            <w:r/>
            <w:r>
              <w:rPr>
                <w:rFonts w:ascii="Arial" w:hAnsi="Arial"/>
                <w:sz w:val="15"/>
              </w:rPr>
              <w:t>H</w:t>
            </w:r>
          </w:p>
        </w:tc>
        <w:tc>
          <w:tcPr>
            <w:tcW w:type="dxa" w:w="504"/>
            <w:shd w:fill="EDEDF7" w:val="clear"/>
          </w:tcPr>
          <w:p>
            <w:r/>
            <w:r>
              <w:rPr>
                <w:rFonts w:ascii="Arial" w:hAnsi="Arial"/>
                <w:sz w:val="15"/>
              </w:rPr>
              <w:t>H</w:t>
            </w:r>
          </w:p>
        </w:tc>
        <w:tc>
          <w:tcPr>
            <w:tcW w:type="dxa" w:w="504"/>
            <w:shd w:fill="EDEDF7" w:val="clear"/>
          </w:tcPr>
          <w:p>
            <w:r/>
            <w:r>
              <w:rPr>
                <w:rFonts w:ascii="Arial" w:hAnsi="Arial"/>
                <w:sz w:val="15"/>
              </w:rPr>
              <w:t>H</w:t>
            </w:r>
          </w:p>
        </w:tc>
        <w:tc>
          <w:tcPr>
            <w:tcW w:type="dxa" w:w="432"/>
            <w:shd w:fill="EDEDF7" w:val="clear"/>
          </w:tcPr>
          <w:p>
            <w:r/>
            <w:r>
              <w:rPr>
                <w:rFonts w:ascii="Arial" w:hAnsi="Arial"/>
                <w:sz w:val="15"/>
              </w:rPr>
              <w:t>M</w:t>
            </w:r>
          </w:p>
        </w:tc>
        <w:tc>
          <w:tcPr>
            <w:tcW w:type="dxa" w:w="432"/>
            <w:shd w:fill="EDEDF7" w:val="clear"/>
          </w:tcPr>
          <w:p>
            <w:r/>
            <w:r>
              <w:rPr>
                <w:rFonts w:ascii="Arial" w:hAnsi="Arial"/>
                <w:sz w:val="15"/>
              </w:rPr>
              <w:t>M</w:t>
            </w:r>
          </w:p>
        </w:tc>
        <w:tc>
          <w:tcPr>
            <w:tcW w:type="dxa" w:w="504"/>
            <w:shd w:fill="EDEDF7" w:val="clear"/>
          </w:tcPr>
          <w:p>
            <w:r/>
            <w:r>
              <w:rPr>
                <w:rFonts w:ascii="Arial" w:hAnsi="Arial"/>
                <w:sz w:val="15"/>
              </w:rPr>
              <w:t>H</w:t>
            </w:r>
          </w:p>
        </w:tc>
        <w:tc>
          <w:tcPr>
            <w:tcW w:type="dxa" w:w="720"/>
            <w:shd w:fill="EDEDF7" w:val="clear"/>
          </w:tcPr>
          <w:p>
            <w:r/>
            <w:r>
              <w:rPr>
                <w:rFonts w:ascii="Arial" w:hAnsi="Arial"/>
                <w:sz w:val="15"/>
              </w:rPr>
              <w:t>M</w:t>
            </w:r>
          </w:p>
        </w:tc>
        <w:tc>
          <w:tcPr>
            <w:tcW w:type="dxa" w:w="576"/>
            <w:shd w:fill="EDEDF7" w:val="clear"/>
          </w:tcPr>
          <w:p>
            <w:r/>
            <w:r>
              <w:rPr>
                <w:rFonts w:ascii="Arial" w:hAnsi="Arial"/>
                <w:sz w:val="15"/>
              </w:rPr>
              <w:t>H</w:t>
            </w:r>
          </w:p>
        </w:tc>
        <w:tc>
          <w:tcPr>
            <w:tcW w:type="dxa" w:w="432"/>
            <w:shd w:fill="EDEDF7" w:val="clear"/>
          </w:tcPr>
          <w:p>
            <w:r/>
            <w:r>
              <w:rPr>
                <w:rFonts w:ascii="Arial" w:hAnsi="Arial"/>
                <w:sz w:val="15"/>
              </w:rPr>
              <w:t>M</w:t>
            </w:r>
          </w:p>
        </w:tc>
        <w:tc>
          <w:tcPr>
            <w:tcW w:type="dxa" w:w="504"/>
            <w:shd w:fill="EDEDF7" w:val="clear"/>
          </w:tcPr>
          <w:p>
            <w:r/>
            <w:r>
              <w:rPr>
                <w:rFonts w:ascii="Arial" w:hAnsi="Arial"/>
                <w:sz w:val="15"/>
              </w:rPr>
              <w:t>M</w:t>
            </w:r>
          </w:p>
        </w:tc>
        <w:tc>
          <w:tcPr>
            <w:tcW w:type="dxa" w:w="720"/>
            <w:shd w:fill="EDEDF7" w:val="clear"/>
          </w:tcPr>
          <w:p>
            <w:r/>
            <w:r>
              <w:rPr>
                <w:rFonts w:ascii="Arial" w:hAnsi="Arial"/>
                <w:sz w:val="15"/>
              </w:rPr>
              <w:t>M</w:t>
            </w:r>
          </w:p>
        </w:tc>
        <w:tc>
          <w:tcPr>
            <w:tcW w:type="dxa" w:w="720"/>
            <w:shd w:fill="EDEDF7" w:val="clear"/>
          </w:tcPr>
          <w:p>
            <w:r/>
            <w:r>
              <w:rPr>
                <w:rFonts w:ascii="Arial" w:hAnsi="Arial"/>
                <w:sz w:val="15"/>
              </w:rPr>
              <w:t>MEDIUM</w:t>
            </w:r>
          </w:p>
        </w:tc>
      </w:tr>
      <w:tr>
        <w:tc>
          <w:tcPr>
            <w:tcW w:type="dxa" w:w="1440"/>
          </w:tcPr>
          <w:p>
            <w:r/>
            <w:r>
              <w:rPr>
                <w:rFonts w:ascii="Arial" w:hAnsi="Arial"/>
                <w:sz w:val="15"/>
              </w:rPr>
              <w:t>72 Accommodation/Food</w:t>
            </w:r>
          </w:p>
        </w:tc>
        <w:tc>
          <w:tcPr>
            <w:tcW w:type="dxa" w:w="504"/>
          </w:tcPr>
          <w:p>
            <w:r/>
            <w:r>
              <w:rPr>
                <w:rFonts w:ascii="Arial" w:hAnsi="Arial"/>
                <w:sz w:val="15"/>
              </w:rPr>
              <w:t>H</w:t>
            </w:r>
          </w:p>
        </w:tc>
        <w:tc>
          <w:tcPr>
            <w:tcW w:type="dxa" w:w="432"/>
          </w:tcPr>
          <w:p>
            <w:r/>
            <w:r>
              <w:rPr>
                <w:rFonts w:ascii="Arial" w:hAnsi="Arial"/>
                <w:sz w:val="15"/>
              </w:rPr>
              <w:t>H</w:t>
            </w:r>
          </w:p>
        </w:tc>
        <w:tc>
          <w:tcPr>
            <w:tcW w:type="dxa" w:w="504"/>
          </w:tcPr>
          <w:p>
            <w:r/>
            <w:r>
              <w:rPr>
                <w:rFonts w:ascii="Arial" w:hAnsi="Arial"/>
                <w:sz w:val="15"/>
              </w:rPr>
              <w:t>H</w:t>
            </w:r>
          </w:p>
        </w:tc>
        <w:tc>
          <w:tcPr>
            <w:tcW w:type="dxa" w:w="504"/>
          </w:tcPr>
          <w:p>
            <w:r/>
            <w:r>
              <w:rPr>
                <w:rFonts w:ascii="Arial" w:hAnsi="Arial"/>
                <w:sz w:val="15"/>
              </w:rPr>
              <w:t>H</w:t>
            </w:r>
          </w:p>
        </w:tc>
        <w:tc>
          <w:tcPr>
            <w:tcW w:type="dxa" w:w="432"/>
          </w:tcPr>
          <w:p>
            <w:r/>
            <w:r>
              <w:rPr>
                <w:rFonts w:ascii="Arial" w:hAnsi="Arial"/>
                <w:sz w:val="15"/>
              </w:rPr>
              <w:t>H</w:t>
            </w:r>
          </w:p>
        </w:tc>
        <w:tc>
          <w:tcPr>
            <w:tcW w:type="dxa" w:w="432"/>
          </w:tcPr>
          <w:p>
            <w:r/>
            <w:r>
              <w:rPr>
                <w:rFonts w:ascii="Arial" w:hAnsi="Arial"/>
                <w:sz w:val="15"/>
              </w:rPr>
              <w:t>M</w:t>
            </w:r>
          </w:p>
        </w:tc>
        <w:tc>
          <w:tcPr>
            <w:tcW w:type="dxa" w:w="504"/>
          </w:tcPr>
          <w:p>
            <w:r/>
            <w:r>
              <w:rPr>
                <w:rFonts w:ascii="Arial" w:hAnsi="Arial"/>
                <w:sz w:val="15"/>
              </w:rPr>
              <w:t>M</w:t>
            </w:r>
          </w:p>
        </w:tc>
        <w:tc>
          <w:tcPr>
            <w:tcW w:type="dxa" w:w="720"/>
          </w:tcPr>
          <w:p>
            <w:r/>
            <w:r>
              <w:rPr>
                <w:rFonts w:ascii="Arial" w:hAnsi="Arial"/>
                <w:sz w:val="15"/>
              </w:rPr>
              <w:t>H</w:t>
            </w:r>
          </w:p>
        </w:tc>
        <w:tc>
          <w:tcPr>
            <w:tcW w:type="dxa" w:w="576"/>
          </w:tcPr>
          <w:p>
            <w:r/>
            <w:r>
              <w:rPr>
                <w:rFonts w:ascii="Arial" w:hAnsi="Arial"/>
                <w:sz w:val="15"/>
              </w:rPr>
              <w:t>C</w:t>
            </w:r>
          </w:p>
        </w:tc>
        <w:tc>
          <w:tcPr>
            <w:tcW w:type="dxa" w:w="432"/>
          </w:tcPr>
          <w:p>
            <w:r/>
            <w:r>
              <w:rPr>
                <w:rFonts w:ascii="Arial" w:hAnsi="Arial"/>
                <w:sz w:val="15"/>
              </w:rPr>
              <w:t>L</w:t>
            </w:r>
          </w:p>
        </w:tc>
        <w:tc>
          <w:tcPr>
            <w:tcW w:type="dxa" w:w="504"/>
          </w:tcPr>
          <w:p>
            <w:r/>
            <w:r>
              <w:rPr>
                <w:rFonts w:ascii="Arial" w:hAnsi="Arial"/>
                <w:sz w:val="15"/>
              </w:rPr>
              <w:t>M</w:t>
            </w:r>
          </w:p>
        </w:tc>
        <w:tc>
          <w:tcPr>
            <w:tcW w:type="dxa" w:w="720"/>
          </w:tcPr>
          <w:p>
            <w:r/>
            <w:r>
              <w:rPr>
                <w:rFonts w:ascii="Arial" w:hAnsi="Arial"/>
                <w:sz w:val="15"/>
              </w:rPr>
              <w:t>M</w:t>
            </w:r>
          </w:p>
        </w:tc>
        <w:tc>
          <w:tcPr>
            <w:tcW w:type="dxa" w:w="720"/>
          </w:tcPr>
          <w:p>
            <w:r/>
            <w:r>
              <w:rPr>
                <w:rFonts w:ascii="Arial" w:hAnsi="Arial"/>
                <w:sz w:val="15"/>
              </w:rPr>
              <w:t>HIGH</w:t>
            </w:r>
          </w:p>
        </w:tc>
      </w:tr>
      <w:tr>
        <w:tc>
          <w:tcPr>
            <w:tcW w:type="dxa" w:w="1440"/>
            <w:shd w:fill="EDEDF7" w:val="clear"/>
          </w:tcPr>
          <w:p>
            <w:r/>
            <w:r>
              <w:rPr>
                <w:rFonts w:ascii="Arial" w:hAnsi="Arial"/>
                <w:sz w:val="15"/>
              </w:rPr>
              <w:t>81 Other Services</w:t>
            </w:r>
          </w:p>
        </w:tc>
        <w:tc>
          <w:tcPr>
            <w:tcW w:type="dxa" w:w="504"/>
            <w:shd w:fill="EDEDF7" w:val="clear"/>
          </w:tcPr>
          <w:p>
            <w:r/>
            <w:r>
              <w:rPr>
                <w:rFonts w:ascii="Arial" w:hAnsi="Arial"/>
                <w:sz w:val="15"/>
              </w:rPr>
              <w:t>M</w:t>
            </w:r>
          </w:p>
        </w:tc>
        <w:tc>
          <w:tcPr>
            <w:tcW w:type="dxa" w:w="432"/>
            <w:shd w:fill="EDEDF7" w:val="clear"/>
          </w:tcPr>
          <w:p>
            <w:r/>
            <w:r>
              <w:rPr>
                <w:rFonts w:ascii="Arial" w:hAnsi="Arial"/>
                <w:sz w:val="15"/>
              </w:rPr>
              <w:t>H</w:t>
            </w:r>
          </w:p>
        </w:tc>
        <w:tc>
          <w:tcPr>
            <w:tcW w:type="dxa" w:w="504"/>
            <w:shd w:fill="EDEDF7" w:val="clear"/>
          </w:tcPr>
          <w:p>
            <w:r/>
            <w:r>
              <w:rPr>
                <w:rFonts w:ascii="Arial" w:hAnsi="Arial"/>
                <w:sz w:val="15"/>
              </w:rPr>
              <w:t>H</w:t>
            </w:r>
          </w:p>
        </w:tc>
        <w:tc>
          <w:tcPr>
            <w:tcW w:type="dxa" w:w="504"/>
            <w:shd w:fill="EDEDF7" w:val="clear"/>
          </w:tcPr>
          <w:p>
            <w:r/>
            <w:r>
              <w:rPr>
                <w:rFonts w:ascii="Arial" w:hAnsi="Arial"/>
                <w:sz w:val="15"/>
              </w:rPr>
              <w:t>M</w:t>
            </w:r>
          </w:p>
        </w:tc>
        <w:tc>
          <w:tcPr>
            <w:tcW w:type="dxa" w:w="432"/>
            <w:shd w:fill="EDEDF7" w:val="clear"/>
          </w:tcPr>
          <w:p>
            <w:r/>
            <w:r>
              <w:rPr>
                <w:rFonts w:ascii="Arial" w:hAnsi="Arial"/>
                <w:sz w:val="15"/>
              </w:rPr>
              <w:t>M</w:t>
            </w:r>
          </w:p>
        </w:tc>
        <w:tc>
          <w:tcPr>
            <w:tcW w:type="dxa" w:w="432"/>
            <w:shd w:fill="EDEDF7" w:val="clear"/>
          </w:tcPr>
          <w:p>
            <w:r/>
            <w:r>
              <w:rPr>
                <w:rFonts w:ascii="Arial" w:hAnsi="Arial"/>
                <w:sz w:val="15"/>
              </w:rPr>
              <w:t>M</w:t>
            </w:r>
          </w:p>
        </w:tc>
        <w:tc>
          <w:tcPr>
            <w:tcW w:type="dxa" w:w="504"/>
            <w:shd w:fill="EDEDF7" w:val="clear"/>
          </w:tcPr>
          <w:p>
            <w:r/>
            <w:r>
              <w:rPr>
                <w:rFonts w:ascii="Arial" w:hAnsi="Arial"/>
                <w:sz w:val="15"/>
              </w:rPr>
              <w:t>M</w:t>
            </w:r>
          </w:p>
        </w:tc>
        <w:tc>
          <w:tcPr>
            <w:tcW w:type="dxa" w:w="720"/>
            <w:shd w:fill="EDEDF7" w:val="clear"/>
          </w:tcPr>
          <w:p>
            <w:r/>
            <w:r>
              <w:rPr>
                <w:rFonts w:ascii="Arial" w:hAnsi="Arial"/>
                <w:sz w:val="15"/>
              </w:rPr>
              <w:t>M</w:t>
            </w:r>
          </w:p>
        </w:tc>
        <w:tc>
          <w:tcPr>
            <w:tcW w:type="dxa" w:w="576"/>
            <w:shd w:fill="EDEDF7" w:val="clear"/>
          </w:tcPr>
          <w:p>
            <w:r/>
            <w:r>
              <w:rPr>
                <w:rFonts w:ascii="Arial" w:hAnsi="Arial"/>
                <w:sz w:val="15"/>
              </w:rPr>
              <w:t>H</w:t>
            </w:r>
          </w:p>
        </w:tc>
        <w:tc>
          <w:tcPr>
            <w:tcW w:type="dxa" w:w="432"/>
            <w:shd w:fill="EDEDF7" w:val="clear"/>
          </w:tcPr>
          <w:p>
            <w:r/>
            <w:r>
              <w:rPr>
                <w:rFonts w:ascii="Arial" w:hAnsi="Arial"/>
                <w:sz w:val="15"/>
              </w:rPr>
              <w:t>L</w:t>
            </w:r>
          </w:p>
        </w:tc>
        <w:tc>
          <w:tcPr>
            <w:tcW w:type="dxa" w:w="504"/>
            <w:shd w:fill="EDEDF7" w:val="clear"/>
          </w:tcPr>
          <w:p>
            <w:r/>
            <w:r>
              <w:rPr>
                <w:rFonts w:ascii="Arial" w:hAnsi="Arial"/>
                <w:sz w:val="15"/>
              </w:rPr>
              <w:t>L</w:t>
            </w:r>
          </w:p>
        </w:tc>
        <w:tc>
          <w:tcPr>
            <w:tcW w:type="dxa" w:w="720"/>
            <w:shd w:fill="EDEDF7" w:val="clear"/>
          </w:tcPr>
          <w:p>
            <w:r/>
            <w:r>
              <w:rPr>
                <w:rFonts w:ascii="Arial" w:hAnsi="Arial"/>
                <w:sz w:val="15"/>
              </w:rPr>
              <w:t>M</w:t>
            </w:r>
          </w:p>
        </w:tc>
        <w:tc>
          <w:tcPr>
            <w:tcW w:type="dxa" w:w="720"/>
            <w:shd w:fill="EDEDF7" w:val="clear"/>
          </w:tcPr>
          <w:p>
            <w:r/>
            <w:r>
              <w:rPr>
                <w:rFonts w:ascii="Arial" w:hAnsi="Arial"/>
                <w:sz w:val="15"/>
              </w:rPr>
              <w:t>MEDIUM</w:t>
            </w:r>
          </w:p>
        </w:tc>
      </w:tr>
      <w:tr>
        <w:tc>
          <w:tcPr>
            <w:tcW w:type="dxa" w:w="1440"/>
          </w:tcPr>
          <w:p>
            <w:r/>
            <w:r>
              <w:rPr>
                <w:rFonts w:ascii="Arial" w:hAnsi="Arial"/>
                <w:sz w:val="15"/>
              </w:rPr>
              <w:t>92 Public Admin</w:t>
            </w:r>
          </w:p>
        </w:tc>
        <w:tc>
          <w:tcPr>
            <w:tcW w:type="dxa" w:w="504"/>
          </w:tcPr>
          <w:p>
            <w:r/>
            <w:r>
              <w:rPr>
                <w:rFonts w:ascii="Arial" w:hAnsi="Arial"/>
                <w:sz w:val="15"/>
              </w:rPr>
              <w:t>H</w:t>
            </w:r>
          </w:p>
        </w:tc>
        <w:tc>
          <w:tcPr>
            <w:tcW w:type="dxa" w:w="432"/>
          </w:tcPr>
          <w:p>
            <w:r/>
            <w:r>
              <w:rPr>
                <w:rFonts w:ascii="Arial" w:hAnsi="Arial"/>
                <w:sz w:val="15"/>
              </w:rPr>
              <w:t>H</w:t>
            </w:r>
          </w:p>
        </w:tc>
        <w:tc>
          <w:tcPr>
            <w:tcW w:type="dxa" w:w="504"/>
          </w:tcPr>
          <w:p>
            <w:r/>
            <w:r>
              <w:rPr>
                <w:rFonts w:ascii="Arial" w:hAnsi="Arial"/>
                <w:sz w:val="15"/>
              </w:rPr>
              <w:t>L</w:t>
            </w:r>
          </w:p>
        </w:tc>
        <w:tc>
          <w:tcPr>
            <w:tcW w:type="dxa" w:w="504"/>
          </w:tcPr>
          <w:p>
            <w:r/>
            <w:r>
              <w:rPr>
                <w:rFonts w:ascii="Arial" w:hAnsi="Arial"/>
                <w:sz w:val="15"/>
              </w:rPr>
              <w:t>L</w:t>
            </w:r>
          </w:p>
        </w:tc>
        <w:tc>
          <w:tcPr>
            <w:tcW w:type="dxa" w:w="432"/>
          </w:tcPr>
          <w:p>
            <w:r/>
            <w:r>
              <w:rPr>
                <w:rFonts w:ascii="Arial" w:hAnsi="Arial"/>
                <w:sz w:val="15"/>
              </w:rPr>
              <w:t>H</w:t>
            </w:r>
          </w:p>
        </w:tc>
        <w:tc>
          <w:tcPr>
            <w:tcW w:type="dxa" w:w="432"/>
          </w:tcPr>
          <w:p>
            <w:r/>
            <w:r>
              <w:rPr>
                <w:rFonts w:ascii="Arial" w:hAnsi="Arial"/>
                <w:sz w:val="15"/>
              </w:rPr>
              <w:t>H</w:t>
            </w:r>
          </w:p>
        </w:tc>
        <w:tc>
          <w:tcPr>
            <w:tcW w:type="dxa" w:w="504"/>
          </w:tcPr>
          <w:p>
            <w:r/>
            <w:r>
              <w:rPr>
                <w:rFonts w:ascii="Arial" w:hAnsi="Arial"/>
                <w:sz w:val="15"/>
              </w:rPr>
              <w:t>C</w:t>
            </w:r>
          </w:p>
        </w:tc>
        <w:tc>
          <w:tcPr>
            <w:tcW w:type="dxa" w:w="720"/>
          </w:tcPr>
          <w:p>
            <w:r/>
            <w:r>
              <w:rPr>
                <w:rFonts w:ascii="Arial" w:hAnsi="Arial"/>
                <w:sz w:val="15"/>
              </w:rPr>
              <w:t>H</w:t>
            </w:r>
          </w:p>
        </w:tc>
        <w:tc>
          <w:tcPr>
            <w:tcW w:type="dxa" w:w="576"/>
          </w:tcPr>
          <w:p>
            <w:r/>
            <w:r>
              <w:rPr>
                <w:rFonts w:ascii="Arial" w:hAnsi="Arial"/>
                <w:sz w:val="15"/>
              </w:rPr>
              <w:t>C</w:t>
            </w:r>
          </w:p>
        </w:tc>
        <w:tc>
          <w:tcPr>
            <w:tcW w:type="dxa" w:w="432"/>
          </w:tcPr>
          <w:p>
            <w:r/>
            <w:r>
              <w:rPr>
                <w:rFonts w:ascii="Arial" w:hAnsi="Arial"/>
                <w:sz w:val="15"/>
              </w:rPr>
              <w:t>M</w:t>
            </w:r>
          </w:p>
        </w:tc>
        <w:tc>
          <w:tcPr>
            <w:tcW w:type="dxa" w:w="504"/>
          </w:tcPr>
          <w:p>
            <w:r/>
            <w:r>
              <w:rPr>
                <w:rFonts w:ascii="Arial" w:hAnsi="Arial"/>
                <w:sz w:val="15"/>
              </w:rPr>
              <w:t>H</w:t>
            </w:r>
          </w:p>
        </w:tc>
        <w:tc>
          <w:tcPr>
            <w:tcW w:type="dxa" w:w="720"/>
          </w:tcPr>
          <w:p>
            <w:r/>
            <w:r>
              <w:rPr>
                <w:rFonts w:ascii="Arial" w:hAnsi="Arial"/>
                <w:sz w:val="15"/>
              </w:rPr>
              <w:t>C</w:t>
            </w:r>
          </w:p>
        </w:tc>
        <w:tc>
          <w:tcPr>
            <w:tcW w:type="dxa" w:w="720"/>
          </w:tcPr>
          <w:p>
            <w:r/>
            <w:r>
              <w:rPr>
                <w:rFonts w:ascii="Arial" w:hAnsi="Arial"/>
                <w:sz w:val="15"/>
              </w:rPr>
              <w:t>CRITICAL</w:t>
            </w:r>
          </w:p>
        </w:tc>
      </w:tr>
    </w:tbl>
    <w:p>
      <w:pPr>
        <w:spacing w:after="40"/>
      </w:pPr>
      <w:r>
        <w:rPr>
          <w:rFonts w:ascii="Arial" w:hAnsi="Arial"/>
          <w:b w:val="0"/>
          <w:sz w:val="19"/>
        </w:rPr>
      </w:r>
    </w:p>
    <w:p>
      <w:pPr>
        <w:spacing w:after="60"/>
      </w:pPr>
      <w:r>
        <w:rPr>
          <w:rFonts w:ascii="Arial" w:hAnsi="Arial"/>
          <w:b w:val="0"/>
          <w:color w:val="666666"/>
          <w:sz w:val="16"/>
        </w:rPr>
        <w:t>L=Low (1-5 AINEs), M=Medium (5-20), H=High (20-50), C=Critical (50-200+ AINEs per sector-function intersection)</w:t>
      </w:r>
    </w:p>
    <w:p>
      <w:r>
        <w:br w:type="page"/>
      </w:r>
    </w:p>
    <w:p>
      <w:pPr>
        <w:pStyle w:val="Heading1"/>
      </w:pPr>
      <w:r>
        <w:t>7. Gameboards: Every Keyword Is a Platform Category</w:t>
      </w:r>
    </w:p>
    <w:p>
      <w:pPr>
        <w:spacing w:after="60"/>
      </w:pPr>
      <w:r>
        <w:rPr>
          <w:rFonts w:ascii="Arial" w:hAnsi="Arial"/>
          <w:b w:val="0"/>
          <w:sz w:val="20"/>
        </w:rPr>
        <w:t>The user identified these keywords — entropy, bottlenecks, analogous system structures, systemic risks, pain points, challenges, obstacles, ecosystems, marketplaces — as platform generators. Each keyword spawns a distinct gameboard (category of platforms) that applies universally across all codes.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008"/>
            <w:shd w:fill="0D0D2B" w:val="clear"/>
          </w:tcPr>
          <w:p>
            <w:pPr>
              <w:jc w:val="center"/>
            </w:pPr>
            <w:r/>
            <w:r>
              <w:rPr>
                <w:rFonts w:ascii="Arial" w:hAnsi="Arial"/>
                <w:b/>
                <w:color w:val="FFFFFF"/>
                <w:sz w:val="16"/>
              </w:rPr>
              <w:t>Gameboard Keyword</w:t>
            </w:r>
          </w:p>
        </w:tc>
        <w:tc>
          <w:tcPr>
            <w:tcW w:type="dxa" w:w="1152"/>
            <w:shd w:fill="0D0D2B" w:val="clear"/>
          </w:tcPr>
          <w:p>
            <w:pPr>
              <w:jc w:val="center"/>
            </w:pPr>
            <w:r/>
            <w:r>
              <w:rPr>
                <w:rFonts w:ascii="Arial" w:hAnsi="Arial"/>
                <w:b/>
                <w:color w:val="FFFFFF"/>
                <w:sz w:val="16"/>
              </w:rPr>
              <w:t>Platform Category</w:t>
            </w:r>
          </w:p>
        </w:tc>
        <w:tc>
          <w:tcPr>
            <w:tcW w:type="dxa" w:w="1440"/>
            <w:shd w:fill="0D0D2B" w:val="clear"/>
          </w:tcPr>
          <w:p>
            <w:pPr>
              <w:jc w:val="center"/>
            </w:pPr>
            <w:r/>
            <w:r>
              <w:rPr>
                <w:rFonts w:ascii="Arial" w:hAnsi="Arial"/>
                <w:b/>
                <w:color w:val="FFFFFF"/>
                <w:sz w:val="16"/>
              </w:rPr>
              <w:t>AINE Type Generated</w:t>
            </w:r>
          </w:p>
        </w:tc>
        <w:tc>
          <w:tcPr>
            <w:tcW w:type="dxa" w:w="1440"/>
            <w:shd w:fill="0D0D2B" w:val="clear"/>
          </w:tcPr>
          <w:p>
            <w:pPr>
              <w:jc w:val="center"/>
            </w:pPr>
            <w:r/>
            <w:r>
              <w:rPr>
                <w:rFonts w:ascii="Arial" w:hAnsi="Arial"/>
                <w:b/>
                <w:color w:val="FFFFFF"/>
                <w:sz w:val="16"/>
              </w:rPr>
              <w:t>Marketplace Interface</w:t>
            </w:r>
          </w:p>
        </w:tc>
        <w:tc>
          <w:tcPr>
            <w:tcW w:type="dxa" w:w="1008"/>
            <w:shd w:fill="0D0D2B" w:val="clear"/>
          </w:tcPr>
          <w:p>
            <w:pPr>
              <w:jc w:val="center"/>
            </w:pPr>
            <w:r/>
            <w:r>
              <w:rPr>
                <w:rFonts w:ascii="Arial" w:hAnsi="Arial"/>
                <w:b/>
                <w:color w:val="FFFFFF"/>
                <w:sz w:val="16"/>
              </w:rPr>
              <w:t>Revenue per Code</w:t>
            </w:r>
          </w:p>
        </w:tc>
        <w:tc>
          <w:tcPr>
            <w:tcW w:type="dxa" w:w="1008"/>
            <w:shd w:fill="0D0D2B" w:val="clear"/>
          </w:tcPr>
          <w:p>
            <w:pPr>
              <w:jc w:val="center"/>
            </w:pPr>
            <w:r/>
            <w:r>
              <w:rPr>
                <w:rFonts w:ascii="Arial" w:hAnsi="Arial"/>
                <w:b/>
                <w:color w:val="FFFFFF"/>
                <w:sz w:val="16"/>
              </w:rPr>
              <w:t>Total Market Size</w:t>
            </w:r>
          </w:p>
        </w:tc>
      </w:tr>
      <w:tr>
        <w:tc>
          <w:tcPr>
            <w:tcW w:type="dxa" w:w="1008"/>
            <w:shd w:fill="EDEDF7" w:val="clear"/>
          </w:tcPr>
          <w:p>
            <w:r/>
            <w:r>
              <w:rPr>
                <w:rFonts w:ascii="Arial" w:hAnsi="Arial"/>
                <w:sz w:val="15"/>
              </w:rPr>
              <w:t>Entropy</w:t>
            </w:r>
          </w:p>
        </w:tc>
        <w:tc>
          <w:tcPr>
            <w:tcW w:type="dxa" w:w="1152"/>
            <w:shd w:fill="EDEDF7" w:val="clear"/>
          </w:tcPr>
          <w:p>
            <w:r/>
            <w:r>
              <w:rPr>
                <w:rFonts w:ascii="Arial" w:hAnsi="Arial"/>
                <w:sz w:val="15"/>
              </w:rPr>
              <w:t>Entropy Diagnostic Platforms</w:t>
            </w:r>
          </w:p>
        </w:tc>
        <w:tc>
          <w:tcPr>
            <w:tcW w:type="dxa" w:w="1440"/>
            <w:shd w:fill="EDEDF7" w:val="clear"/>
          </w:tcPr>
          <w:p>
            <w:r/>
            <w:r>
              <w:rPr>
                <w:rFonts w:ascii="Arial" w:hAnsi="Arial"/>
                <w:sz w:val="15"/>
              </w:rPr>
              <w:t>Sensors that detect and quantify disorder in any process in any industry</w:t>
            </w:r>
          </w:p>
        </w:tc>
        <w:tc>
          <w:tcPr>
            <w:tcW w:type="dxa" w:w="1440"/>
            <w:shd w:fill="EDEDF7" w:val="clear"/>
          </w:tcPr>
          <w:p>
            <w:r/>
            <w:r>
              <w:rPr>
                <w:rFonts w:ascii="Arial" w:hAnsi="Arial"/>
                <w:sz w:val="15"/>
              </w:rPr>
              <w:t>Diagnostic Marketplace: buy/sell entropy assessments</w:t>
            </w:r>
          </w:p>
        </w:tc>
        <w:tc>
          <w:tcPr>
            <w:tcW w:type="dxa" w:w="1008"/>
            <w:shd w:fill="EDEDF7" w:val="clear"/>
          </w:tcPr>
          <w:p>
            <w:r/>
            <w:r>
              <w:rPr>
                <w:rFonts w:ascii="Arial" w:hAnsi="Arial"/>
                <w:sz w:val="15"/>
              </w:rPr>
              <w:t>$500-5K/mo per subscriber</w:t>
            </w:r>
          </w:p>
        </w:tc>
        <w:tc>
          <w:tcPr>
            <w:tcW w:type="dxa" w:w="1008"/>
            <w:shd w:fill="EDEDF7" w:val="clear"/>
          </w:tcPr>
          <w:p>
            <w:r/>
            <w:r>
              <w:rPr>
                <w:rFonts w:ascii="Arial" w:hAnsi="Arial"/>
                <w:sz w:val="15"/>
              </w:rPr>
              <w:t>$50B+ (management consulting TAM)</w:t>
            </w:r>
          </w:p>
        </w:tc>
      </w:tr>
      <w:tr>
        <w:tc>
          <w:tcPr>
            <w:tcW w:type="dxa" w:w="1008"/>
          </w:tcPr>
          <w:p>
            <w:r/>
            <w:r>
              <w:rPr>
                <w:rFonts w:ascii="Arial" w:hAnsi="Arial"/>
                <w:sz w:val="15"/>
              </w:rPr>
              <w:t>Bottlenecks</w:t>
            </w:r>
          </w:p>
        </w:tc>
        <w:tc>
          <w:tcPr>
            <w:tcW w:type="dxa" w:w="1152"/>
          </w:tcPr>
          <w:p>
            <w:r/>
            <w:r>
              <w:rPr>
                <w:rFonts w:ascii="Arial" w:hAnsi="Arial"/>
                <w:sz w:val="15"/>
              </w:rPr>
              <w:t>Bottleneck Resolution Platforms</w:t>
            </w:r>
          </w:p>
        </w:tc>
        <w:tc>
          <w:tcPr>
            <w:tcW w:type="dxa" w:w="1440"/>
          </w:tcPr>
          <w:p>
            <w:r/>
            <w:r>
              <w:rPr>
                <w:rFonts w:ascii="Arial" w:hAnsi="Arial"/>
                <w:sz w:val="15"/>
              </w:rPr>
              <w:t>Optimizers that identify and break capacity constraints</w:t>
            </w:r>
          </w:p>
        </w:tc>
        <w:tc>
          <w:tcPr>
            <w:tcW w:type="dxa" w:w="1440"/>
          </w:tcPr>
          <w:p>
            <w:r/>
            <w:r>
              <w:rPr>
                <w:rFonts w:ascii="Arial" w:hAnsi="Arial"/>
                <w:sz w:val="15"/>
              </w:rPr>
              <w:t>Optimization Marketplace: buy/sell process improvements</w:t>
            </w:r>
          </w:p>
        </w:tc>
        <w:tc>
          <w:tcPr>
            <w:tcW w:type="dxa" w:w="1008"/>
          </w:tcPr>
          <w:p>
            <w:r/>
            <w:r>
              <w:rPr>
                <w:rFonts w:ascii="Arial" w:hAnsi="Arial"/>
                <w:sz w:val="15"/>
              </w:rPr>
              <w:t>$1-10K/mo or gain-share</w:t>
            </w:r>
          </w:p>
        </w:tc>
        <w:tc>
          <w:tcPr>
            <w:tcW w:type="dxa" w:w="1008"/>
          </w:tcPr>
          <w:p>
            <w:r/>
            <w:r>
              <w:rPr>
                <w:rFonts w:ascii="Arial" w:hAnsi="Arial"/>
                <w:sz w:val="15"/>
              </w:rPr>
              <w:t>$30B+ (process automation TAM)</w:t>
            </w:r>
          </w:p>
        </w:tc>
      </w:tr>
      <w:tr>
        <w:tc>
          <w:tcPr>
            <w:tcW w:type="dxa" w:w="1008"/>
            <w:shd w:fill="EDEDF7" w:val="clear"/>
          </w:tcPr>
          <w:p>
            <w:r/>
            <w:r>
              <w:rPr>
                <w:rFonts w:ascii="Arial" w:hAnsi="Arial"/>
                <w:sz w:val="15"/>
              </w:rPr>
              <w:t>Analogous System Structures</w:t>
            </w:r>
          </w:p>
        </w:tc>
        <w:tc>
          <w:tcPr>
            <w:tcW w:type="dxa" w:w="1152"/>
            <w:shd w:fill="EDEDF7" w:val="clear"/>
          </w:tcPr>
          <w:p>
            <w:r/>
            <w:r>
              <w:rPr>
                <w:rFonts w:ascii="Arial" w:hAnsi="Arial"/>
                <w:sz w:val="15"/>
              </w:rPr>
              <w:t>Cross-Industry Intelligence Platforms</w:t>
            </w:r>
          </w:p>
        </w:tc>
        <w:tc>
          <w:tcPr>
            <w:tcW w:type="dxa" w:w="1440"/>
            <w:shd w:fill="EDEDF7" w:val="clear"/>
          </w:tcPr>
          <w:p>
            <w:r/>
            <w:r>
              <w:rPr>
                <w:rFonts w:ascii="Arial" w:hAnsi="Arial"/>
                <w:sz w:val="15"/>
              </w:rPr>
              <w:t>Pattern matchers that find solutions from analogous industries</w:t>
            </w:r>
          </w:p>
        </w:tc>
        <w:tc>
          <w:tcPr>
            <w:tcW w:type="dxa" w:w="1440"/>
            <w:shd w:fill="EDEDF7" w:val="clear"/>
          </w:tcPr>
          <w:p>
            <w:r/>
            <w:r>
              <w:rPr>
                <w:rFonts w:ascii="Arial" w:hAnsi="Arial"/>
                <w:sz w:val="15"/>
              </w:rPr>
              <w:t>Intelligence Marketplace: buy/sell cross-sector insights</w:t>
            </w:r>
          </w:p>
        </w:tc>
        <w:tc>
          <w:tcPr>
            <w:tcW w:type="dxa" w:w="1008"/>
            <w:shd w:fill="EDEDF7" w:val="clear"/>
          </w:tcPr>
          <w:p>
            <w:r/>
            <w:r>
              <w:rPr>
                <w:rFonts w:ascii="Arial" w:hAnsi="Arial"/>
                <w:sz w:val="15"/>
              </w:rPr>
              <w:t>$99-999/mo subscription</w:t>
            </w:r>
          </w:p>
        </w:tc>
        <w:tc>
          <w:tcPr>
            <w:tcW w:type="dxa" w:w="1008"/>
            <w:shd w:fill="EDEDF7" w:val="clear"/>
          </w:tcPr>
          <w:p>
            <w:r/>
            <w:r>
              <w:rPr>
                <w:rFonts w:ascii="Arial" w:hAnsi="Arial"/>
                <w:sz w:val="15"/>
              </w:rPr>
              <w:t>$25B+ (market intelligence TAM)</w:t>
            </w:r>
          </w:p>
        </w:tc>
      </w:tr>
      <w:tr>
        <w:tc>
          <w:tcPr>
            <w:tcW w:type="dxa" w:w="1008"/>
          </w:tcPr>
          <w:p>
            <w:r/>
            <w:r>
              <w:rPr>
                <w:rFonts w:ascii="Arial" w:hAnsi="Arial"/>
                <w:sz w:val="15"/>
              </w:rPr>
              <w:t>Systemic Risks</w:t>
            </w:r>
          </w:p>
        </w:tc>
        <w:tc>
          <w:tcPr>
            <w:tcW w:type="dxa" w:w="1152"/>
          </w:tcPr>
          <w:p>
            <w:r/>
            <w:r>
              <w:rPr>
                <w:rFonts w:ascii="Arial" w:hAnsi="Arial"/>
                <w:sz w:val="15"/>
              </w:rPr>
              <w:t>Risk Quantification Platforms</w:t>
            </w:r>
          </w:p>
        </w:tc>
        <w:tc>
          <w:tcPr>
            <w:tcW w:type="dxa" w:w="1440"/>
          </w:tcPr>
          <w:p>
            <w:r/>
            <w:r>
              <w:rPr>
                <w:rFonts w:ascii="Arial" w:hAnsi="Arial"/>
                <w:sz w:val="15"/>
              </w:rPr>
              <w:t>Risk engines that model cascading failures across systems</w:t>
            </w:r>
          </w:p>
        </w:tc>
        <w:tc>
          <w:tcPr>
            <w:tcW w:type="dxa" w:w="1440"/>
          </w:tcPr>
          <w:p>
            <w:r/>
            <w:r>
              <w:rPr>
                <w:rFonts w:ascii="Arial" w:hAnsi="Arial"/>
                <w:sz w:val="15"/>
              </w:rPr>
              <w:t>Risk Marketplace: buy/sell risk assessments and hedges</w:t>
            </w:r>
          </w:p>
        </w:tc>
        <w:tc>
          <w:tcPr>
            <w:tcW w:type="dxa" w:w="1008"/>
          </w:tcPr>
          <w:p>
            <w:r/>
            <w:r>
              <w:rPr>
                <w:rFonts w:ascii="Arial" w:hAnsi="Arial"/>
                <w:sz w:val="15"/>
              </w:rPr>
              <w:t>$10-100K/yr per enterprise</w:t>
            </w:r>
          </w:p>
        </w:tc>
        <w:tc>
          <w:tcPr>
            <w:tcW w:type="dxa" w:w="1008"/>
          </w:tcPr>
          <w:p>
            <w:r/>
            <w:r>
              <w:rPr>
                <w:rFonts w:ascii="Arial" w:hAnsi="Arial"/>
                <w:sz w:val="15"/>
              </w:rPr>
              <w:t>$40B+ (risk management TAM)</w:t>
            </w:r>
          </w:p>
        </w:tc>
      </w:tr>
      <w:tr>
        <w:tc>
          <w:tcPr>
            <w:tcW w:type="dxa" w:w="1008"/>
            <w:shd w:fill="EDEDF7" w:val="clear"/>
          </w:tcPr>
          <w:p>
            <w:r/>
            <w:r>
              <w:rPr>
                <w:rFonts w:ascii="Arial" w:hAnsi="Arial"/>
                <w:sz w:val="15"/>
              </w:rPr>
              <w:t>Pain Points ($)</w:t>
            </w:r>
          </w:p>
        </w:tc>
        <w:tc>
          <w:tcPr>
            <w:tcW w:type="dxa" w:w="1152"/>
            <w:shd w:fill="EDEDF7" w:val="clear"/>
          </w:tcPr>
          <w:p>
            <w:r/>
            <w:r>
              <w:rPr>
                <w:rFonts w:ascii="Arial" w:hAnsi="Arial"/>
                <w:sz w:val="15"/>
              </w:rPr>
              <w:t>Value Recovery Platforms</w:t>
            </w:r>
          </w:p>
        </w:tc>
        <w:tc>
          <w:tcPr>
            <w:tcW w:type="dxa" w:w="1440"/>
            <w:shd w:fill="EDEDF7" w:val="clear"/>
          </w:tcPr>
          <w:p>
            <w:r/>
            <w:r>
              <w:rPr>
                <w:rFonts w:ascii="Arial" w:hAnsi="Arial"/>
                <w:sz w:val="15"/>
              </w:rPr>
              <w:t>Recovery engines that capture leaked value</w:t>
            </w:r>
          </w:p>
        </w:tc>
        <w:tc>
          <w:tcPr>
            <w:tcW w:type="dxa" w:w="1440"/>
            <w:shd w:fill="EDEDF7" w:val="clear"/>
          </w:tcPr>
          <w:p>
            <w:r/>
            <w:r>
              <w:rPr>
                <w:rFonts w:ascii="Arial" w:hAnsi="Arial"/>
                <w:sz w:val="15"/>
              </w:rPr>
              <w:t>Recovery Marketplace: buy/sell recovery services</w:t>
            </w:r>
          </w:p>
        </w:tc>
        <w:tc>
          <w:tcPr>
            <w:tcW w:type="dxa" w:w="1008"/>
            <w:shd w:fill="EDEDF7" w:val="clear"/>
          </w:tcPr>
          <w:p>
            <w:r/>
            <w:r>
              <w:rPr>
                <w:rFonts w:ascii="Arial" w:hAnsi="Arial"/>
                <w:sz w:val="15"/>
              </w:rPr>
              <w:t>10-30% of recovered value</w:t>
            </w:r>
          </w:p>
        </w:tc>
        <w:tc>
          <w:tcPr>
            <w:tcW w:type="dxa" w:w="1008"/>
            <w:shd w:fill="EDEDF7" w:val="clear"/>
          </w:tcPr>
          <w:p>
            <w:r/>
            <w:r>
              <w:rPr>
                <w:rFonts w:ascii="Arial" w:hAnsi="Arial"/>
                <w:sz w:val="15"/>
              </w:rPr>
              <w:t>$100B+ (revenue assurance TAM)</w:t>
            </w:r>
          </w:p>
        </w:tc>
      </w:tr>
      <w:tr>
        <w:tc>
          <w:tcPr>
            <w:tcW w:type="dxa" w:w="1008"/>
          </w:tcPr>
          <w:p>
            <w:r/>
            <w:r>
              <w:rPr>
                <w:rFonts w:ascii="Arial" w:hAnsi="Arial"/>
                <w:sz w:val="15"/>
              </w:rPr>
              <w:t>Challenges</w:t>
            </w:r>
          </w:p>
        </w:tc>
        <w:tc>
          <w:tcPr>
            <w:tcW w:type="dxa" w:w="1152"/>
          </w:tcPr>
          <w:p>
            <w:r/>
            <w:r>
              <w:rPr>
                <w:rFonts w:ascii="Arial" w:hAnsi="Arial"/>
                <w:sz w:val="15"/>
              </w:rPr>
              <w:t>Governance Decision Platforms</w:t>
            </w:r>
          </w:p>
        </w:tc>
        <w:tc>
          <w:tcPr>
            <w:tcW w:type="dxa" w:w="1440"/>
          </w:tcPr>
          <w:p>
            <w:r/>
            <w:r>
              <w:rPr>
                <w:rFonts w:ascii="Arial" w:hAnsi="Arial"/>
                <w:sz w:val="15"/>
              </w:rPr>
              <w:t>Decision infrastructure for institutional-grade choices</w:t>
            </w:r>
          </w:p>
        </w:tc>
        <w:tc>
          <w:tcPr>
            <w:tcW w:type="dxa" w:w="1440"/>
          </w:tcPr>
          <w:p>
            <w:r/>
            <w:r>
              <w:rPr>
                <w:rFonts w:ascii="Arial" w:hAnsi="Arial"/>
                <w:sz w:val="15"/>
              </w:rPr>
              <w:t>Governance Marketplace: buy/sell governance services</w:t>
            </w:r>
          </w:p>
        </w:tc>
        <w:tc>
          <w:tcPr>
            <w:tcW w:type="dxa" w:w="1008"/>
          </w:tcPr>
          <w:p>
            <w:r/>
            <w:r>
              <w:rPr>
                <w:rFonts w:ascii="Arial" w:hAnsi="Arial"/>
                <w:sz w:val="15"/>
              </w:rPr>
              <w:t>$50-150K/yr license</w:t>
            </w:r>
          </w:p>
        </w:tc>
        <w:tc>
          <w:tcPr>
            <w:tcW w:type="dxa" w:w="1008"/>
          </w:tcPr>
          <w:p>
            <w:r/>
            <w:r>
              <w:rPr>
                <w:rFonts w:ascii="Arial" w:hAnsi="Arial"/>
                <w:sz w:val="15"/>
              </w:rPr>
              <w:t>$20B+ (GRC software TAM)</w:t>
            </w:r>
          </w:p>
        </w:tc>
      </w:tr>
      <w:tr>
        <w:tc>
          <w:tcPr>
            <w:tcW w:type="dxa" w:w="1008"/>
            <w:shd w:fill="EDEDF7" w:val="clear"/>
          </w:tcPr>
          <w:p>
            <w:r/>
            <w:r>
              <w:rPr>
                <w:rFonts w:ascii="Arial" w:hAnsi="Arial"/>
                <w:sz w:val="15"/>
              </w:rPr>
              <w:t>Obstacles</w:t>
            </w:r>
          </w:p>
        </w:tc>
        <w:tc>
          <w:tcPr>
            <w:tcW w:type="dxa" w:w="1152"/>
            <w:shd w:fill="EDEDF7" w:val="clear"/>
          </w:tcPr>
          <w:p>
            <w:r/>
            <w:r>
              <w:rPr>
                <w:rFonts w:ascii="Arial" w:hAnsi="Arial"/>
                <w:sz w:val="15"/>
              </w:rPr>
              <w:t>Transformation Platforms</w:t>
            </w:r>
          </w:p>
        </w:tc>
        <w:tc>
          <w:tcPr>
            <w:tcW w:type="dxa" w:w="1440"/>
            <w:shd w:fill="EDEDF7" w:val="clear"/>
          </w:tcPr>
          <w:p>
            <w:r/>
            <w:r>
              <w:rPr>
                <w:rFonts w:ascii="Arial" w:hAnsi="Arial"/>
                <w:sz w:val="15"/>
              </w:rPr>
              <w:t>Barrier dissolvers that remove structural friction</w:t>
            </w:r>
          </w:p>
        </w:tc>
        <w:tc>
          <w:tcPr>
            <w:tcW w:type="dxa" w:w="1440"/>
            <w:shd w:fill="EDEDF7" w:val="clear"/>
          </w:tcPr>
          <w:p>
            <w:r/>
            <w:r>
              <w:rPr>
                <w:rFonts w:ascii="Arial" w:hAnsi="Arial"/>
                <w:sz w:val="15"/>
              </w:rPr>
              <w:t>Transformation Marketplace: buy/sell change programs</w:t>
            </w:r>
          </w:p>
        </w:tc>
        <w:tc>
          <w:tcPr>
            <w:tcW w:type="dxa" w:w="1008"/>
            <w:shd w:fill="EDEDF7" w:val="clear"/>
          </w:tcPr>
          <w:p>
            <w:r/>
            <w:r>
              <w:rPr>
                <w:rFonts w:ascii="Arial" w:hAnsi="Arial"/>
                <w:sz w:val="15"/>
              </w:rPr>
              <w:t>$100-500K per engagement</w:t>
            </w:r>
          </w:p>
        </w:tc>
        <w:tc>
          <w:tcPr>
            <w:tcW w:type="dxa" w:w="1008"/>
            <w:shd w:fill="EDEDF7" w:val="clear"/>
          </w:tcPr>
          <w:p>
            <w:r/>
            <w:r>
              <w:rPr>
                <w:rFonts w:ascii="Arial" w:hAnsi="Arial"/>
                <w:sz w:val="15"/>
              </w:rPr>
              <w:t>$60B+ (digital transformation TAM)</w:t>
            </w:r>
          </w:p>
        </w:tc>
      </w:tr>
      <w:tr>
        <w:tc>
          <w:tcPr>
            <w:tcW w:type="dxa" w:w="1008"/>
          </w:tcPr>
          <w:p>
            <w:r/>
            <w:r>
              <w:rPr>
                <w:rFonts w:ascii="Arial" w:hAnsi="Arial"/>
                <w:sz w:val="15"/>
              </w:rPr>
              <w:t>Ecosystems</w:t>
            </w:r>
          </w:p>
        </w:tc>
        <w:tc>
          <w:tcPr>
            <w:tcW w:type="dxa" w:w="1152"/>
          </w:tcPr>
          <w:p>
            <w:r/>
            <w:r>
              <w:rPr>
                <w:rFonts w:ascii="Arial" w:hAnsi="Arial"/>
                <w:sz w:val="15"/>
              </w:rPr>
              <w:t>Coordination Platforms</w:t>
            </w:r>
          </w:p>
        </w:tc>
        <w:tc>
          <w:tcPr>
            <w:tcW w:type="dxa" w:w="1440"/>
          </w:tcPr>
          <w:p>
            <w:r/>
            <w:r>
              <w:rPr>
                <w:rFonts w:ascii="Arial" w:hAnsi="Arial"/>
                <w:sz w:val="15"/>
              </w:rPr>
              <w:t>Multi-party orchestration systems</w:t>
            </w:r>
          </w:p>
        </w:tc>
        <w:tc>
          <w:tcPr>
            <w:tcW w:type="dxa" w:w="1440"/>
          </w:tcPr>
          <w:p>
            <w:r/>
            <w:r>
              <w:rPr>
                <w:rFonts w:ascii="Arial" w:hAnsi="Arial"/>
                <w:sz w:val="15"/>
              </w:rPr>
              <w:t>Ecosystem Marketplace: buy/sell coordination services</w:t>
            </w:r>
          </w:p>
        </w:tc>
        <w:tc>
          <w:tcPr>
            <w:tcW w:type="dxa" w:w="1008"/>
          </w:tcPr>
          <w:p>
            <w:r/>
            <w:r>
              <w:rPr>
                <w:rFonts w:ascii="Arial" w:hAnsi="Arial"/>
                <w:sz w:val="15"/>
              </w:rPr>
              <w:t>$25-200K/yr per participant</w:t>
            </w:r>
          </w:p>
        </w:tc>
        <w:tc>
          <w:tcPr>
            <w:tcW w:type="dxa" w:w="1008"/>
          </w:tcPr>
          <w:p>
            <w:r/>
            <w:r>
              <w:rPr>
                <w:rFonts w:ascii="Arial" w:hAnsi="Arial"/>
                <w:sz w:val="15"/>
              </w:rPr>
              <w:t>$35B+ (platform economy TAM)</w:t>
            </w:r>
          </w:p>
        </w:tc>
      </w:tr>
      <w:tr>
        <w:tc>
          <w:tcPr>
            <w:tcW w:type="dxa" w:w="1008"/>
            <w:shd w:fill="EDEDF7" w:val="clear"/>
          </w:tcPr>
          <w:p>
            <w:r/>
            <w:r>
              <w:rPr>
                <w:rFonts w:ascii="Arial" w:hAnsi="Arial"/>
                <w:sz w:val="15"/>
              </w:rPr>
              <w:t>Marketplaces</w:t>
            </w:r>
          </w:p>
        </w:tc>
        <w:tc>
          <w:tcPr>
            <w:tcW w:type="dxa" w:w="1152"/>
            <w:shd w:fill="EDEDF7" w:val="clear"/>
          </w:tcPr>
          <w:p>
            <w:r/>
            <w:r>
              <w:rPr>
                <w:rFonts w:ascii="Arial" w:hAnsi="Arial"/>
                <w:sz w:val="15"/>
              </w:rPr>
              <w:t>Meta-Marketplace Platforms</w:t>
            </w:r>
          </w:p>
        </w:tc>
        <w:tc>
          <w:tcPr>
            <w:tcW w:type="dxa" w:w="1440"/>
            <w:shd w:fill="EDEDF7" w:val="clear"/>
          </w:tcPr>
          <w:p>
            <w:r/>
            <w:r>
              <w:rPr>
                <w:rFonts w:ascii="Arial" w:hAnsi="Arial"/>
                <w:sz w:val="15"/>
              </w:rPr>
              <w:t>Marketplace-of-marketplaces infrastructure</w:t>
            </w:r>
          </w:p>
        </w:tc>
        <w:tc>
          <w:tcPr>
            <w:tcW w:type="dxa" w:w="1440"/>
            <w:shd w:fill="EDEDF7" w:val="clear"/>
          </w:tcPr>
          <w:p>
            <w:r/>
            <w:r>
              <w:rPr>
                <w:rFonts w:ascii="Arial" w:hAnsi="Arial"/>
                <w:sz w:val="15"/>
              </w:rPr>
              <w:t>Meta-Marketplace: marketplace creation tools</w:t>
            </w:r>
          </w:p>
        </w:tc>
        <w:tc>
          <w:tcPr>
            <w:tcW w:type="dxa" w:w="1008"/>
            <w:shd w:fill="EDEDF7" w:val="clear"/>
          </w:tcPr>
          <w:p>
            <w:r/>
            <w:r>
              <w:rPr>
                <w:rFonts w:ascii="Arial" w:hAnsi="Arial"/>
                <w:sz w:val="15"/>
              </w:rPr>
              <w:t>Take-rate 5-15% of GMV</w:t>
            </w:r>
          </w:p>
        </w:tc>
        <w:tc>
          <w:tcPr>
            <w:tcW w:type="dxa" w:w="1008"/>
            <w:shd w:fill="EDEDF7" w:val="clear"/>
          </w:tcPr>
          <w:p>
            <w:r/>
            <w:r>
              <w:rPr>
                <w:rFonts w:ascii="Arial" w:hAnsi="Arial"/>
                <w:sz w:val="15"/>
              </w:rPr>
              <w:t>$500B+ (marketplace economy TAM)</w:t>
            </w:r>
          </w:p>
        </w:tc>
      </w:tr>
    </w:tbl>
    <w:p>
      <w:pPr>
        <w:spacing w:after="80"/>
      </w:pPr>
      <w:r>
        <w:rPr>
          <w:rFonts w:ascii="Arial" w:hAnsi="Arial"/>
          <w:b w:val="0"/>
          <w:sz w:val="19"/>
        </w:rPr>
      </w:r>
    </w:p>
    <w:p>
      <w:pPr>
        <w:spacing w:after="60"/>
      </w:pPr>
      <w:r>
        <w:rPr>
          <w:rFonts w:ascii="Arial" w:hAnsi="Arial"/>
          <w:b/>
          <w:color w:val="2D1B69"/>
          <w:sz w:val="19"/>
        </w:rPr>
        <w:t>9 gameboard categories x 100,000+ codes = 900,000+ potential platform instances. The Tower Control Organism Evolution Engine prioritizes by: severity (C &gt; H &gt; M &gt; L), market size ($ at risk), execution complexity (30-day deployable first), and compounding potential (does this AINE make adjacent AINEs more valuable).</w:t>
      </w:r>
    </w:p>
    <w:p>
      <w:r>
        <w:br w:type="page"/>
      </w:r>
    </w:p>
    <w:p>
      <w:pPr>
        <w:pStyle w:val="Heading1"/>
      </w:pPr>
      <w:r>
        <w:t>8. Coalition &amp; Species Formation: Economic Organisms</w:t>
      </w:r>
    </w:p>
    <w:p>
      <w:pPr>
        <w:spacing w:after="60"/>
      </w:pPr>
      <w:r>
        <w:rPr>
          <w:rFonts w:ascii="Arial" w:hAnsi="Arial"/>
          <w:b w:val="0"/>
          <w:sz w:val="20"/>
        </w:rPr>
        <w:t>When individual AINEs across different gameboard categories but within the same industry code begin sharing data and customers, they form coalitions. Coalitions that demonstrate emergent properties (the combined value exceeds the sum of parts) evolve into species. Species that operate across multiple codes form ecosystems. Ecosystems that span jurisdictions form sanctuaries.</w:t>
      </w:r>
    </w:p>
    <w:p>
      <w:pPr>
        <w:pStyle w:val="Heading2"/>
      </w:pPr>
      <w:r>
        <w:t>Species Formation Examples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440"/>
            <w:shd w:fill="0D0D2B" w:val="clear"/>
          </w:tcPr>
          <w:p>
            <w:pPr>
              <w:jc w:val="center"/>
            </w:pPr>
            <w:r/>
            <w:r>
              <w:rPr>
                <w:rFonts w:ascii="Arial" w:hAnsi="Arial"/>
                <w:b/>
                <w:color w:val="FFFFFF"/>
                <w:sz w:val="16"/>
              </w:rPr>
              <w:t>Species Name</w:t>
            </w:r>
          </w:p>
        </w:tc>
        <w:tc>
          <w:tcPr>
            <w:tcW w:type="dxa" w:w="1728"/>
            <w:shd w:fill="0D0D2B" w:val="clear"/>
          </w:tcPr>
          <w:p>
            <w:pPr>
              <w:jc w:val="center"/>
            </w:pPr>
            <w:r/>
            <w:r>
              <w:rPr>
                <w:rFonts w:ascii="Arial" w:hAnsi="Arial"/>
                <w:b/>
                <w:color w:val="FFFFFF"/>
                <w:sz w:val="16"/>
              </w:rPr>
              <w:t>Component AINEs</w:t>
            </w:r>
          </w:p>
        </w:tc>
        <w:tc>
          <w:tcPr>
            <w:tcW w:type="dxa" w:w="1152"/>
            <w:shd w:fill="0D0D2B" w:val="clear"/>
          </w:tcPr>
          <w:p>
            <w:pPr>
              <w:jc w:val="center"/>
            </w:pPr>
            <w:r/>
            <w:r>
              <w:rPr>
                <w:rFonts w:ascii="Arial" w:hAnsi="Arial"/>
                <w:b/>
                <w:color w:val="FFFFFF"/>
                <w:sz w:val="16"/>
              </w:rPr>
              <w:t>Industry Codes</w:t>
            </w:r>
          </w:p>
        </w:tc>
        <w:tc>
          <w:tcPr>
            <w:tcW w:type="dxa" w:w="1872"/>
            <w:shd w:fill="0D0D2B" w:val="clear"/>
          </w:tcPr>
          <w:p>
            <w:pPr>
              <w:jc w:val="center"/>
            </w:pPr>
            <w:r/>
            <w:r>
              <w:rPr>
                <w:rFonts w:ascii="Arial" w:hAnsi="Arial"/>
                <w:b/>
                <w:color w:val="FFFFFF"/>
                <w:sz w:val="16"/>
              </w:rPr>
              <w:t>Emergent Property</w:t>
            </w:r>
          </w:p>
        </w:tc>
        <w:tc>
          <w:tcPr>
            <w:tcW w:type="dxa" w:w="864"/>
            <w:shd w:fill="0D0D2B" w:val="clear"/>
          </w:tcPr>
          <w:p>
            <w:pPr>
              <w:jc w:val="center"/>
            </w:pPr>
            <w:r/>
            <w:r>
              <w:rPr>
                <w:rFonts w:ascii="Arial" w:hAnsi="Arial"/>
                <w:b/>
                <w:color w:val="FFFFFF"/>
                <w:sz w:val="16"/>
              </w:rPr>
              <w:t>Revenue Multiple</w:t>
            </w:r>
          </w:p>
        </w:tc>
        <w:tc>
          <w:tcPr>
            <w:tcW w:type="dxa" w:w="1440"/>
            <w:shd w:fill="0D0D2B" w:val="clear"/>
          </w:tcPr>
          <w:p>
            <w:pPr>
              <w:jc w:val="center"/>
            </w:pPr>
            <w:r/>
            <w:r>
              <w:rPr>
                <w:rFonts w:ascii="Arial" w:hAnsi="Arial"/>
                <w:b/>
                <w:color w:val="FFFFFF"/>
                <w:sz w:val="16"/>
              </w:rPr>
              <w:t>Stakeholders Unified</w:t>
            </w:r>
          </w:p>
        </w:tc>
      </w:tr>
      <w:tr>
        <w:tc>
          <w:tcPr>
            <w:tcW w:type="dxa" w:w="1440"/>
            <w:shd w:fill="EDEDF7" w:val="clear"/>
          </w:tcPr>
          <w:p>
            <w:r/>
            <w:r>
              <w:rPr>
                <w:rFonts w:ascii="Arial" w:hAnsi="Arial"/>
                <w:sz w:val="15"/>
              </w:rPr>
              <w:t>Healthcare Revenue Integrity Species</w:t>
            </w:r>
          </w:p>
        </w:tc>
        <w:tc>
          <w:tcPr>
            <w:tcW w:type="dxa" w:w="1728"/>
            <w:shd w:fill="EDEDF7" w:val="clear"/>
          </w:tcPr>
          <w:p>
            <w:r/>
            <w:r>
              <w:rPr>
                <w:rFonts w:ascii="Arial" w:hAnsi="Arial"/>
                <w:sz w:val="15"/>
              </w:rPr>
              <w:t>Billing AINE + Compliance AINE + Audit AINE + Claims AINE</w:t>
            </w:r>
          </w:p>
        </w:tc>
        <w:tc>
          <w:tcPr>
            <w:tcW w:type="dxa" w:w="1152"/>
            <w:shd w:fill="EDEDF7" w:val="clear"/>
          </w:tcPr>
          <w:p>
            <w:r/>
            <w:r>
              <w:rPr>
                <w:rFonts w:ascii="Arial" w:hAnsi="Arial"/>
                <w:sz w:val="15"/>
              </w:rPr>
              <w:t>NAICS 6211-6219, 6221-6223, 5241</w:t>
            </w:r>
          </w:p>
        </w:tc>
        <w:tc>
          <w:tcPr>
            <w:tcW w:type="dxa" w:w="1872"/>
            <w:shd w:fill="EDEDF7" w:val="clear"/>
          </w:tcPr>
          <w:p>
            <w:r/>
            <w:r>
              <w:rPr>
                <w:rFonts w:ascii="Arial" w:hAnsi="Arial"/>
                <w:sz w:val="15"/>
              </w:rPr>
              <w:t>End-to-end revenue cycle with zero leakage AND regulatory compliance in one system</w:t>
            </w:r>
          </w:p>
        </w:tc>
        <w:tc>
          <w:tcPr>
            <w:tcW w:type="dxa" w:w="864"/>
            <w:shd w:fill="EDEDF7" w:val="clear"/>
          </w:tcPr>
          <w:p>
            <w:r/>
            <w:r>
              <w:rPr>
                <w:rFonts w:ascii="Arial" w:hAnsi="Arial"/>
                <w:sz w:val="15"/>
              </w:rPr>
              <w:t>5-8x individual AINE revenue</w:t>
            </w:r>
          </w:p>
        </w:tc>
        <w:tc>
          <w:tcPr>
            <w:tcW w:type="dxa" w:w="1440"/>
            <w:shd w:fill="EDEDF7" w:val="clear"/>
          </w:tcPr>
          <w:p>
            <w:r/>
            <w:r>
              <w:rPr>
                <w:rFonts w:ascii="Arial" w:hAnsi="Arial"/>
                <w:sz w:val="15"/>
              </w:rPr>
              <w:t>CFOs, Coders, Payers, Auditors, CMS, State DOH</w:t>
            </w:r>
          </w:p>
        </w:tc>
      </w:tr>
      <w:tr>
        <w:tc>
          <w:tcPr>
            <w:tcW w:type="dxa" w:w="1440"/>
          </w:tcPr>
          <w:p>
            <w:r/>
            <w:r>
              <w:rPr>
                <w:rFonts w:ascii="Arial" w:hAnsi="Arial"/>
                <w:sz w:val="15"/>
              </w:rPr>
              <w:t>Supply Chain Sovereignty Species</w:t>
            </w:r>
          </w:p>
        </w:tc>
        <w:tc>
          <w:tcPr>
            <w:tcW w:type="dxa" w:w="1728"/>
          </w:tcPr>
          <w:p>
            <w:r/>
            <w:r>
              <w:rPr>
                <w:rFonts w:ascii="Arial" w:hAnsi="Arial"/>
                <w:sz w:val="15"/>
              </w:rPr>
              <w:t>Procurement AINE + Logistics AINE + Trade Compliance AINE + Inventory AINE + Risk AINE</w:t>
            </w:r>
          </w:p>
        </w:tc>
        <w:tc>
          <w:tcPr>
            <w:tcW w:type="dxa" w:w="1152"/>
          </w:tcPr>
          <w:p>
            <w:r/>
            <w:r>
              <w:rPr>
                <w:rFonts w:ascii="Arial" w:hAnsi="Arial"/>
                <w:sz w:val="15"/>
              </w:rPr>
              <w:t>NAICS 4231-4249, HS Chapters 1-97, NAICS 4841-4931</w:t>
            </w:r>
          </w:p>
        </w:tc>
        <w:tc>
          <w:tcPr>
            <w:tcW w:type="dxa" w:w="1872"/>
          </w:tcPr>
          <w:p>
            <w:r/>
            <w:r>
              <w:rPr>
                <w:rFonts w:ascii="Arial" w:hAnsi="Arial"/>
                <w:sz w:val="15"/>
              </w:rPr>
              <w:t>Fully governed cross-border supply chain with real-time tariff compliance and disruption prediction</w:t>
            </w:r>
          </w:p>
        </w:tc>
        <w:tc>
          <w:tcPr>
            <w:tcW w:type="dxa" w:w="864"/>
          </w:tcPr>
          <w:p>
            <w:r/>
            <w:r>
              <w:rPr>
                <w:rFonts w:ascii="Arial" w:hAnsi="Arial"/>
                <w:sz w:val="15"/>
              </w:rPr>
              <w:t>10x individual</w:t>
            </w:r>
          </w:p>
        </w:tc>
        <w:tc>
          <w:tcPr>
            <w:tcW w:type="dxa" w:w="1440"/>
          </w:tcPr>
          <w:p>
            <w:r/>
            <w:r>
              <w:rPr>
                <w:rFonts w:ascii="Arial" w:hAnsi="Arial"/>
                <w:sz w:val="15"/>
              </w:rPr>
              <w:t>CPOs, Carriers, Customs, Trade Ministries, Insurers</w:t>
            </w:r>
          </w:p>
        </w:tc>
      </w:tr>
      <w:tr>
        <w:tc>
          <w:tcPr>
            <w:tcW w:type="dxa" w:w="1440"/>
            <w:shd w:fill="EDEDF7" w:val="clear"/>
          </w:tcPr>
          <w:p>
            <w:r/>
            <w:r>
              <w:rPr>
                <w:rFonts w:ascii="Arial" w:hAnsi="Arial"/>
                <w:sz w:val="15"/>
              </w:rPr>
              <w:t>Talent Metabolism Species</w:t>
            </w:r>
          </w:p>
        </w:tc>
        <w:tc>
          <w:tcPr>
            <w:tcW w:type="dxa" w:w="1728"/>
            <w:shd w:fill="EDEDF7" w:val="clear"/>
          </w:tcPr>
          <w:p>
            <w:r/>
            <w:r>
              <w:rPr>
                <w:rFonts w:ascii="Arial" w:hAnsi="Arial"/>
                <w:sz w:val="15"/>
              </w:rPr>
              <w:t>Recruitment AINE + Assessment AINE + Training AINE + Deployment AINE + Performance AINE</w:t>
            </w:r>
          </w:p>
        </w:tc>
        <w:tc>
          <w:tcPr>
            <w:tcW w:type="dxa" w:w="1152"/>
            <w:shd w:fill="EDEDF7" w:val="clear"/>
          </w:tcPr>
          <w:p>
            <w:r/>
            <w:r>
              <w:rPr>
                <w:rFonts w:ascii="Arial" w:hAnsi="Arial"/>
                <w:sz w:val="15"/>
              </w:rPr>
              <w:t>SOC all groups, CIP all series, NAICS 5613-5614, 6111-6199</w:t>
            </w:r>
          </w:p>
        </w:tc>
        <w:tc>
          <w:tcPr>
            <w:tcW w:type="dxa" w:w="1872"/>
            <w:shd w:fill="EDEDF7" w:val="clear"/>
          </w:tcPr>
          <w:p>
            <w:r/>
            <w:r>
              <w:rPr>
                <w:rFonts w:ascii="Arial" w:hAnsi="Arial"/>
                <w:sz w:val="15"/>
              </w:rPr>
              <w:t>Source-train-deploy-measure loop with zero credential friction via Levelupmax integration</w:t>
            </w:r>
          </w:p>
        </w:tc>
        <w:tc>
          <w:tcPr>
            <w:tcW w:type="dxa" w:w="864"/>
            <w:shd w:fill="EDEDF7" w:val="clear"/>
          </w:tcPr>
          <w:p>
            <w:r/>
            <w:r>
              <w:rPr>
                <w:rFonts w:ascii="Arial" w:hAnsi="Arial"/>
                <w:sz w:val="15"/>
              </w:rPr>
              <w:t>7x individual</w:t>
            </w:r>
          </w:p>
        </w:tc>
        <w:tc>
          <w:tcPr>
            <w:tcW w:type="dxa" w:w="1440"/>
            <w:shd w:fill="EDEDF7" w:val="clear"/>
          </w:tcPr>
          <w:p>
            <w:r/>
            <w:r>
              <w:rPr>
                <w:rFonts w:ascii="Arial" w:hAnsi="Arial"/>
                <w:sz w:val="15"/>
              </w:rPr>
              <w:t>HR Directors, Workers, Universities, Credentialing Bodies</w:t>
            </w:r>
          </w:p>
        </w:tc>
      </w:tr>
      <w:tr>
        <w:tc>
          <w:tcPr>
            <w:tcW w:type="dxa" w:w="1440"/>
          </w:tcPr>
          <w:p>
            <w:r/>
            <w:r>
              <w:rPr>
                <w:rFonts w:ascii="Arial" w:hAnsi="Arial"/>
                <w:sz w:val="15"/>
              </w:rPr>
              <w:t>Financial Intelligence Species</w:t>
            </w:r>
          </w:p>
        </w:tc>
        <w:tc>
          <w:tcPr>
            <w:tcW w:type="dxa" w:w="1728"/>
          </w:tcPr>
          <w:p>
            <w:r/>
            <w:r>
              <w:rPr>
                <w:rFonts w:ascii="Arial" w:hAnsi="Arial"/>
                <w:sz w:val="15"/>
              </w:rPr>
              <w:t>Risk AINE + Compliance AINE + Trading AINE + Insurance AINE + Audit AINE</w:t>
            </w:r>
          </w:p>
        </w:tc>
        <w:tc>
          <w:tcPr>
            <w:tcW w:type="dxa" w:w="1152"/>
          </w:tcPr>
          <w:p>
            <w:r/>
            <w:r>
              <w:rPr>
                <w:rFonts w:ascii="Arial" w:hAnsi="Arial"/>
                <w:sz w:val="15"/>
              </w:rPr>
              <w:t>GICS 40 (Financials), NAIC all lines, NAICS 5221-5259</w:t>
            </w:r>
          </w:p>
        </w:tc>
        <w:tc>
          <w:tcPr>
            <w:tcW w:type="dxa" w:w="1872"/>
          </w:tcPr>
          <w:p>
            <w:r/>
            <w:r>
              <w:rPr>
                <w:rFonts w:ascii="Arial" w:hAnsi="Arial"/>
                <w:sz w:val="15"/>
              </w:rPr>
              <w:t>Unified risk-compliance-execution layer for financial institutions with E-AEGL governance</w:t>
            </w:r>
          </w:p>
        </w:tc>
        <w:tc>
          <w:tcPr>
            <w:tcW w:type="dxa" w:w="864"/>
          </w:tcPr>
          <w:p>
            <w:r/>
            <w:r>
              <w:rPr>
                <w:rFonts w:ascii="Arial" w:hAnsi="Arial"/>
                <w:sz w:val="15"/>
              </w:rPr>
              <w:t>12x individual</w:t>
            </w:r>
          </w:p>
        </w:tc>
        <w:tc>
          <w:tcPr>
            <w:tcW w:type="dxa" w:w="1440"/>
          </w:tcPr>
          <w:p>
            <w:r/>
            <w:r>
              <w:rPr>
                <w:rFonts w:ascii="Arial" w:hAnsi="Arial"/>
                <w:sz w:val="15"/>
              </w:rPr>
              <w:t>CROs, Traders, Regulators (SEC/FCA/MAS), Auditors, Boards</w:t>
            </w:r>
          </w:p>
        </w:tc>
      </w:tr>
      <w:tr>
        <w:tc>
          <w:tcPr>
            <w:tcW w:type="dxa" w:w="1440"/>
            <w:shd w:fill="EDEDF7" w:val="clear"/>
          </w:tcPr>
          <w:p>
            <w:r/>
            <w:r>
              <w:rPr>
                <w:rFonts w:ascii="Arial" w:hAnsi="Arial"/>
                <w:sz w:val="15"/>
              </w:rPr>
              <w:t>Education-to-Employment Species</w:t>
            </w:r>
          </w:p>
        </w:tc>
        <w:tc>
          <w:tcPr>
            <w:tcW w:type="dxa" w:w="1728"/>
            <w:shd w:fill="EDEDF7" w:val="clear"/>
          </w:tcPr>
          <w:p>
            <w:r/>
            <w:r>
              <w:rPr>
                <w:rFonts w:ascii="Arial" w:hAnsi="Arial"/>
                <w:sz w:val="15"/>
              </w:rPr>
              <w:t>Curriculum AINE + Assessment AINE + Career Match AINE + Employer Connect AINE</w:t>
            </w:r>
          </w:p>
        </w:tc>
        <w:tc>
          <w:tcPr>
            <w:tcW w:type="dxa" w:w="1152"/>
            <w:shd w:fill="EDEDF7" w:val="clear"/>
          </w:tcPr>
          <w:p>
            <w:r/>
            <w:r>
              <w:rPr>
                <w:rFonts w:ascii="Arial" w:hAnsi="Arial"/>
                <w:sz w:val="15"/>
              </w:rPr>
              <w:t>CIP all, SOC all, NAICS 6111-6199, 5613</w:t>
            </w:r>
          </w:p>
        </w:tc>
        <w:tc>
          <w:tcPr>
            <w:tcW w:type="dxa" w:w="1872"/>
            <w:shd w:fill="EDEDF7" w:val="clear"/>
          </w:tcPr>
          <w:p>
            <w:r/>
            <w:r>
              <w:rPr>
                <w:rFonts w:ascii="Arial" w:hAnsi="Arial"/>
                <w:sz w:val="15"/>
              </w:rPr>
              <w:t>Closes the education-job gap by connecting curriculum design directly to employer demand signals</w:t>
            </w:r>
          </w:p>
        </w:tc>
        <w:tc>
          <w:tcPr>
            <w:tcW w:type="dxa" w:w="864"/>
            <w:shd w:fill="EDEDF7" w:val="clear"/>
          </w:tcPr>
          <w:p>
            <w:r/>
            <w:r>
              <w:rPr>
                <w:rFonts w:ascii="Arial" w:hAnsi="Arial"/>
                <w:sz w:val="15"/>
              </w:rPr>
              <w:t>6x individual</w:t>
            </w:r>
          </w:p>
        </w:tc>
        <w:tc>
          <w:tcPr>
            <w:tcW w:type="dxa" w:w="1440"/>
            <w:shd w:fill="EDEDF7" w:val="clear"/>
          </w:tcPr>
          <w:p>
            <w:r/>
            <w:r>
              <w:rPr>
                <w:rFonts w:ascii="Arial" w:hAnsi="Arial"/>
                <w:sz w:val="15"/>
              </w:rPr>
              <w:t>Universities, Students, Employers, Accreditors, Gov Ed Depts</w:t>
            </w:r>
          </w:p>
        </w:tc>
      </w:tr>
      <w:tr>
        <w:tc>
          <w:tcPr>
            <w:tcW w:type="dxa" w:w="1440"/>
          </w:tcPr>
          <w:p>
            <w:r/>
            <w:r>
              <w:rPr>
                <w:rFonts w:ascii="Arial" w:hAnsi="Arial"/>
                <w:sz w:val="15"/>
              </w:rPr>
              <w:t>Climate Adaptation Species</w:t>
            </w:r>
          </w:p>
        </w:tc>
        <w:tc>
          <w:tcPr>
            <w:tcW w:type="dxa" w:w="1728"/>
          </w:tcPr>
          <w:p>
            <w:r/>
            <w:r>
              <w:rPr>
                <w:rFonts w:ascii="Arial" w:hAnsi="Arial"/>
                <w:sz w:val="15"/>
              </w:rPr>
              <w:t>Risk Modeling AINE + Compliance AINE + Insurance AINE + Supply Chain AINE + ESG AINE</w:t>
            </w:r>
          </w:p>
        </w:tc>
        <w:tc>
          <w:tcPr>
            <w:tcW w:type="dxa" w:w="1152"/>
          </w:tcPr>
          <w:p>
            <w:r/>
            <w:r>
              <w:rPr>
                <w:rFonts w:ascii="Arial" w:hAnsi="Arial"/>
                <w:sz w:val="15"/>
              </w:rPr>
              <w:t>NAICS all, HS energy chapters, GICS 10,55</w:t>
            </w:r>
          </w:p>
        </w:tc>
        <w:tc>
          <w:tcPr>
            <w:tcW w:type="dxa" w:w="1872"/>
          </w:tcPr>
          <w:p>
            <w:r/>
            <w:r>
              <w:rPr>
                <w:rFonts w:ascii="Arial" w:hAnsi="Arial"/>
                <w:sz w:val="15"/>
              </w:rPr>
              <w:t>Unified climate risk quantification tied to insurance pricing AND regulatory reporting AND supply chain resilience</w:t>
            </w:r>
          </w:p>
        </w:tc>
        <w:tc>
          <w:tcPr>
            <w:tcW w:type="dxa" w:w="864"/>
          </w:tcPr>
          <w:p>
            <w:r/>
            <w:r>
              <w:rPr>
                <w:rFonts w:ascii="Arial" w:hAnsi="Arial"/>
                <w:sz w:val="15"/>
              </w:rPr>
              <w:t>15x individual</w:t>
            </w:r>
          </w:p>
        </w:tc>
        <w:tc>
          <w:tcPr>
            <w:tcW w:type="dxa" w:w="1440"/>
          </w:tcPr>
          <w:p>
            <w:r/>
            <w:r>
              <w:rPr>
                <w:rFonts w:ascii="Arial" w:hAnsi="Arial"/>
                <w:sz w:val="15"/>
              </w:rPr>
              <w:t>ESG Officers, Insurers, Regulators, Investors, Communities</w:t>
            </w:r>
          </w:p>
        </w:tc>
      </w:tr>
    </w:tbl>
    <w:p>
      <w:pPr>
        <w:pStyle w:val="Heading2"/>
      </w:pPr>
      <w:r>
        <w:t>Ecosystem Variants (Multi-Species)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728"/>
            <w:shd w:fill="0D0D2B" w:val="clear"/>
          </w:tcPr>
          <w:p>
            <w:pPr>
              <w:jc w:val="center"/>
            </w:pPr>
            <w:r/>
            <w:r>
              <w:rPr>
                <w:rFonts w:ascii="Arial" w:hAnsi="Arial"/>
                <w:b/>
                <w:color w:val="FFFFFF"/>
                <w:sz w:val="16"/>
              </w:rPr>
              <w:t>Ecosystem Variant</w:t>
            </w:r>
          </w:p>
        </w:tc>
        <w:tc>
          <w:tcPr>
            <w:tcW w:type="dxa" w:w="2160"/>
            <w:shd w:fill="0D0D2B" w:val="clear"/>
          </w:tcPr>
          <w:p>
            <w:pPr>
              <w:jc w:val="center"/>
            </w:pPr>
            <w:r/>
            <w:r>
              <w:rPr>
                <w:rFonts w:ascii="Arial" w:hAnsi="Arial"/>
                <w:b/>
                <w:color w:val="FFFFFF"/>
                <w:sz w:val="16"/>
              </w:rPr>
              <w:t>Species Included</w:t>
            </w:r>
          </w:p>
        </w:tc>
        <w:tc>
          <w:tcPr>
            <w:tcW w:type="dxa" w:w="1728"/>
            <w:shd w:fill="0D0D2B" w:val="clear"/>
          </w:tcPr>
          <w:p>
            <w:pPr>
              <w:jc w:val="center"/>
            </w:pPr>
            <w:r/>
            <w:r>
              <w:rPr>
                <w:rFonts w:ascii="Arial" w:hAnsi="Arial"/>
                <w:b/>
                <w:color w:val="FFFFFF"/>
                <w:sz w:val="16"/>
              </w:rPr>
              <w:t>Economy Structure</w:t>
            </w:r>
          </w:p>
        </w:tc>
        <w:tc>
          <w:tcPr>
            <w:tcW w:type="dxa" w:w="1728"/>
            <w:shd w:fill="0D0D2B" w:val="clear"/>
          </w:tcPr>
          <w:p>
            <w:pPr>
              <w:jc w:val="center"/>
            </w:pPr>
            <w:r/>
            <w:r>
              <w:rPr>
                <w:rFonts w:ascii="Arial" w:hAnsi="Arial"/>
                <w:b/>
                <w:color w:val="FFFFFF"/>
                <w:sz w:val="16"/>
              </w:rPr>
              <w:t>Governance Model</w:t>
            </w:r>
          </w:p>
        </w:tc>
        <w:tc>
          <w:tcPr>
            <w:tcW w:type="dxa" w:w="1440"/>
            <w:shd w:fill="0D0D2B" w:val="clear"/>
          </w:tcPr>
          <w:p>
            <w:pPr>
              <w:jc w:val="center"/>
            </w:pPr>
            <w:r/>
            <w:r>
              <w:rPr>
                <w:rFonts w:ascii="Arial" w:hAnsi="Arial"/>
                <w:b/>
                <w:color w:val="FFFFFF"/>
                <w:sz w:val="16"/>
              </w:rPr>
              <w:t>Annual Revenue Potential</w:t>
            </w:r>
          </w:p>
        </w:tc>
      </w:tr>
      <w:tr>
        <w:tc>
          <w:tcPr>
            <w:tcW w:type="dxa" w:w="1728"/>
            <w:shd w:fill="EDEDF7" w:val="clear"/>
          </w:tcPr>
          <w:p>
            <w:r/>
            <w:r>
              <w:rPr>
                <w:rFonts w:ascii="Arial" w:hAnsi="Arial"/>
                <w:sz w:val="15"/>
              </w:rPr>
              <w:t>Healthcare Sovereign Ecosystem</w:t>
            </w:r>
          </w:p>
        </w:tc>
        <w:tc>
          <w:tcPr>
            <w:tcW w:type="dxa" w:w="2160"/>
            <w:shd w:fill="EDEDF7" w:val="clear"/>
          </w:tcPr>
          <w:p>
            <w:r/>
            <w:r>
              <w:rPr>
                <w:rFonts w:ascii="Arial" w:hAnsi="Arial"/>
                <w:sz w:val="15"/>
              </w:rPr>
              <w:t>Revenue Integrity + Clinical Intelligence + Workforce + Compliance + Patient Experience</w:t>
            </w:r>
          </w:p>
        </w:tc>
        <w:tc>
          <w:tcPr>
            <w:tcW w:type="dxa" w:w="1728"/>
            <w:shd w:fill="EDEDF7" w:val="clear"/>
          </w:tcPr>
          <w:p>
            <w:r/>
            <w:r>
              <w:rPr>
                <w:rFonts w:ascii="Arial" w:hAnsi="Arial"/>
                <w:sz w:val="15"/>
              </w:rPr>
              <w:t>Subscription + Transaction + Insurance</w:t>
            </w:r>
          </w:p>
        </w:tc>
        <w:tc>
          <w:tcPr>
            <w:tcW w:type="dxa" w:w="1728"/>
            <w:shd w:fill="EDEDF7" w:val="clear"/>
          </w:tcPr>
          <w:p>
            <w:r/>
            <w:r>
              <w:rPr>
                <w:rFonts w:ascii="Arial" w:hAnsi="Arial"/>
                <w:sz w:val="15"/>
              </w:rPr>
              <w:t>E-AEGL + HIPAA/HITECH overlay</w:t>
            </w:r>
          </w:p>
        </w:tc>
        <w:tc>
          <w:tcPr>
            <w:tcW w:type="dxa" w:w="1440"/>
            <w:shd w:fill="EDEDF7" w:val="clear"/>
          </w:tcPr>
          <w:p>
            <w:r/>
            <w:r>
              <w:rPr>
                <w:rFonts w:ascii="Arial" w:hAnsi="Arial"/>
                <w:sz w:val="15"/>
              </w:rPr>
              <w:t>$50-200M (3-5 year horizon)</w:t>
            </w:r>
          </w:p>
        </w:tc>
      </w:tr>
      <w:tr>
        <w:tc>
          <w:tcPr>
            <w:tcW w:type="dxa" w:w="1728"/>
          </w:tcPr>
          <w:p>
            <w:r/>
            <w:r>
              <w:rPr>
                <w:rFonts w:ascii="Arial" w:hAnsi="Arial"/>
                <w:sz w:val="15"/>
              </w:rPr>
              <w:t>Financial Services Ecosystem</w:t>
            </w:r>
          </w:p>
        </w:tc>
        <w:tc>
          <w:tcPr>
            <w:tcW w:type="dxa" w:w="2160"/>
          </w:tcPr>
          <w:p>
            <w:r/>
            <w:r>
              <w:rPr>
                <w:rFonts w:ascii="Arial" w:hAnsi="Arial"/>
                <w:sz w:val="15"/>
              </w:rPr>
              <w:t>Financial Intelligence + Risk + Compliance + Trading + Insurance + Governance</w:t>
            </w:r>
          </w:p>
        </w:tc>
        <w:tc>
          <w:tcPr>
            <w:tcW w:type="dxa" w:w="1728"/>
          </w:tcPr>
          <w:p>
            <w:r/>
            <w:r>
              <w:rPr>
                <w:rFonts w:ascii="Arial" w:hAnsi="Arial"/>
                <w:sz w:val="15"/>
              </w:rPr>
              <w:t>License + Transaction + Advisory</w:t>
            </w:r>
          </w:p>
        </w:tc>
        <w:tc>
          <w:tcPr>
            <w:tcW w:type="dxa" w:w="1728"/>
          </w:tcPr>
          <w:p>
            <w:r/>
            <w:r>
              <w:rPr>
                <w:rFonts w:ascii="Arial" w:hAnsi="Arial"/>
                <w:sz w:val="15"/>
              </w:rPr>
              <w:t>E-AEGL + SEC/FCA/MAS overlay</w:t>
            </w:r>
          </w:p>
        </w:tc>
        <w:tc>
          <w:tcPr>
            <w:tcW w:type="dxa" w:w="1440"/>
          </w:tcPr>
          <w:p>
            <w:r/>
            <w:r>
              <w:rPr>
                <w:rFonts w:ascii="Arial" w:hAnsi="Arial"/>
                <w:sz w:val="15"/>
              </w:rPr>
              <w:t>$100-500M</w:t>
            </w:r>
          </w:p>
        </w:tc>
      </w:tr>
      <w:tr>
        <w:tc>
          <w:tcPr>
            <w:tcW w:type="dxa" w:w="1728"/>
            <w:shd w:fill="EDEDF7" w:val="clear"/>
          </w:tcPr>
          <w:p>
            <w:r/>
            <w:r>
              <w:rPr>
                <w:rFonts w:ascii="Arial" w:hAnsi="Arial"/>
                <w:sz w:val="15"/>
              </w:rPr>
              <w:t>Supply Chain Global Ecosystem</w:t>
            </w:r>
          </w:p>
        </w:tc>
        <w:tc>
          <w:tcPr>
            <w:tcW w:type="dxa" w:w="2160"/>
            <w:shd w:fill="EDEDF7" w:val="clear"/>
          </w:tcPr>
          <w:p>
            <w:r/>
            <w:r>
              <w:rPr>
                <w:rFonts w:ascii="Arial" w:hAnsi="Arial"/>
                <w:sz w:val="15"/>
              </w:rPr>
              <w:t>Supply Chain Sovereignty + Trade + Logistics + Insurance + Workforce</w:t>
            </w:r>
          </w:p>
        </w:tc>
        <w:tc>
          <w:tcPr>
            <w:tcW w:type="dxa" w:w="1728"/>
            <w:shd w:fill="EDEDF7" w:val="clear"/>
          </w:tcPr>
          <w:p>
            <w:r/>
            <w:r>
              <w:rPr>
                <w:rFonts w:ascii="Arial" w:hAnsi="Arial"/>
                <w:sz w:val="15"/>
              </w:rPr>
              <w:t>Transaction + Marketplace + Data</w:t>
            </w:r>
          </w:p>
        </w:tc>
        <w:tc>
          <w:tcPr>
            <w:tcW w:type="dxa" w:w="1728"/>
            <w:shd w:fill="EDEDF7" w:val="clear"/>
          </w:tcPr>
          <w:p>
            <w:r/>
            <w:r>
              <w:rPr>
                <w:rFonts w:ascii="Arial" w:hAnsi="Arial"/>
                <w:sz w:val="15"/>
              </w:rPr>
              <w:t>E-AEGL + WTO/Customs overlay</w:t>
            </w:r>
          </w:p>
        </w:tc>
        <w:tc>
          <w:tcPr>
            <w:tcW w:type="dxa" w:w="1440"/>
            <w:shd w:fill="EDEDF7" w:val="clear"/>
          </w:tcPr>
          <w:p>
            <w:r/>
            <w:r>
              <w:rPr>
                <w:rFonts w:ascii="Arial" w:hAnsi="Arial"/>
                <w:sz w:val="15"/>
              </w:rPr>
              <w:t>$75-300M</w:t>
            </w:r>
          </w:p>
        </w:tc>
      </w:tr>
      <w:tr>
        <w:tc>
          <w:tcPr>
            <w:tcW w:type="dxa" w:w="1728"/>
          </w:tcPr>
          <w:p>
            <w:r/>
            <w:r>
              <w:rPr>
                <w:rFonts w:ascii="Arial" w:hAnsi="Arial"/>
                <w:sz w:val="15"/>
              </w:rPr>
              <w:t>Education-Workforce Ecosystem</w:t>
            </w:r>
          </w:p>
        </w:tc>
        <w:tc>
          <w:tcPr>
            <w:tcW w:type="dxa" w:w="2160"/>
          </w:tcPr>
          <w:p>
            <w:r/>
            <w:r>
              <w:rPr>
                <w:rFonts w:ascii="Arial" w:hAnsi="Arial"/>
                <w:sz w:val="15"/>
              </w:rPr>
              <w:t>Education-Employment + Talent + Training + Credential + Career</w:t>
            </w:r>
          </w:p>
        </w:tc>
        <w:tc>
          <w:tcPr>
            <w:tcW w:type="dxa" w:w="1728"/>
          </w:tcPr>
          <w:p>
            <w:r/>
            <w:r>
              <w:rPr>
                <w:rFonts w:ascii="Arial" w:hAnsi="Arial"/>
                <w:sz w:val="15"/>
              </w:rPr>
              <w:t>Subscription + Credential + PEO</w:t>
            </w:r>
          </w:p>
        </w:tc>
        <w:tc>
          <w:tcPr>
            <w:tcW w:type="dxa" w:w="1728"/>
          </w:tcPr>
          <w:p>
            <w:r/>
            <w:r>
              <w:rPr>
                <w:rFonts w:ascii="Arial" w:hAnsi="Arial"/>
                <w:sz w:val="15"/>
              </w:rPr>
              <w:t>E-AEGL + Accreditation overlay</w:t>
            </w:r>
          </w:p>
        </w:tc>
        <w:tc>
          <w:tcPr>
            <w:tcW w:type="dxa" w:w="1440"/>
          </w:tcPr>
          <w:p>
            <w:r/>
            <w:r>
              <w:rPr>
                <w:rFonts w:ascii="Arial" w:hAnsi="Arial"/>
                <w:sz w:val="15"/>
              </w:rPr>
              <w:t>$25-100M</w:t>
            </w:r>
          </w:p>
        </w:tc>
      </w:tr>
      <w:tr>
        <w:tc>
          <w:tcPr>
            <w:tcW w:type="dxa" w:w="1728"/>
            <w:shd w:fill="EDEDF7" w:val="clear"/>
          </w:tcPr>
          <w:p>
            <w:r/>
            <w:r>
              <w:rPr>
                <w:rFonts w:ascii="Arial" w:hAnsi="Arial"/>
                <w:sz w:val="15"/>
              </w:rPr>
              <w:t>Government Services Ecosystem</w:t>
            </w:r>
          </w:p>
        </w:tc>
        <w:tc>
          <w:tcPr>
            <w:tcW w:type="dxa" w:w="2160"/>
            <w:shd w:fill="EDEDF7" w:val="clear"/>
          </w:tcPr>
          <w:p>
            <w:r/>
            <w:r>
              <w:rPr>
                <w:rFonts w:ascii="Arial" w:hAnsi="Arial"/>
                <w:sz w:val="15"/>
              </w:rPr>
              <w:t>GovTech + Compliance + Citizen Service + Infrastructure + Procurement</w:t>
            </w:r>
          </w:p>
        </w:tc>
        <w:tc>
          <w:tcPr>
            <w:tcW w:type="dxa" w:w="1728"/>
            <w:shd w:fill="EDEDF7" w:val="clear"/>
          </w:tcPr>
          <w:p>
            <w:r/>
            <w:r>
              <w:rPr>
                <w:rFonts w:ascii="Arial" w:hAnsi="Arial"/>
                <w:sz w:val="15"/>
              </w:rPr>
              <w:t>License + Success-based + Data</w:t>
            </w:r>
          </w:p>
        </w:tc>
        <w:tc>
          <w:tcPr>
            <w:tcW w:type="dxa" w:w="1728"/>
            <w:shd w:fill="EDEDF7" w:val="clear"/>
          </w:tcPr>
          <w:p>
            <w:r/>
            <w:r>
              <w:rPr>
                <w:rFonts w:ascii="Arial" w:hAnsi="Arial"/>
                <w:sz w:val="15"/>
              </w:rPr>
              <w:t>E-AEGL + Sovereign governance</w:t>
            </w:r>
          </w:p>
        </w:tc>
        <w:tc>
          <w:tcPr>
            <w:tcW w:type="dxa" w:w="1440"/>
            <w:shd w:fill="EDEDF7" w:val="clear"/>
          </w:tcPr>
          <w:p>
            <w:r/>
            <w:r>
              <w:rPr>
                <w:rFonts w:ascii="Arial" w:hAnsi="Arial"/>
                <w:sz w:val="15"/>
              </w:rPr>
              <w:t>$200M-1B (institutional scale)</w:t>
            </w:r>
          </w:p>
        </w:tc>
      </w:tr>
    </w:tbl>
    <w:p>
      <w:r>
        <w:br w:type="page"/>
      </w:r>
    </w:p>
    <w:p>
      <w:pPr>
        <w:pStyle w:val="Heading1"/>
      </w:pPr>
      <w:r>
        <w:t>9. The Consumption Waterfall: How Platforms Consume Entire Streams</w:t>
      </w:r>
    </w:p>
    <w:p>
      <w:pPr>
        <w:spacing w:after="60"/>
      </w:pPr>
      <w:r>
        <w:rPr>
          <w:rFonts w:ascii="Arial" w:hAnsi="Arial"/>
          <w:b w:val="0"/>
          <w:sz w:val="20"/>
        </w:rPr>
        <w:t>The user stated: "slowly consume the entire stream." This is the consumption waterfall — how a single AINE at a single platform surface expands to consume the entire industry entropy stream.</w:t>
      </w:r>
    </w:p>
    <w:p>
      <w:pPr>
        <w:pStyle w:val="Heading3"/>
      </w:pPr>
      <w:r>
        <w:t>Stage 1: Single Process AINE</w:t>
      </w:r>
    </w:p>
    <w:p>
      <w:pPr>
        <w:spacing w:after="60"/>
      </w:pPr>
      <w:r>
        <w:rPr>
          <w:rFonts w:ascii="Arial" w:hAnsi="Arial"/>
          <w:b w:val="0"/>
          <w:sz w:val="19"/>
        </w:rPr>
        <w:t>One AINE deployed against one entropy vector in one business process for one code.</w:t>
      </w:r>
    </w:p>
    <w:p>
      <w:pPr>
        <w:spacing w:after="60"/>
      </w:pPr>
      <w:r>
        <w:rPr>
          <w:rFonts w:ascii="Arial" w:hAnsi="Arial"/>
          <w:b w:val="0"/>
          <w:color w:val="2D1B69"/>
          <w:sz w:val="18"/>
        </w:rPr>
        <w:t>Example: Billing leakage recovery AINE for NAICS 524210 (Insurance Agencies).</w:t>
      </w:r>
    </w:p>
    <w:p>
      <w:pPr>
        <w:spacing w:after="60"/>
      </w:pPr>
      <w:r>
        <w:rPr>
          <w:rFonts w:ascii="Arial" w:hAnsi="Arial"/>
          <w:b/>
          <w:sz w:val="18"/>
        </w:rPr>
        <w:t>Revenue: $2K/mo per client. 10 clients = $20K/mo.</w:t>
      </w:r>
    </w:p>
    <w:p>
      <w:pPr>
        <w:spacing w:after="60"/>
      </w:pPr>
      <w:r>
        <w:rPr>
          <w:rFonts w:ascii="Arial" w:hAnsi="Arial"/>
          <w:b w:val="0"/>
          <w:color w:val="006400"/>
          <w:sz w:val="18"/>
        </w:rPr>
        <w:t>Stakeholders: CFO, AP clerks, carriers.</w:t>
      </w:r>
    </w:p>
    <w:p>
      <w:pPr>
        <w:pStyle w:val="Heading3"/>
      </w:pPr>
      <w:r>
        <w:t>Stage 2: Function Expansion</w:t>
      </w:r>
    </w:p>
    <w:p>
      <w:pPr>
        <w:spacing w:after="60"/>
      </w:pPr>
      <w:r>
        <w:rPr>
          <w:rFonts w:ascii="Arial" w:hAnsi="Arial"/>
          <w:b w:val="0"/>
          <w:sz w:val="19"/>
        </w:rPr>
        <w:t>Same client, same code, but AINE expands across multiple processes within the same business function.</w:t>
      </w:r>
    </w:p>
    <w:p>
      <w:pPr>
        <w:spacing w:after="60"/>
      </w:pPr>
      <w:r>
        <w:rPr>
          <w:rFonts w:ascii="Arial" w:hAnsi="Arial"/>
          <w:b w:val="0"/>
          <w:color w:val="2D1B69"/>
          <w:sz w:val="18"/>
        </w:rPr>
        <w:t>Example: From billing to commission calculation to premium reconciliation to financial reporting.</w:t>
      </w:r>
    </w:p>
    <w:p>
      <w:pPr>
        <w:spacing w:after="60"/>
      </w:pPr>
      <w:r>
        <w:rPr>
          <w:rFonts w:ascii="Arial" w:hAnsi="Arial"/>
          <w:b/>
          <w:sz w:val="18"/>
        </w:rPr>
        <w:t>Revenue: $8K/mo per client (4x). 10 clients = $80K/mo.</w:t>
      </w:r>
    </w:p>
    <w:p>
      <w:pPr>
        <w:spacing w:after="60"/>
      </w:pPr>
      <w:r>
        <w:rPr>
          <w:rFonts w:ascii="Arial" w:hAnsi="Arial"/>
          <w:b w:val="0"/>
          <w:color w:val="006400"/>
          <w:sz w:val="18"/>
        </w:rPr>
        <w:t>Stakeholders add: Controllers, auditors, tax.</w:t>
      </w:r>
    </w:p>
    <w:p>
      <w:pPr>
        <w:pStyle w:val="Heading3"/>
      </w:pPr>
      <w:r>
        <w:t>Stage 3: Cross-Function Species</w:t>
      </w:r>
    </w:p>
    <w:p>
      <w:pPr>
        <w:spacing w:after="60"/>
      </w:pPr>
      <w:r>
        <w:rPr>
          <w:rFonts w:ascii="Arial" w:hAnsi="Arial"/>
          <w:b w:val="0"/>
          <w:sz w:val="19"/>
        </w:rPr>
        <w:t>AINEs from different business functions begin sharing data within the same client.</w:t>
      </w:r>
    </w:p>
    <w:p>
      <w:pPr>
        <w:spacing w:after="60"/>
      </w:pPr>
      <w:r>
        <w:rPr>
          <w:rFonts w:ascii="Arial" w:hAnsi="Arial"/>
          <w:b w:val="0"/>
          <w:color w:val="2D1B69"/>
          <w:sz w:val="18"/>
        </w:rPr>
        <w:t>Example: Finance AINEs connect to Compliance AINEs. Compliance connects to Operations.</w:t>
      </w:r>
    </w:p>
    <w:p>
      <w:pPr>
        <w:spacing w:after="60"/>
      </w:pPr>
      <w:r>
        <w:rPr>
          <w:rFonts w:ascii="Arial" w:hAnsi="Arial"/>
          <w:b/>
          <w:sz w:val="18"/>
        </w:rPr>
        <w:t>Revenue: $25K/mo per client (species pricing). 10 clients = $250K/mo.</w:t>
      </w:r>
    </w:p>
    <w:p>
      <w:pPr>
        <w:spacing w:after="60"/>
      </w:pPr>
      <w:r>
        <w:rPr>
          <w:rFonts w:ascii="Arial" w:hAnsi="Arial"/>
          <w:b w:val="0"/>
          <w:color w:val="006400"/>
          <w:sz w:val="18"/>
        </w:rPr>
        <w:t>Stakeholders add: Compliance, ops, legal.</w:t>
      </w:r>
    </w:p>
    <w:p>
      <w:pPr>
        <w:pStyle w:val="Heading3"/>
      </w:pPr>
      <w:r>
        <w:t>Stage 4: Code Expansion</w:t>
      </w:r>
    </w:p>
    <w:p>
      <w:pPr>
        <w:spacing w:after="60"/>
      </w:pPr>
      <w:r>
        <w:rPr>
          <w:rFonts w:ascii="Arial" w:hAnsi="Arial"/>
          <w:b w:val="0"/>
          <w:sz w:val="19"/>
        </w:rPr>
        <w:t>Same species, but deployed across adjacent NAICS codes in the same vertical.</w:t>
      </w:r>
    </w:p>
    <w:p>
      <w:pPr>
        <w:spacing w:after="60"/>
      </w:pPr>
      <w:r>
        <w:rPr>
          <w:rFonts w:ascii="Arial" w:hAnsi="Arial"/>
          <w:b w:val="0"/>
          <w:color w:val="2D1B69"/>
          <w:sz w:val="18"/>
        </w:rPr>
        <w:t>Example: From Insurance Agencies (524210) to Insurance Carriers (524113) to Reinsurers (524130).</w:t>
      </w:r>
    </w:p>
    <w:p>
      <w:pPr>
        <w:spacing w:after="60"/>
      </w:pPr>
      <w:r>
        <w:rPr>
          <w:rFonts w:ascii="Arial" w:hAnsi="Arial"/>
          <w:b/>
          <w:sz w:val="18"/>
        </w:rPr>
        <w:t>Revenue: $25K/mo x 30 clients across 3 codes = $750K/mo.</w:t>
      </w:r>
    </w:p>
    <w:p>
      <w:pPr>
        <w:spacing w:after="60"/>
      </w:pPr>
      <w:r>
        <w:rPr>
          <w:rFonts w:ascii="Arial" w:hAnsi="Arial"/>
          <w:b w:val="0"/>
          <w:color w:val="006400"/>
          <w:sz w:val="18"/>
        </w:rPr>
        <w:t>Stakeholders add: Entire insurance vertical.</w:t>
      </w:r>
    </w:p>
    <w:p>
      <w:pPr>
        <w:pStyle w:val="Heading3"/>
      </w:pPr>
      <w:r>
        <w:t>Stage 5: Cross-Code Ecosystem</w:t>
      </w:r>
    </w:p>
    <w:p>
      <w:pPr>
        <w:spacing w:after="60"/>
      </w:pPr>
      <w:r>
        <w:rPr>
          <w:rFonts w:ascii="Arial" w:hAnsi="Arial"/>
          <w:b w:val="0"/>
          <w:sz w:val="19"/>
        </w:rPr>
        <w:t>Species mutate into ecosystem spanning multiple code families.</w:t>
      </w:r>
    </w:p>
    <w:p>
      <w:pPr>
        <w:spacing w:after="60"/>
      </w:pPr>
      <w:r>
        <w:rPr>
          <w:rFonts w:ascii="Arial" w:hAnsi="Arial"/>
          <w:b w:val="0"/>
          <w:color w:val="2D1B69"/>
          <w:sz w:val="18"/>
        </w:rPr>
        <w:t>Example: Insurance ecosystem connects to Healthcare (6211-6223) via claims. Connects to Legal (5411) via liability.</w:t>
      </w:r>
    </w:p>
    <w:p>
      <w:pPr>
        <w:spacing w:after="60"/>
      </w:pPr>
      <w:r>
        <w:rPr>
          <w:rFonts w:ascii="Arial" w:hAnsi="Arial"/>
          <w:b/>
          <w:sz w:val="18"/>
        </w:rPr>
        <w:t>Revenue: $2-5M/mo as ecosystem. Platform lock-in achieved.</w:t>
      </w:r>
    </w:p>
    <w:p>
      <w:pPr>
        <w:spacing w:after="60"/>
      </w:pPr>
      <w:r>
        <w:rPr>
          <w:rFonts w:ascii="Arial" w:hAnsi="Arial"/>
          <w:b w:val="0"/>
          <w:color w:val="006400"/>
          <w:sz w:val="18"/>
        </w:rPr>
        <w:t>Stakeholders: Every participant in the value chain.</w:t>
      </w:r>
    </w:p>
    <w:p>
      <w:pPr>
        <w:pStyle w:val="Heading3"/>
      </w:pPr>
      <w:r>
        <w:t>Stage 6: Jurisdictional Expansion</w:t>
      </w:r>
    </w:p>
    <w:p>
      <w:pPr>
        <w:spacing w:after="60"/>
      </w:pPr>
      <w:r>
        <w:rPr>
          <w:rFonts w:ascii="Arial" w:hAnsi="Arial"/>
          <w:b w:val="0"/>
          <w:sz w:val="19"/>
        </w:rPr>
        <w:t>Ecosystem replicates across jurisdictions using country-specific classification systems.</w:t>
      </w:r>
    </w:p>
    <w:p>
      <w:pPr>
        <w:spacing w:after="60"/>
      </w:pPr>
      <w:r>
        <w:rPr>
          <w:rFonts w:ascii="Arial" w:hAnsi="Arial"/>
          <w:b w:val="0"/>
          <w:color w:val="2D1B69"/>
          <w:sz w:val="18"/>
        </w:rPr>
        <w:t>Example: US (NAICS) to UK (UK SIC) to Singapore (SSIC) to India (NIC). Same species, localized governance.</w:t>
      </w:r>
    </w:p>
    <w:p>
      <w:pPr>
        <w:spacing w:after="60"/>
      </w:pPr>
      <w:r>
        <w:rPr>
          <w:rFonts w:ascii="Arial" w:hAnsi="Arial"/>
          <w:b/>
          <w:sz w:val="18"/>
        </w:rPr>
        <w:t>Revenue: $10-25M/mo. Sanctuary formed.</w:t>
      </w:r>
    </w:p>
    <w:p>
      <w:pPr>
        <w:spacing w:after="60"/>
      </w:pPr>
      <w:r>
        <w:rPr>
          <w:rFonts w:ascii="Arial" w:hAnsi="Arial"/>
          <w:b w:val="0"/>
          <w:color w:val="006400"/>
          <w:sz w:val="18"/>
        </w:rPr>
        <w:t>Stakeholders: Multinational institutions, regulators, governments.</w:t>
      </w:r>
    </w:p>
    <w:p>
      <w:pPr>
        <w:pStyle w:val="Heading3"/>
      </w:pPr>
      <w:r>
        <w:t>Stage 7: Invisible Infrastructure</w:t>
      </w:r>
    </w:p>
    <w:p>
      <w:pPr>
        <w:spacing w:after="60"/>
      </w:pPr>
      <w:r>
        <w:rPr>
          <w:rFonts w:ascii="Arial" w:hAnsi="Arial"/>
          <w:b w:val="0"/>
          <w:sz w:val="19"/>
        </w:rPr>
        <w:t>The ecosystem becomes infrastructure that participants cannot operate without.</w:t>
      </w:r>
    </w:p>
    <w:p>
      <w:pPr>
        <w:spacing w:after="60"/>
      </w:pPr>
      <w:r>
        <w:rPr>
          <w:rFonts w:ascii="Arial" w:hAnsi="Arial"/>
          <w:b w:val="0"/>
          <w:color w:val="2D1B69"/>
          <w:sz w:val="18"/>
        </w:rPr>
        <w:t>Example: Like SWIFT for banking or DTCC for clearing. AINEFF layer becomes invisible but essential.</w:t>
      </w:r>
    </w:p>
    <w:p>
      <w:pPr>
        <w:spacing w:after="60"/>
      </w:pPr>
      <w:r>
        <w:rPr>
          <w:rFonts w:ascii="Arial" w:hAnsi="Arial"/>
          <w:b/>
          <w:sz w:val="18"/>
        </w:rPr>
        <w:t>Revenue: Transaction fees on economic activity. $100M+/yr.</w:t>
      </w:r>
    </w:p>
    <w:p>
      <w:pPr>
        <w:spacing w:after="60"/>
      </w:pPr>
      <w:r>
        <w:rPr>
          <w:rFonts w:ascii="Arial" w:hAnsi="Arial"/>
          <w:b w:val="0"/>
          <w:color w:val="006400"/>
          <w:sz w:val="18"/>
        </w:rPr>
        <w:t>Stakeholders: Everyone. The stream is consumed.</w:t>
      </w:r>
    </w:p>
    <w:p>
      <w:r>
        <w:br w:type="page"/>
      </w:r>
    </w:p>
    <w:p>
      <w:pPr>
        <w:pStyle w:val="Heading1"/>
      </w:pPr>
      <w:r>
        <w:t>10. Deployment Roadmap: Matrix to Platforms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864"/>
            <w:shd w:fill="0D0D2B" w:val="clear"/>
          </w:tcPr>
          <w:p>
            <w:pPr>
              <w:jc w:val="center"/>
            </w:pPr>
            <w:r/>
            <w:r>
              <w:rPr>
                <w:rFonts w:ascii="Arial" w:hAnsi="Arial"/>
                <w:b/>
                <w:color w:val="FFFFFF"/>
                <w:sz w:val="16"/>
              </w:rPr>
              <w:t>Phase</w:t>
            </w:r>
          </w:p>
        </w:tc>
        <w:tc>
          <w:tcPr>
            <w:tcW w:type="dxa" w:w="864"/>
            <w:shd w:fill="0D0D2B" w:val="clear"/>
          </w:tcPr>
          <w:p>
            <w:pPr>
              <w:jc w:val="center"/>
            </w:pPr>
            <w:r/>
            <w:r>
              <w:rPr>
                <w:rFonts w:ascii="Arial" w:hAnsi="Arial"/>
                <w:b/>
                <w:color w:val="FFFFFF"/>
                <w:sz w:val="16"/>
              </w:rPr>
              <w:t>Timeline</w:t>
            </w:r>
          </w:p>
        </w:tc>
        <w:tc>
          <w:tcPr>
            <w:tcW w:type="dxa" w:w="2592"/>
            <w:shd w:fill="0D0D2B" w:val="clear"/>
          </w:tcPr>
          <w:p>
            <w:pPr>
              <w:jc w:val="center"/>
            </w:pPr>
            <w:r/>
            <w:r>
              <w:rPr>
                <w:rFonts w:ascii="Arial" w:hAnsi="Arial"/>
                <w:b/>
                <w:color w:val="FFFFFF"/>
                <w:sz w:val="16"/>
              </w:rPr>
              <w:t>Action</w:t>
            </w:r>
          </w:p>
        </w:tc>
        <w:tc>
          <w:tcPr>
            <w:tcW w:type="dxa" w:w="1440"/>
            <w:shd w:fill="0D0D2B" w:val="clear"/>
          </w:tcPr>
          <w:p>
            <w:pPr>
              <w:jc w:val="center"/>
            </w:pPr>
            <w:r/>
            <w:r>
              <w:rPr>
                <w:rFonts w:ascii="Arial" w:hAnsi="Arial"/>
                <w:b/>
                <w:color w:val="FFFFFF"/>
                <w:sz w:val="16"/>
              </w:rPr>
              <w:t>Platform Surfaces Activated</w:t>
            </w:r>
          </w:p>
        </w:tc>
        <w:tc>
          <w:tcPr>
            <w:tcW w:type="dxa" w:w="1152"/>
            <w:shd w:fill="0D0D2B" w:val="clear"/>
          </w:tcPr>
          <w:p>
            <w:pPr>
              <w:jc w:val="center"/>
            </w:pPr>
            <w:r/>
            <w:r>
              <w:rPr>
                <w:rFonts w:ascii="Arial" w:hAnsi="Arial"/>
                <w:b/>
                <w:color w:val="FFFFFF"/>
                <w:sz w:val="16"/>
              </w:rPr>
              <w:t>Revenue Target</w:t>
            </w:r>
          </w:p>
        </w:tc>
        <w:tc>
          <w:tcPr>
            <w:tcW w:type="dxa" w:w="1152"/>
            <w:shd w:fill="0D0D2B" w:val="clear"/>
          </w:tcPr>
          <w:p>
            <w:pPr>
              <w:jc w:val="center"/>
            </w:pPr>
            <w:r/>
            <w:r>
              <w:rPr>
                <w:rFonts w:ascii="Arial" w:hAnsi="Arial"/>
                <w:b/>
                <w:color w:val="FFFFFF"/>
                <w:sz w:val="16"/>
              </w:rPr>
              <w:t>Species Formed</w:t>
            </w:r>
          </w:p>
        </w:tc>
      </w:tr>
      <w:tr>
        <w:tc>
          <w:tcPr>
            <w:tcW w:type="dxa" w:w="864"/>
            <w:shd w:fill="EDEDF7" w:val="clear"/>
          </w:tcPr>
          <w:p>
            <w:r/>
            <w:r>
              <w:rPr>
                <w:rFonts w:ascii="Arial" w:hAnsi="Arial"/>
                <w:sz w:val="15"/>
              </w:rPr>
              <w:t>Phase 1: Seed AINEs</w:t>
            </w:r>
          </w:p>
        </w:tc>
        <w:tc>
          <w:tcPr>
            <w:tcW w:type="dxa" w:w="864"/>
            <w:shd w:fill="EDEDF7" w:val="clear"/>
          </w:tcPr>
          <w:p>
            <w:r/>
            <w:r>
              <w:rPr>
                <w:rFonts w:ascii="Arial" w:hAnsi="Arial"/>
                <w:sz w:val="15"/>
              </w:rPr>
              <w:t>Months 1-3</w:t>
            </w:r>
          </w:p>
        </w:tc>
        <w:tc>
          <w:tcPr>
            <w:tcW w:type="dxa" w:w="2592"/>
            <w:shd w:fill="EDEDF7" w:val="clear"/>
          </w:tcPr>
          <w:p>
            <w:r/>
            <w:r>
              <w:rPr>
                <w:rFonts w:ascii="Arial" w:hAnsi="Arial"/>
                <w:sz w:val="15"/>
              </w:rPr>
              <w:t>Deploy 10 AINEs against highest-severity codes from Sovereign Matrix. Focus on 3 NAICS sectors with deepest entropy (Healthcare 62, Finance 52, Professional Services 54).</w:t>
            </w:r>
          </w:p>
        </w:tc>
        <w:tc>
          <w:tcPr>
            <w:tcW w:type="dxa" w:w="1440"/>
            <w:shd w:fill="EDEDF7" w:val="clear"/>
          </w:tcPr>
          <w:p>
            <w:r/>
            <w:r>
              <w:rPr>
                <w:rFonts w:ascii="Arial" w:hAnsi="Arial"/>
                <w:sz w:val="15"/>
              </w:rPr>
              <w:t>10 surfaces (single process each)</w:t>
            </w:r>
          </w:p>
        </w:tc>
        <w:tc>
          <w:tcPr>
            <w:tcW w:type="dxa" w:w="1152"/>
            <w:shd w:fill="EDEDF7" w:val="clear"/>
          </w:tcPr>
          <w:p>
            <w:r/>
            <w:r>
              <w:rPr>
                <w:rFonts w:ascii="Arial" w:hAnsi="Arial"/>
                <w:sz w:val="15"/>
              </w:rPr>
              <w:t>$50-100K/mo</w:t>
            </w:r>
          </w:p>
        </w:tc>
        <w:tc>
          <w:tcPr>
            <w:tcW w:type="dxa" w:w="1152"/>
            <w:shd w:fill="EDEDF7" w:val="clear"/>
          </w:tcPr>
          <w:p>
            <w:r/>
            <w:r>
              <w:rPr>
                <w:rFonts w:ascii="Arial" w:hAnsi="Arial"/>
                <w:sz w:val="15"/>
              </w:rPr>
              <w:t>0</w:t>
            </w:r>
          </w:p>
        </w:tc>
      </w:tr>
      <w:tr>
        <w:tc>
          <w:tcPr>
            <w:tcW w:type="dxa" w:w="864"/>
          </w:tcPr>
          <w:p>
            <w:r/>
            <w:r>
              <w:rPr>
                <w:rFonts w:ascii="Arial" w:hAnsi="Arial"/>
                <w:sz w:val="15"/>
              </w:rPr>
              <w:t>Phase 2: Function Expansion</w:t>
            </w:r>
          </w:p>
        </w:tc>
        <w:tc>
          <w:tcPr>
            <w:tcW w:type="dxa" w:w="864"/>
          </w:tcPr>
          <w:p>
            <w:r/>
            <w:r>
              <w:rPr>
                <w:rFonts w:ascii="Arial" w:hAnsi="Arial"/>
                <w:sz w:val="15"/>
              </w:rPr>
              <w:t>Months 4-6</w:t>
            </w:r>
          </w:p>
        </w:tc>
        <w:tc>
          <w:tcPr>
            <w:tcW w:type="dxa" w:w="2592"/>
          </w:tcPr>
          <w:p>
            <w:r/>
            <w:r>
              <w:rPr>
                <w:rFonts w:ascii="Arial" w:hAnsi="Arial"/>
                <w:sz w:val="15"/>
              </w:rPr>
              <w:t>Expand each AINE across 3-5 processes within its business function. Begin cross-function data sharing within clients.</w:t>
            </w:r>
          </w:p>
        </w:tc>
        <w:tc>
          <w:tcPr>
            <w:tcW w:type="dxa" w:w="1440"/>
          </w:tcPr>
          <w:p>
            <w:r/>
            <w:r>
              <w:rPr>
                <w:rFonts w:ascii="Arial" w:hAnsi="Arial"/>
                <w:sz w:val="15"/>
              </w:rPr>
              <w:t>50 surfaces (multi-process)</w:t>
            </w:r>
          </w:p>
        </w:tc>
        <w:tc>
          <w:tcPr>
            <w:tcW w:type="dxa" w:w="1152"/>
          </w:tcPr>
          <w:p>
            <w:r/>
            <w:r>
              <w:rPr>
                <w:rFonts w:ascii="Arial" w:hAnsi="Arial"/>
                <w:sz w:val="15"/>
              </w:rPr>
              <w:t>$200-500K/mo</w:t>
            </w:r>
          </w:p>
        </w:tc>
        <w:tc>
          <w:tcPr>
            <w:tcW w:type="dxa" w:w="1152"/>
          </w:tcPr>
          <w:p>
            <w:r/>
            <w:r>
              <w:rPr>
                <w:rFonts w:ascii="Arial" w:hAnsi="Arial"/>
                <w:sz w:val="15"/>
              </w:rPr>
              <w:t>2-3 species</w:t>
            </w:r>
          </w:p>
        </w:tc>
      </w:tr>
      <w:tr>
        <w:tc>
          <w:tcPr>
            <w:tcW w:type="dxa" w:w="864"/>
            <w:shd w:fill="EDEDF7" w:val="clear"/>
          </w:tcPr>
          <w:p>
            <w:r/>
            <w:r>
              <w:rPr>
                <w:rFonts w:ascii="Arial" w:hAnsi="Arial"/>
                <w:sz w:val="15"/>
              </w:rPr>
              <w:t>Phase 3: Code Expansion</w:t>
            </w:r>
          </w:p>
        </w:tc>
        <w:tc>
          <w:tcPr>
            <w:tcW w:type="dxa" w:w="864"/>
            <w:shd w:fill="EDEDF7" w:val="clear"/>
          </w:tcPr>
          <w:p>
            <w:r/>
            <w:r>
              <w:rPr>
                <w:rFonts w:ascii="Arial" w:hAnsi="Arial"/>
                <w:sz w:val="15"/>
              </w:rPr>
              <w:t>Months 7-9</w:t>
            </w:r>
          </w:p>
        </w:tc>
        <w:tc>
          <w:tcPr>
            <w:tcW w:type="dxa" w:w="2592"/>
            <w:shd w:fill="EDEDF7" w:val="clear"/>
          </w:tcPr>
          <w:p>
            <w:r/>
            <w:r>
              <w:rPr>
                <w:rFonts w:ascii="Arial" w:hAnsi="Arial"/>
                <w:sz w:val="15"/>
              </w:rPr>
              <w:t>Replicate proven AINEs to adjacent NAICS codes. Launch marketplace for AINE discovery. AgentCoders builds templated AINEs.</w:t>
            </w:r>
          </w:p>
        </w:tc>
        <w:tc>
          <w:tcPr>
            <w:tcW w:type="dxa" w:w="1440"/>
            <w:shd w:fill="EDEDF7" w:val="clear"/>
          </w:tcPr>
          <w:p>
            <w:r/>
            <w:r>
              <w:rPr>
                <w:rFonts w:ascii="Arial" w:hAnsi="Arial"/>
                <w:sz w:val="15"/>
              </w:rPr>
              <w:t>200 surfaces across 30 codes</w:t>
            </w:r>
          </w:p>
        </w:tc>
        <w:tc>
          <w:tcPr>
            <w:tcW w:type="dxa" w:w="1152"/>
            <w:shd w:fill="EDEDF7" w:val="clear"/>
          </w:tcPr>
          <w:p>
            <w:r/>
            <w:r>
              <w:rPr>
                <w:rFonts w:ascii="Arial" w:hAnsi="Arial"/>
                <w:sz w:val="15"/>
              </w:rPr>
              <w:t>$500K-1M/mo</w:t>
            </w:r>
          </w:p>
        </w:tc>
        <w:tc>
          <w:tcPr>
            <w:tcW w:type="dxa" w:w="1152"/>
            <w:shd w:fill="EDEDF7" w:val="clear"/>
          </w:tcPr>
          <w:p>
            <w:r/>
            <w:r>
              <w:rPr>
                <w:rFonts w:ascii="Arial" w:hAnsi="Arial"/>
                <w:sz w:val="15"/>
              </w:rPr>
              <w:t>5-10 species</w:t>
            </w:r>
          </w:p>
        </w:tc>
      </w:tr>
      <w:tr>
        <w:tc>
          <w:tcPr>
            <w:tcW w:type="dxa" w:w="864"/>
          </w:tcPr>
          <w:p>
            <w:r/>
            <w:r>
              <w:rPr>
                <w:rFonts w:ascii="Arial" w:hAnsi="Arial"/>
                <w:sz w:val="15"/>
              </w:rPr>
              <w:t>Phase 4: Ecosystem Formation</w:t>
            </w:r>
          </w:p>
        </w:tc>
        <w:tc>
          <w:tcPr>
            <w:tcW w:type="dxa" w:w="864"/>
          </w:tcPr>
          <w:p>
            <w:r/>
            <w:r>
              <w:rPr>
                <w:rFonts w:ascii="Arial" w:hAnsi="Arial"/>
                <w:sz w:val="15"/>
              </w:rPr>
              <w:t>Months 10-12</w:t>
            </w:r>
          </w:p>
        </w:tc>
        <w:tc>
          <w:tcPr>
            <w:tcW w:type="dxa" w:w="2592"/>
          </w:tcPr>
          <w:p>
            <w:r/>
            <w:r>
              <w:rPr>
                <w:rFonts w:ascii="Arial" w:hAnsi="Arial"/>
                <w:sz w:val="15"/>
              </w:rPr>
              <w:t>Species begin connecting across code families. First full ecosystem in Healthcare or Finance. E-AEGL governance mandatory.</w:t>
            </w:r>
          </w:p>
        </w:tc>
        <w:tc>
          <w:tcPr>
            <w:tcW w:type="dxa" w:w="1440"/>
          </w:tcPr>
          <w:p>
            <w:r/>
            <w:r>
              <w:rPr>
                <w:rFonts w:ascii="Arial" w:hAnsi="Arial"/>
                <w:sz w:val="15"/>
              </w:rPr>
              <w:t>500 surfaces across 100 codes</w:t>
            </w:r>
          </w:p>
        </w:tc>
        <w:tc>
          <w:tcPr>
            <w:tcW w:type="dxa" w:w="1152"/>
          </w:tcPr>
          <w:p>
            <w:r/>
            <w:r>
              <w:rPr>
                <w:rFonts w:ascii="Arial" w:hAnsi="Arial"/>
                <w:sz w:val="15"/>
              </w:rPr>
              <w:t>$1-2M/mo</w:t>
            </w:r>
          </w:p>
        </w:tc>
        <w:tc>
          <w:tcPr>
            <w:tcW w:type="dxa" w:w="1152"/>
          </w:tcPr>
          <w:p>
            <w:r/>
            <w:r>
              <w:rPr>
                <w:rFonts w:ascii="Arial" w:hAnsi="Arial"/>
                <w:sz w:val="15"/>
              </w:rPr>
              <w:t>15-25 species, 2-3 ecosystems</w:t>
            </w:r>
          </w:p>
        </w:tc>
      </w:tr>
      <w:tr>
        <w:tc>
          <w:tcPr>
            <w:tcW w:type="dxa" w:w="864"/>
            <w:shd w:fill="EDEDF7" w:val="clear"/>
          </w:tcPr>
          <w:p>
            <w:r/>
            <w:r>
              <w:rPr>
                <w:rFonts w:ascii="Arial" w:hAnsi="Arial"/>
                <w:sz w:val="15"/>
              </w:rPr>
              <w:t>Phase 5: Jurisdictional Replication</w:t>
            </w:r>
          </w:p>
        </w:tc>
        <w:tc>
          <w:tcPr>
            <w:tcW w:type="dxa" w:w="864"/>
            <w:shd w:fill="EDEDF7" w:val="clear"/>
          </w:tcPr>
          <w:p>
            <w:r/>
            <w:r>
              <w:rPr>
                <w:rFonts w:ascii="Arial" w:hAnsi="Arial"/>
                <w:sz w:val="15"/>
              </w:rPr>
              <w:t>Year 2</w:t>
            </w:r>
          </w:p>
        </w:tc>
        <w:tc>
          <w:tcPr>
            <w:tcW w:type="dxa" w:w="2592"/>
            <w:shd w:fill="EDEDF7" w:val="clear"/>
          </w:tcPr>
          <w:p>
            <w:r/>
            <w:r>
              <w:rPr>
                <w:rFonts w:ascii="Arial" w:hAnsi="Arial"/>
                <w:sz w:val="15"/>
              </w:rPr>
              <w:t>Replicate ecosystems across international classification systems (UK SIC, SSIC, NIC, JSIC, ANZSIC). Localize governance.</w:t>
            </w:r>
          </w:p>
        </w:tc>
        <w:tc>
          <w:tcPr>
            <w:tcW w:type="dxa" w:w="1440"/>
            <w:shd w:fill="EDEDF7" w:val="clear"/>
          </w:tcPr>
          <w:p>
            <w:r/>
            <w:r>
              <w:rPr>
                <w:rFonts w:ascii="Arial" w:hAnsi="Arial"/>
                <w:sz w:val="15"/>
              </w:rPr>
              <w:t>2,000+ surfaces across 500 codes x 5 jurisdictions</w:t>
            </w:r>
          </w:p>
        </w:tc>
        <w:tc>
          <w:tcPr>
            <w:tcW w:type="dxa" w:w="1152"/>
            <w:shd w:fill="EDEDF7" w:val="clear"/>
          </w:tcPr>
          <w:p>
            <w:r/>
            <w:r>
              <w:rPr>
                <w:rFonts w:ascii="Arial" w:hAnsi="Arial"/>
                <w:sz w:val="15"/>
              </w:rPr>
              <w:t>$5-10M/mo</w:t>
            </w:r>
          </w:p>
        </w:tc>
        <w:tc>
          <w:tcPr>
            <w:tcW w:type="dxa" w:w="1152"/>
            <w:shd w:fill="EDEDF7" w:val="clear"/>
          </w:tcPr>
          <w:p>
            <w:r/>
            <w:r>
              <w:rPr>
                <w:rFonts w:ascii="Arial" w:hAnsi="Arial"/>
                <w:sz w:val="15"/>
              </w:rPr>
              <w:t>50+ species, 5+ ecosystems</w:t>
            </w:r>
          </w:p>
        </w:tc>
      </w:tr>
      <w:tr>
        <w:tc>
          <w:tcPr>
            <w:tcW w:type="dxa" w:w="864"/>
          </w:tcPr>
          <w:p>
            <w:r/>
            <w:r>
              <w:rPr>
                <w:rFonts w:ascii="Arial" w:hAnsi="Arial"/>
                <w:sz w:val="15"/>
              </w:rPr>
              <w:t>Phase 6: Invisible Infrastructure</w:t>
            </w:r>
          </w:p>
        </w:tc>
        <w:tc>
          <w:tcPr>
            <w:tcW w:type="dxa" w:w="864"/>
          </w:tcPr>
          <w:p>
            <w:r/>
            <w:r>
              <w:rPr>
                <w:rFonts w:ascii="Arial" w:hAnsi="Arial"/>
                <w:sz w:val="15"/>
              </w:rPr>
              <w:t>Year 3+</w:t>
            </w:r>
          </w:p>
        </w:tc>
        <w:tc>
          <w:tcPr>
            <w:tcW w:type="dxa" w:w="2592"/>
          </w:tcPr>
          <w:p>
            <w:r/>
            <w:r>
              <w:rPr>
                <w:rFonts w:ascii="Arial" w:hAnsi="Arial"/>
                <w:sz w:val="15"/>
              </w:rPr>
              <w:t>Platform becomes essential infrastructure. Transaction-level revenue. Constitutional governance layer for industries.</w:t>
            </w:r>
          </w:p>
        </w:tc>
        <w:tc>
          <w:tcPr>
            <w:tcW w:type="dxa" w:w="1440"/>
          </w:tcPr>
          <w:p>
            <w:r/>
            <w:r>
              <w:rPr>
                <w:rFonts w:ascii="Arial" w:hAnsi="Arial"/>
                <w:sz w:val="15"/>
              </w:rPr>
              <w:t>10,000+ surfaces. Stream consumed.</w:t>
            </w:r>
          </w:p>
        </w:tc>
        <w:tc>
          <w:tcPr>
            <w:tcW w:type="dxa" w:w="1152"/>
          </w:tcPr>
          <w:p>
            <w:r/>
            <w:r>
              <w:rPr>
                <w:rFonts w:ascii="Arial" w:hAnsi="Arial"/>
                <w:sz w:val="15"/>
              </w:rPr>
              <w:t>$25-100M/mo</w:t>
            </w:r>
          </w:p>
        </w:tc>
        <w:tc>
          <w:tcPr>
            <w:tcW w:type="dxa" w:w="1152"/>
          </w:tcPr>
          <w:p>
            <w:r/>
            <w:r>
              <w:rPr>
                <w:rFonts w:ascii="Arial" w:hAnsi="Arial"/>
                <w:sz w:val="15"/>
              </w:rPr>
              <w:t>Sanctuaries formed</w:t>
            </w:r>
          </w:p>
        </w:tc>
      </w:tr>
    </w:tbl>
    <w:p>
      <w:r>
        <w:br w:type="page"/>
      </w:r>
    </w:p>
    <w:p>
      <w:pPr>
        <w:pStyle w:val="Heading1"/>
      </w:pPr>
      <w:r>
        <w:t>11. Entity Compounding Through Platform Surfaces</w:t>
      </w:r>
    </w:p>
    <w:p>
      <w:pPr>
        <w:spacing w:after="60"/>
      </w:pPr>
      <w:r>
        <w:rPr>
          <w:rFonts w:ascii="Arial" w:hAnsi="Arial"/>
          <w:b w:val="0"/>
          <w:sz w:val="20"/>
        </w:rPr>
        <w:t>Every platform surface activates multiple entities simultaneously. No entity operates in isolation. The platform surface is where entities converge.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440"/>
            <w:shd w:fill="0D0D2B" w:val="clear"/>
          </w:tcPr>
          <w:p>
            <w:pPr>
              <w:jc w:val="center"/>
            </w:pPr>
            <w:r/>
            <w:r>
              <w:rPr>
                <w:rFonts w:ascii="Arial" w:hAnsi="Arial"/>
                <w:b/>
                <w:color w:val="FFFFFF"/>
                <w:sz w:val="16"/>
              </w:rPr>
              <w:t>Entity</w:t>
            </w:r>
          </w:p>
        </w:tc>
        <w:tc>
          <w:tcPr>
            <w:tcW w:type="dxa" w:w="2592"/>
            <w:shd w:fill="0D0D2B" w:val="clear"/>
          </w:tcPr>
          <w:p>
            <w:pPr>
              <w:jc w:val="center"/>
            </w:pPr>
            <w:r/>
            <w:r>
              <w:rPr>
                <w:rFonts w:ascii="Arial" w:hAnsi="Arial"/>
                <w:b/>
                <w:color w:val="FFFFFF"/>
                <w:sz w:val="16"/>
              </w:rPr>
              <w:t>Role at Platform Surface</w:t>
            </w:r>
          </w:p>
        </w:tc>
        <w:tc>
          <w:tcPr>
            <w:tcW w:type="dxa" w:w="2160"/>
            <w:shd w:fill="0D0D2B" w:val="clear"/>
          </w:tcPr>
          <w:p>
            <w:pPr>
              <w:jc w:val="center"/>
            </w:pPr>
            <w:r/>
            <w:r>
              <w:rPr>
                <w:rFonts w:ascii="Arial" w:hAnsi="Arial"/>
                <w:b/>
                <w:color w:val="FFFFFF"/>
                <w:sz w:val="16"/>
              </w:rPr>
              <w:t>Revenue Capture</w:t>
            </w:r>
          </w:p>
        </w:tc>
        <w:tc>
          <w:tcPr>
            <w:tcW w:type="dxa" w:w="3168"/>
            <w:shd w:fill="0D0D2B" w:val="clear"/>
          </w:tcPr>
          <w:p>
            <w:pPr>
              <w:jc w:val="center"/>
            </w:pPr>
            <w:r/>
            <w:r>
              <w:rPr>
                <w:rFonts w:ascii="Arial" w:hAnsi="Arial"/>
                <w:b/>
                <w:color w:val="FFFFFF"/>
                <w:sz w:val="16"/>
              </w:rPr>
              <w:t>Compounding Effect</w:t>
            </w:r>
          </w:p>
        </w:tc>
      </w:tr>
      <w:tr>
        <w:tc>
          <w:tcPr>
            <w:tcW w:type="dxa" w:w="1440"/>
            <w:shd w:fill="EDEDF7" w:val="clear"/>
          </w:tcPr>
          <w:p>
            <w:r/>
            <w:r>
              <w:rPr>
                <w:rFonts w:ascii="Arial" w:hAnsi="Arial"/>
                <w:sz w:val="15"/>
              </w:rPr>
              <w:t>AINEFF</w:t>
            </w:r>
          </w:p>
        </w:tc>
        <w:tc>
          <w:tcPr>
            <w:tcW w:type="dxa" w:w="2592"/>
            <w:shd w:fill="EDEDF7" w:val="clear"/>
          </w:tcPr>
          <w:p>
            <w:r/>
            <w:r>
              <w:rPr>
                <w:rFonts w:ascii="Arial" w:hAnsi="Arial"/>
                <w:sz w:val="15"/>
              </w:rPr>
              <w:t>Constitutional framework governing the AINE at this surface</w:t>
            </w:r>
          </w:p>
        </w:tc>
        <w:tc>
          <w:tcPr>
            <w:tcW w:type="dxa" w:w="2160"/>
            <w:shd w:fill="EDEDF7" w:val="clear"/>
          </w:tcPr>
          <w:p>
            <w:r/>
            <w:r>
              <w:rPr>
                <w:rFonts w:ascii="Arial" w:hAnsi="Arial"/>
                <w:sz w:val="15"/>
              </w:rPr>
              <w:t>Certification fee per AINE, governance licensing</w:t>
            </w:r>
          </w:p>
        </w:tc>
        <w:tc>
          <w:tcPr>
            <w:tcW w:type="dxa" w:w="3168"/>
            <w:shd w:fill="EDEDF7" w:val="clear"/>
          </w:tcPr>
          <w:p>
            <w:r/>
            <w:r>
              <w:rPr>
                <w:rFonts w:ascii="Arial" w:hAnsi="Arial"/>
                <w:sz w:val="15"/>
              </w:rPr>
              <w:t>More AINEs = more governance revenue = more institutional credibility</w:t>
            </w:r>
          </w:p>
        </w:tc>
      </w:tr>
      <w:tr>
        <w:tc>
          <w:tcPr>
            <w:tcW w:type="dxa" w:w="1440"/>
          </w:tcPr>
          <w:p>
            <w:r/>
            <w:r>
              <w:rPr>
                <w:rFonts w:ascii="Arial" w:hAnsi="Arial"/>
                <w:sz w:val="15"/>
              </w:rPr>
              <w:t>Frankmax</w:t>
            </w:r>
          </w:p>
        </w:tc>
        <w:tc>
          <w:tcPr>
            <w:tcW w:type="dxa" w:w="2592"/>
          </w:tcPr>
          <w:p>
            <w:r/>
            <w:r>
              <w:rPr>
                <w:rFonts w:ascii="Arial" w:hAnsi="Arial"/>
                <w:sz w:val="15"/>
              </w:rPr>
              <w:t>Enterprise engagement for deploying the AINE stack</w:t>
            </w:r>
          </w:p>
        </w:tc>
        <w:tc>
          <w:tcPr>
            <w:tcW w:type="dxa" w:w="2160"/>
          </w:tcPr>
          <w:p>
            <w:r/>
            <w:r>
              <w:rPr>
                <w:rFonts w:ascii="Arial" w:hAnsi="Arial"/>
                <w:sz w:val="15"/>
              </w:rPr>
              <w:t>Consulting + deployment $100K+</w:t>
            </w:r>
          </w:p>
        </w:tc>
        <w:tc>
          <w:tcPr>
            <w:tcW w:type="dxa" w:w="3168"/>
          </w:tcPr>
          <w:p>
            <w:r/>
            <w:r>
              <w:rPr>
                <w:rFonts w:ascii="Arial" w:hAnsi="Arial"/>
                <w:sz w:val="15"/>
              </w:rPr>
              <w:t>More surfaces = more enterprise contracts = more case studies</w:t>
            </w:r>
          </w:p>
        </w:tc>
      </w:tr>
      <w:tr>
        <w:tc>
          <w:tcPr>
            <w:tcW w:type="dxa" w:w="1440"/>
            <w:shd w:fill="EDEDF7" w:val="clear"/>
          </w:tcPr>
          <w:p>
            <w:r/>
            <w:r>
              <w:rPr>
                <w:rFonts w:ascii="Arial" w:hAnsi="Arial"/>
                <w:sz w:val="15"/>
              </w:rPr>
              <w:t>Levelupmax</w:t>
            </w:r>
          </w:p>
        </w:tc>
        <w:tc>
          <w:tcPr>
            <w:tcW w:type="dxa" w:w="2592"/>
            <w:shd w:fill="EDEDF7" w:val="clear"/>
          </w:tcPr>
          <w:p>
            <w:r/>
            <w:r>
              <w:rPr>
                <w:rFonts w:ascii="Arial" w:hAnsi="Arial"/>
                <w:sz w:val="15"/>
              </w:rPr>
              <w:t>Trained operator assigned to run this AINE</w:t>
            </w:r>
          </w:p>
        </w:tc>
        <w:tc>
          <w:tcPr>
            <w:tcW w:type="dxa" w:w="2160"/>
            <w:shd w:fill="EDEDF7" w:val="clear"/>
          </w:tcPr>
          <w:p>
            <w:r/>
            <w:r>
              <w:rPr>
                <w:rFonts w:ascii="Arial" w:hAnsi="Arial"/>
                <w:sz w:val="15"/>
              </w:rPr>
              <w:t>Training fee + ongoing certification</w:t>
            </w:r>
          </w:p>
        </w:tc>
        <w:tc>
          <w:tcPr>
            <w:tcW w:type="dxa" w:w="3168"/>
            <w:shd w:fill="EDEDF7" w:val="clear"/>
          </w:tcPr>
          <w:p>
            <w:r/>
            <w:r>
              <w:rPr>
                <w:rFonts w:ascii="Arial" w:hAnsi="Arial"/>
                <w:sz w:val="15"/>
              </w:rPr>
              <w:t>More AINEs = more operator demand = more training revenue</w:t>
            </w:r>
          </w:p>
        </w:tc>
      </w:tr>
      <w:tr>
        <w:tc>
          <w:tcPr>
            <w:tcW w:type="dxa" w:w="1440"/>
          </w:tcPr>
          <w:p>
            <w:r/>
            <w:r>
              <w:rPr>
                <w:rFonts w:ascii="Arial" w:hAnsi="Arial"/>
                <w:sz w:val="15"/>
              </w:rPr>
              <w:t>AgentCoders</w:t>
            </w:r>
          </w:p>
        </w:tc>
        <w:tc>
          <w:tcPr>
            <w:tcW w:type="dxa" w:w="2592"/>
          </w:tcPr>
          <w:p>
            <w:r/>
            <w:r>
              <w:rPr>
                <w:rFonts w:ascii="Arial" w:hAnsi="Arial"/>
                <w:sz w:val="15"/>
              </w:rPr>
              <w:t>Built the AINE (or its template)</w:t>
            </w:r>
          </w:p>
        </w:tc>
        <w:tc>
          <w:tcPr>
            <w:tcW w:type="dxa" w:w="2160"/>
          </w:tcPr>
          <w:p>
            <w:r/>
            <w:r>
              <w:rPr>
                <w:rFonts w:ascii="Arial" w:hAnsi="Arial"/>
                <w:sz w:val="15"/>
              </w:rPr>
              <w:t>Build fee $8-25K per AINE</w:t>
            </w:r>
          </w:p>
        </w:tc>
        <w:tc>
          <w:tcPr>
            <w:tcW w:type="dxa" w:w="3168"/>
          </w:tcPr>
          <w:p>
            <w:r/>
            <w:r>
              <w:rPr>
                <w:rFonts w:ascii="Arial" w:hAnsi="Arial"/>
                <w:sz w:val="15"/>
              </w:rPr>
              <w:t>More surfaces = more build demand = templating = margin improvement</w:t>
            </w:r>
          </w:p>
        </w:tc>
      </w:tr>
      <w:tr>
        <w:tc>
          <w:tcPr>
            <w:tcW w:type="dxa" w:w="1440"/>
            <w:shd w:fill="EDEDF7" w:val="clear"/>
          </w:tcPr>
          <w:p>
            <w:r/>
            <w:r>
              <w:rPr>
                <w:rFonts w:ascii="Arial" w:hAnsi="Arial"/>
                <w:sz w:val="15"/>
              </w:rPr>
              <w:t>JRAS</w:t>
            </w:r>
          </w:p>
        </w:tc>
        <w:tc>
          <w:tcPr>
            <w:tcW w:type="dxa" w:w="2592"/>
            <w:shd w:fill="EDEDF7" w:val="clear"/>
          </w:tcPr>
          <w:p>
            <w:r/>
            <w:r>
              <w:rPr>
                <w:rFonts w:ascii="Arial" w:hAnsi="Arial"/>
                <w:sz w:val="15"/>
              </w:rPr>
              <w:t>Allocated the operator to this surface</w:t>
            </w:r>
          </w:p>
        </w:tc>
        <w:tc>
          <w:tcPr>
            <w:tcW w:type="dxa" w:w="2160"/>
            <w:shd w:fill="EDEDF7" w:val="clear"/>
          </w:tcPr>
          <w:p>
            <w:r/>
            <w:r>
              <w:rPr>
                <w:rFonts w:ascii="Arial" w:hAnsi="Arial"/>
                <w:sz w:val="15"/>
              </w:rPr>
              <w:t>Per-allocation commission</w:t>
            </w:r>
          </w:p>
        </w:tc>
        <w:tc>
          <w:tcPr>
            <w:tcW w:type="dxa" w:w="3168"/>
            <w:shd w:fill="EDEDF7" w:val="clear"/>
          </w:tcPr>
          <w:p>
            <w:r/>
            <w:r>
              <w:rPr>
                <w:rFonts w:ascii="Arial" w:hAnsi="Arial"/>
                <w:sz w:val="15"/>
              </w:rPr>
              <w:t>More surfaces = more allocations = more routing data = better matching</w:t>
            </w:r>
          </w:p>
        </w:tc>
      </w:tr>
      <w:tr>
        <w:tc>
          <w:tcPr>
            <w:tcW w:type="dxa" w:w="1440"/>
          </w:tcPr>
          <w:p>
            <w:r/>
            <w:r>
              <w:rPr>
                <w:rFonts w:ascii="Arial" w:hAnsi="Arial"/>
                <w:sz w:val="15"/>
              </w:rPr>
              <w:t>WGE</w:t>
            </w:r>
          </w:p>
        </w:tc>
        <w:tc>
          <w:tcPr>
            <w:tcW w:type="dxa" w:w="2592"/>
          </w:tcPr>
          <w:p>
            <w:r/>
            <w:r>
              <w:rPr>
                <w:rFonts w:ascii="Arial" w:hAnsi="Arial"/>
                <w:sz w:val="15"/>
              </w:rPr>
              <w:t>Runs the governed workflows within this AINE</w:t>
            </w:r>
          </w:p>
        </w:tc>
        <w:tc>
          <w:tcPr>
            <w:tcW w:type="dxa" w:w="2160"/>
          </w:tcPr>
          <w:p>
            <w:r/>
            <w:r>
              <w:rPr>
                <w:rFonts w:ascii="Arial" w:hAnsi="Arial"/>
                <w:sz w:val="15"/>
              </w:rPr>
              <w:t>Per-workflow execution fee</w:t>
            </w:r>
          </w:p>
        </w:tc>
        <w:tc>
          <w:tcPr>
            <w:tcW w:type="dxa" w:w="3168"/>
          </w:tcPr>
          <w:p>
            <w:r/>
            <w:r>
              <w:rPr>
                <w:rFonts w:ascii="Arial" w:hAnsi="Arial"/>
                <w:sz w:val="15"/>
              </w:rPr>
              <w:t>More surfaces = more workflows = more execution revenue</w:t>
            </w:r>
          </w:p>
        </w:tc>
      </w:tr>
      <w:tr>
        <w:tc>
          <w:tcPr>
            <w:tcW w:type="dxa" w:w="1440"/>
            <w:shd w:fill="EDEDF7" w:val="clear"/>
          </w:tcPr>
          <w:p>
            <w:r/>
            <w:r>
              <w:rPr>
                <w:rFonts w:ascii="Arial" w:hAnsi="Arial"/>
                <w:sz w:val="15"/>
              </w:rPr>
              <w:t>E-AEGL</w:t>
            </w:r>
          </w:p>
        </w:tc>
        <w:tc>
          <w:tcPr>
            <w:tcW w:type="dxa" w:w="2592"/>
            <w:shd w:fill="EDEDF7" w:val="clear"/>
          </w:tcPr>
          <w:p>
            <w:r/>
            <w:r>
              <w:rPr>
                <w:rFonts w:ascii="Arial" w:hAnsi="Arial"/>
                <w:sz w:val="15"/>
              </w:rPr>
              <w:t>Enforces policy at this surface</w:t>
            </w:r>
          </w:p>
        </w:tc>
        <w:tc>
          <w:tcPr>
            <w:tcW w:type="dxa" w:w="2160"/>
            <w:shd w:fill="EDEDF7" w:val="clear"/>
          </w:tcPr>
          <w:p>
            <w:r/>
            <w:r>
              <w:rPr>
                <w:rFonts w:ascii="Arial" w:hAnsi="Arial"/>
                <w:sz w:val="15"/>
              </w:rPr>
              <w:t>Per-decision governance fee</w:t>
            </w:r>
          </w:p>
        </w:tc>
        <w:tc>
          <w:tcPr>
            <w:tcW w:type="dxa" w:w="3168"/>
            <w:shd w:fill="EDEDF7" w:val="clear"/>
          </w:tcPr>
          <w:p>
            <w:r/>
            <w:r>
              <w:rPr>
                <w:rFonts w:ascii="Arial" w:hAnsi="Arial"/>
                <w:sz w:val="15"/>
              </w:rPr>
              <w:t>More surfaces = more decisions = more governance data = better policy</w:t>
            </w:r>
          </w:p>
        </w:tc>
      </w:tr>
      <w:tr>
        <w:tc>
          <w:tcPr>
            <w:tcW w:type="dxa" w:w="1440"/>
          </w:tcPr>
          <w:p>
            <w:r/>
            <w:r>
              <w:rPr>
                <w:rFonts w:ascii="Arial" w:hAnsi="Arial"/>
                <w:sz w:val="15"/>
              </w:rPr>
              <w:t>LPI</w:t>
            </w:r>
          </w:p>
        </w:tc>
        <w:tc>
          <w:tcPr>
            <w:tcW w:type="dxa" w:w="2592"/>
          </w:tcPr>
          <w:p>
            <w:r/>
            <w:r>
              <w:rPr>
                <w:rFonts w:ascii="Arial" w:hAnsi="Arial"/>
                <w:sz w:val="15"/>
              </w:rPr>
              <w:t>Provides intelligence that this AINE uses</w:t>
            </w:r>
          </w:p>
        </w:tc>
        <w:tc>
          <w:tcPr>
            <w:tcW w:type="dxa" w:w="2160"/>
          </w:tcPr>
          <w:p>
            <w:r/>
            <w:r>
              <w:rPr>
                <w:rFonts w:ascii="Arial" w:hAnsi="Arial"/>
                <w:sz w:val="15"/>
              </w:rPr>
              <w:t>Intelligence subscription fee</w:t>
            </w:r>
          </w:p>
        </w:tc>
        <w:tc>
          <w:tcPr>
            <w:tcW w:type="dxa" w:w="3168"/>
          </w:tcPr>
          <w:p>
            <w:r/>
            <w:r>
              <w:rPr>
                <w:rFonts w:ascii="Arial" w:hAnsi="Arial"/>
                <w:sz w:val="15"/>
              </w:rPr>
              <w:t>More surfaces = more data = better intelligence = higher subscription value</w:t>
            </w:r>
          </w:p>
        </w:tc>
      </w:tr>
      <w:tr>
        <w:tc>
          <w:tcPr>
            <w:tcW w:type="dxa" w:w="1440"/>
            <w:shd w:fill="EDEDF7" w:val="clear"/>
          </w:tcPr>
          <w:p>
            <w:r/>
            <w:r>
              <w:rPr>
                <w:rFonts w:ascii="Arial" w:hAnsi="Arial"/>
                <w:sz w:val="15"/>
              </w:rPr>
              <w:t>UniVenture</w:t>
            </w:r>
          </w:p>
        </w:tc>
        <w:tc>
          <w:tcPr>
            <w:tcW w:type="dxa" w:w="2592"/>
            <w:shd w:fill="EDEDF7" w:val="clear"/>
          </w:tcPr>
          <w:p>
            <w:r/>
            <w:r>
              <w:rPr>
                <w:rFonts w:ascii="Arial" w:hAnsi="Arial"/>
                <w:sz w:val="15"/>
              </w:rPr>
              <w:t>IP created at this surface</w:t>
            </w:r>
          </w:p>
        </w:tc>
        <w:tc>
          <w:tcPr>
            <w:tcW w:type="dxa" w:w="2160"/>
            <w:shd w:fill="EDEDF7" w:val="clear"/>
          </w:tcPr>
          <w:p>
            <w:r/>
            <w:r>
              <w:rPr>
                <w:rFonts w:ascii="Arial" w:hAnsi="Arial"/>
                <w:sz w:val="15"/>
              </w:rPr>
              <w:t>IP licensing, equity in species</w:t>
            </w:r>
          </w:p>
        </w:tc>
        <w:tc>
          <w:tcPr>
            <w:tcW w:type="dxa" w:w="3168"/>
            <w:shd w:fill="EDEDF7" w:val="clear"/>
          </w:tcPr>
          <w:p>
            <w:r/>
            <w:r>
              <w:rPr>
                <w:rFonts w:ascii="Arial" w:hAnsi="Arial"/>
                <w:sz w:val="15"/>
              </w:rPr>
              <w:t>More surfaces = more IP = more licensing = portfolio diversification</w:t>
            </w:r>
          </w:p>
        </w:tc>
      </w:tr>
      <w:tr>
        <w:tc>
          <w:tcPr>
            <w:tcW w:type="dxa" w:w="1440"/>
          </w:tcPr>
          <w:p>
            <w:r/>
            <w:r>
              <w:rPr>
                <w:rFonts w:ascii="Arial" w:hAnsi="Arial"/>
                <w:sz w:val="15"/>
              </w:rPr>
              <w:t>Marketplace</w:t>
            </w:r>
          </w:p>
        </w:tc>
        <w:tc>
          <w:tcPr>
            <w:tcW w:type="dxa" w:w="2592"/>
          </w:tcPr>
          <w:p>
            <w:r/>
            <w:r>
              <w:rPr>
                <w:rFonts w:ascii="Arial" w:hAnsi="Arial"/>
                <w:sz w:val="15"/>
              </w:rPr>
              <w:t>Lists this AINE for discovery</w:t>
            </w:r>
          </w:p>
        </w:tc>
        <w:tc>
          <w:tcPr>
            <w:tcW w:type="dxa" w:w="2160"/>
          </w:tcPr>
          <w:p>
            <w:r/>
            <w:r>
              <w:rPr>
                <w:rFonts w:ascii="Arial" w:hAnsi="Arial"/>
                <w:sz w:val="15"/>
              </w:rPr>
              <w:t>Take-rate on transactions</w:t>
            </w:r>
          </w:p>
        </w:tc>
        <w:tc>
          <w:tcPr>
            <w:tcW w:type="dxa" w:w="3168"/>
          </w:tcPr>
          <w:p>
            <w:r/>
            <w:r>
              <w:rPr>
                <w:rFonts w:ascii="Arial" w:hAnsi="Arial"/>
                <w:sz w:val="15"/>
              </w:rPr>
              <w:t>More AINEs = more listings = more buyers = higher GMV</w:t>
            </w:r>
          </w:p>
        </w:tc>
      </w:tr>
      <w:tr>
        <w:tc>
          <w:tcPr>
            <w:tcW w:type="dxa" w:w="1440"/>
            <w:shd w:fill="EDEDF7" w:val="clear"/>
          </w:tcPr>
          <w:p>
            <w:r/>
            <w:r>
              <w:rPr>
                <w:rFonts w:ascii="Arial" w:hAnsi="Arial"/>
                <w:sz w:val="15"/>
              </w:rPr>
              <w:t>Andrew Franklin Leo</w:t>
            </w:r>
          </w:p>
        </w:tc>
        <w:tc>
          <w:tcPr>
            <w:tcW w:type="dxa" w:w="2592"/>
            <w:shd w:fill="EDEDF7" w:val="clear"/>
          </w:tcPr>
          <w:p>
            <w:r/>
            <w:r>
              <w:rPr>
                <w:rFonts w:ascii="Arial" w:hAnsi="Arial"/>
                <w:sz w:val="15"/>
              </w:rPr>
              <w:t>Publishes insights from this surface</w:t>
            </w:r>
          </w:p>
        </w:tc>
        <w:tc>
          <w:tcPr>
            <w:tcW w:type="dxa" w:w="2160"/>
            <w:shd w:fill="EDEDF7" w:val="clear"/>
          </w:tcPr>
          <w:p>
            <w:r/>
            <w:r>
              <w:rPr>
                <w:rFonts w:ascii="Arial" w:hAnsi="Arial"/>
                <w:sz w:val="15"/>
              </w:rPr>
              <w:t>Advisory + content licensing</w:t>
            </w:r>
          </w:p>
        </w:tc>
        <w:tc>
          <w:tcPr>
            <w:tcW w:type="dxa" w:w="3168"/>
            <w:shd w:fill="EDEDF7" w:val="clear"/>
          </w:tcPr>
          <w:p>
            <w:r/>
            <w:r>
              <w:rPr>
                <w:rFonts w:ascii="Arial" w:hAnsi="Arial"/>
                <w:sz w:val="15"/>
              </w:rPr>
              <w:t>More surfaces = more data = better authority = more advisory revenue</w:t>
            </w:r>
          </w:p>
        </w:tc>
      </w:tr>
      <w:tr>
        <w:tc>
          <w:tcPr>
            <w:tcW w:type="dxa" w:w="1440"/>
          </w:tcPr>
          <w:p>
            <w:r/>
            <w:r>
              <w:rPr>
                <w:rFonts w:ascii="Arial" w:hAnsi="Arial"/>
                <w:sz w:val="15"/>
              </w:rPr>
              <w:t>AINEG</w:t>
            </w:r>
          </w:p>
        </w:tc>
        <w:tc>
          <w:tcPr>
            <w:tcW w:type="dxa" w:w="2592"/>
          </w:tcPr>
          <w:p>
            <w:r/>
            <w:r>
              <w:rPr>
                <w:rFonts w:ascii="Arial" w:hAnsi="Arial"/>
                <w:sz w:val="15"/>
              </w:rPr>
              <w:t>Prevents this surface from accumulating excess power</w:t>
            </w:r>
          </w:p>
        </w:tc>
        <w:tc>
          <w:tcPr>
            <w:tcW w:type="dxa" w:w="2160"/>
          </w:tcPr>
          <w:p>
            <w:r/>
            <w:r>
              <w:rPr>
                <w:rFonts w:ascii="Arial" w:hAnsi="Arial"/>
                <w:sz w:val="15"/>
              </w:rPr>
              <w:t>Audit/governance fees</w:t>
            </w:r>
          </w:p>
        </w:tc>
        <w:tc>
          <w:tcPr>
            <w:tcW w:type="dxa" w:w="3168"/>
          </w:tcPr>
          <w:p>
            <w:r/>
            <w:r>
              <w:rPr>
                <w:rFonts w:ascii="Arial" w:hAnsi="Arial"/>
                <w:sz w:val="15"/>
              </w:rPr>
              <w:t>More surfaces = more governance need = more stewardship revenue</w:t>
            </w:r>
          </w:p>
        </w:tc>
      </w:tr>
    </w:tbl>
    <w:p>
      <w:pPr>
        <w:spacing w:after="120"/>
      </w:pPr>
      <w:r>
        <w:rPr>
          <w:rFonts w:ascii="Arial" w:hAnsi="Arial"/>
          <w:b w:val="0"/>
          <w:sz w:val="19"/>
        </w:rPr>
      </w:r>
    </w:p>
    <w:p>
      <w:pPr>
        <w:spacing w:after="60"/>
      </w:pPr>
      <w:r>
        <w:rPr>
          <w:rFonts w:ascii="Arial" w:hAnsi="Arial"/>
          <w:b/>
          <w:color w:val="2D1B69"/>
          <w:sz w:val="20"/>
        </w:rPr>
        <w:t>THIS is the compounding mechanism. Every new platform surface activated feeds revenue to ALL 12 entities simultaneously. None are dependent on each other (standalone P&amp;L), but each makes every other more valuable. This is the species-level compounding that makes the ecosystem irreversible.</w:t>
      </w:r>
    </w:p>
    <w:p>
      <w:r>
        <w:br w:type="page"/>
      </w:r>
    </w:p>
    <w:p>
      <w:pPr>
        <w:pStyle w:val="Heading1"/>
      </w:pPr>
      <w:r>
        <w:t>12. Execution Doctrine: From 10,000 Codes to 10,000 Platforms</w:t>
      </w:r>
    </w:p>
    <w:p>
      <w:pPr>
        <w:pStyle w:val="Heading2"/>
      </w:pPr>
      <w:r>
        <w:t>Selection Criteria for First 10 AINEs</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fill="0D0D2B" w:val="clear"/>
          </w:tcPr>
          <w:p>
            <w:pPr>
              <w:jc w:val="center"/>
            </w:pPr>
            <w:r/>
            <w:r>
              <w:rPr>
                <w:rFonts w:ascii="Arial" w:hAnsi="Arial"/>
                <w:b/>
                <w:color w:val="FFFFFF"/>
                <w:sz w:val="16"/>
              </w:rPr>
              <w:t>Criterion</w:t>
            </w:r>
          </w:p>
        </w:tc>
        <w:tc>
          <w:tcPr>
            <w:tcW w:type="dxa" w:w="1008"/>
            <w:shd w:fill="0D0D2B" w:val="clear"/>
          </w:tcPr>
          <w:p>
            <w:pPr>
              <w:jc w:val="center"/>
            </w:pPr>
            <w:r/>
            <w:r>
              <w:rPr>
                <w:rFonts w:ascii="Arial" w:hAnsi="Arial"/>
                <w:b/>
                <w:color w:val="FFFFFF"/>
                <w:sz w:val="16"/>
              </w:rPr>
              <w:t>Weight</w:t>
            </w:r>
          </w:p>
        </w:tc>
        <w:tc>
          <w:tcPr>
            <w:tcW w:type="dxa" w:w="6192"/>
            <w:shd w:fill="0D0D2B" w:val="clear"/>
          </w:tcPr>
          <w:p>
            <w:pPr>
              <w:jc w:val="center"/>
            </w:pPr>
            <w:r/>
            <w:r>
              <w:rPr>
                <w:rFonts w:ascii="Arial" w:hAnsi="Arial"/>
                <w:b/>
                <w:color w:val="FFFFFF"/>
                <w:sz w:val="16"/>
              </w:rPr>
              <w:t>Measurement</w:t>
            </w:r>
          </w:p>
        </w:tc>
      </w:tr>
      <w:tr>
        <w:tc>
          <w:tcPr>
            <w:tcW w:type="dxa" w:w="2160"/>
            <w:shd w:fill="EDEDF7" w:val="clear"/>
          </w:tcPr>
          <w:p>
            <w:r/>
            <w:r>
              <w:rPr>
                <w:rFonts w:ascii="Arial" w:hAnsi="Arial"/>
                <w:sz w:val="15"/>
              </w:rPr>
              <w:t>Entropy Severity</w:t>
            </w:r>
          </w:p>
        </w:tc>
        <w:tc>
          <w:tcPr>
            <w:tcW w:type="dxa" w:w="1008"/>
            <w:shd w:fill="EDEDF7" w:val="clear"/>
          </w:tcPr>
          <w:p>
            <w:r/>
            <w:r>
              <w:rPr>
                <w:rFonts w:ascii="Arial" w:hAnsi="Arial"/>
                <w:sz w:val="15"/>
              </w:rPr>
              <w:t>30%</w:t>
            </w:r>
          </w:p>
        </w:tc>
        <w:tc>
          <w:tcPr>
            <w:tcW w:type="dxa" w:w="6192"/>
            <w:shd w:fill="EDEDF7" w:val="clear"/>
          </w:tcPr>
          <w:p>
            <w:r/>
            <w:r>
              <w:rPr>
                <w:rFonts w:ascii="Arial" w:hAnsi="Arial"/>
                <w:sz w:val="15"/>
              </w:rPr>
              <w:t>C (Critical) or H (High) from Sovereign Matrix</w:t>
            </w:r>
          </w:p>
        </w:tc>
      </w:tr>
      <w:tr>
        <w:tc>
          <w:tcPr>
            <w:tcW w:type="dxa" w:w="2160"/>
          </w:tcPr>
          <w:p>
            <w:r/>
            <w:r>
              <w:rPr>
                <w:rFonts w:ascii="Arial" w:hAnsi="Arial"/>
                <w:sz w:val="15"/>
              </w:rPr>
              <w:t>Pain Point $ Size</w:t>
            </w:r>
          </w:p>
        </w:tc>
        <w:tc>
          <w:tcPr>
            <w:tcW w:type="dxa" w:w="1008"/>
          </w:tcPr>
          <w:p>
            <w:r/>
            <w:r>
              <w:rPr>
                <w:rFonts w:ascii="Arial" w:hAnsi="Arial"/>
                <w:sz w:val="15"/>
              </w:rPr>
              <w:t>25%</w:t>
            </w:r>
          </w:p>
        </w:tc>
        <w:tc>
          <w:tcPr>
            <w:tcW w:type="dxa" w:w="6192"/>
          </w:tcPr>
          <w:p>
            <w:r/>
            <w:r>
              <w:rPr>
                <w:rFonts w:ascii="Arial" w:hAnsi="Arial"/>
                <w:sz w:val="15"/>
              </w:rPr>
              <w:t>&gt; $1M annual cost per affected entity</w:t>
            </w:r>
          </w:p>
        </w:tc>
      </w:tr>
      <w:tr>
        <w:tc>
          <w:tcPr>
            <w:tcW w:type="dxa" w:w="2160"/>
            <w:shd w:fill="EDEDF7" w:val="clear"/>
          </w:tcPr>
          <w:p>
            <w:r/>
            <w:r>
              <w:rPr>
                <w:rFonts w:ascii="Arial" w:hAnsi="Arial"/>
                <w:sz w:val="15"/>
              </w:rPr>
              <w:t>Stakeholder Density</w:t>
            </w:r>
          </w:p>
        </w:tc>
        <w:tc>
          <w:tcPr>
            <w:tcW w:type="dxa" w:w="1008"/>
            <w:shd w:fill="EDEDF7" w:val="clear"/>
          </w:tcPr>
          <w:p>
            <w:r/>
            <w:r>
              <w:rPr>
                <w:rFonts w:ascii="Arial" w:hAnsi="Arial"/>
                <w:sz w:val="15"/>
              </w:rPr>
              <w:t>15%</w:t>
            </w:r>
          </w:p>
        </w:tc>
        <w:tc>
          <w:tcPr>
            <w:tcW w:type="dxa" w:w="6192"/>
            <w:shd w:fill="EDEDF7" w:val="clear"/>
          </w:tcPr>
          <w:p>
            <w:r/>
            <w:r>
              <w:rPr>
                <w:rFonts w:ascii="Arial" w:hAnsi="Arial"/>
                <w:sz w:val="15"/>
              </w:rPr>
              <w:t>5+ stakeholder types at this surface</w:t>
            </w:r>
          </w:p>
        </w:tc>
      </w:tr>
      <w:tr>
        <w:tc>
          <w:tcPr>
            <w:tcW w:type="dxa" w:w="2160"/>
          </w:tcPr>
          <w:p>
            <w:r/>
            <w:r>
              <w:rPr>
                <w:rFonts w:ascii="Arial" w:hAnsi="Arial"/>
                <w:sz w:val="15"/>
              </w:rPr>
              <w:t>Build Complexity</w:t>
            </w:r>
          </w:p>
        </w:tc>
        <w:tc>
          <w:tcPr>
            <w:tcW w:type="dxa" w:w="1008"/>
          </w:tcPr>
          <w:p>
            <w:r/>
            <w:r>
              <w:rPr>
                <w:rFonts w:ascii="Arial" w:hAnsi="Arial"/>
                <w:sz w:val="15"/>
              </w:rPr>
              <w:t>15%</w:t>
            </w:r>
          </w:p>
        </w:tc>
        <w:tc>
          <w:tcPr>
            <w:tcW w:type="dxa" w:w="6192"/>
          </w:tcPr>
          <w:p>
            <w:r/>
            <w:r>
              <w:rPr>
                <w:rFonts w:ascii="Arial" w:hAnsi="Arial"/>
                <w:sz w:val="15"/>
              </w:rPr>
              <w:t>&lt; 30 days AgentCoders build time</w:t>
            </w:r>
          </w:p>
        </w:tc>
      </w:tr>
      <w:tr>
        <w:tc>
          <w:tcPr>
            <w:tcW w:type="dxa" w:w="2160"/>
            <w:shd w:fill="EDEDF7" w:val="clear"/>
          </w:tcPr>
          <w:p>
            <w:r/>
            <w:r>
              <w:rPr>
                <w:rFonts w:ascii="Arial" w:hAnsi="Arial"/>
                <w:sz w:val="15"/>
              </w:rPr>
              <w:t>Compounding Potential</w:t>
            </w:r>
          </w:p>
        </w:tc>
        <w:tc>
          <w:tcPr>
            <w:tcW w:type="dxa" w:w="1008"/>
            <w:shd w:fill="EDEDF7" w:val="clear"/>
          </w:tcPr>
          <w:p>
            <w:r/>
            <w:r>
              <w:rPr>
                <w:rFonts w:ascii="Arial" w:hAnsi="Arial"/>
                <w:sz w:val="15"/>
              </w:rPr>
              <w:t>15%</w:t>
            </w:r>
          </w:p>
        </w:tc>
        <w:tc>
          <w:tcPr>
            <w:tcW w:type="dxa" w:w="6192"/>
            <w:shd w:fill="EDEDF7" w:val="clear"/>
          </w:tcPr>
          <w:p>
            <w:r/>
            <w:r>
              <w:rPr>
                <w:rFonts w:ascii="Arial" w:hAnsi="Arial"/>
                <w:sz w:val="15"/>
              </w:rPr>
              <w:t>Adjacent surfaces available for species formation within 90 days</w:t>
            </w:r>
          </w:p>
        </w:tc>
      </w:tr>
    </w:tbl>
    <w:p>
      <w:pPr>
        <w:pStyle w:val="Heading2"/>
      </w:pPr>
      <w:r>
        <w:t>The 10 Highest-Priority Platform Surfaces (From Current Matrix)</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432"/>
            <w:shd w:fill="0D0D2B" w:val="clear"/>
          </w:tcPr>
          <w:p>
            <w:pPr>
              <w:jc w:val="center"/>
            </w:pPr>
            <w:r/>
            <w:r>
              <w:rPr>
                <w:rFonts w:ascii="Arial" w:hAnsi="Arial"/>
                <w:b/>
                <w:color w:val="FFFFFF"/>
                <w:sz w:val="16"/>
              </w:rPr>
              <w:t>Priority</w:t>
            </w:r>
          </w:p>
        </w:tc>
        <w:tc>
          <w:tcPr>
            <w:tcW w:type="dxa" w:w="1008"/>
            <w:shd w:fill="0D0D2B" w:val="clear"/>
          </w:tcPr>
          <w:p>
            <w:pPr>
              <w:jc w:val="center"/>
            </w:pPr>
            <w:r/>
            <w:r>
              <w:rPr>
                <w:rFonts w:ascii="Arial" w:hAnsi="Arial"/>
                <w:b/>
                <w:color w:val="FFFFFF"/>
                <w:sz w:val="16"/>
              </w:rPr>
              <w:t>Code</w:t>
            </w:r>
          </w:p>
        </w:tc>
        <w:tc>
          <w:tcPr>
            <w:tcW w:type="dxa" w:w="864"/>
            <w:shd w:fill="0D0D2B" w:val="clear"/>
          </w:tcPr>
          <w:p>
            <w:pPr>
              <w:jc w:val="center"/>
            </w:pPr>
            <w:r/>
            <w:r>
              <w:rPr>
                <w:rFonts w:ascii="Arial" w:hAnsi="Arial"/>
                <w:b/>
                <w:color w:val="FFFFFF"/>
                <w:sz w:val="16"/>
              </w:rPr>
              <w:t>Function</w:t>
            </w:r>
          </w:p>
        </w:tc>
        <w:tc>
          <w:tcPr>
            <w:tcW w:type="dxa" w:w="1152"/>
            <w:shd w:fill="0D0D2B" w:val="clear"/>
          </w:tcPr>
          <w:p>
            <w:pPr>
              <w:jc w:val="center"/>
            </w:pPr>
            <w:r/>
            <w:r>
              <w:rPr>
                <w:rFonts w:ascii="Arial" w:hAnsi="Arial"/>
                <w:b/>
                <w:color w:val="FFFFFF"/>
                <w:sz w:val="16"/>
              </w:rPr>
              <w:t>Process</w:t>
            </w:r>
          </w:p>
        </w:tc>
        <w:tc>
          <w:tcPr>
            <w:tcW w:type="dxa" w:w="1584"/>
            <w:shd w:fill="0D0D2B" w:val="clear"/>
          </w:tcPr>
          <w:p>
            <w:pPr>
              <w:jc w:val="center"/>
            </w:pPr>
            <w:r/>
            <w:r>
              <w:rPr>
                <w:rFonts w:ascii="Arial" w:hAnsi="Arial"/>
                <w:b/>
                <w:color w:val="FFFFFF"/>
                <w:sz w:val="16"/>
              </w:rPr>
              <w:t>Entropy</w:t>
            </w:r>
          </w:p>
        </w:tc>
        <w:tc>
          <w:tcPr>
            <w:tcW w:type="dxa" w:w="1152"/>
            <w:shd w:fill="0D0D2B" w:val="clear"/>
          </w:tcPr>
          <w:p>
            <w:pPr>
              <w:jc w:val="center"/>
            </w:pPr>
            <w:r/>
            <w:r>
              <w:rPr>
                <w:rFonts w:ascii="Arial" w:hAnsi="Arial"/>
                <w:b/>
                <w:color w:val="FFFFFF"/>
                <w:sz w:val="16"/>
              </w:rPr>
              <w:t>Platform Name</w:t>
            </w:r>
          </w:p>
        </w:tc>
        <w:tc>
          <w:tcPr>
            <w:tcW w:type="dxa" w:w="1296"/>
            <w:shd w:fill="0D0D2B" w:val="clear"/>
          </w:tcPr>
          <w:p>
            <w:pPr>
              <w:jc w:val="center"/>
            </w:pPr>
            <w:r/>
            <w:r>
              <w:rPr>
                <w:rFonts w:ascii="Arial" w:hAnsi="Arial"/>
                <w:b/>
                <w:color w:val="FFFFFF"/>
                <w:sz w:val="16"/>
              </w:rPr>
              <w:t>Day-1 Revenue</w:t>
            </w:r>
          </w:p>
        </w:tc>
      </w:tr>
      <w:tr>
        <w:tc>
          <w:tcPr>
            <w:tcW w:type="dxa" w:w="432"/>
            <w:shd w:fill="EDEDF7" w:val="clear"/>
          </w:tcPr>
          <w:p>
            <w:r/>
            <w:r>
              <w:rPr>
                <w:rFonts w:ascii="Arial" w:hAnsi="Arial"/>
                <w:sz w:val="15"/>
              </w:rPr>
              <w:t>1</w:t>
            </w:r>
          </w:p>
        </w:tc>
        <w:tc>
          <w:tcPr>
            <w:tcW w:type="dxa" w:w="1008"/>
            <w:shd w:fill="EDEDF7" w:val="clear"/>
          </w:tcPr>
          <w:p>
            <w:r/>
            <w:r>
              <w:rPr>
                <w:rFonts w:ascii="Arial" w:hAnsi="Arial"/>
                <w:sz w:val="15"/>
              </w:rPr>
              <w:t>NAICS 524210</w:t>
            </w:r>
          </w:p>
        </w:tc>
        <w:tc>
          <w:tcPr>
            <w:tcW w:type="dxa" w:w="864"/>
            <w:shd w:fill="EDEDF7" w:val="clear"/>
          </w:tcPr>
          <w:p>
            <w:r/>
            <w:r>
              <w:rPr>
                <w:rFonts w:ascii="Arial" w:hAnsi="Arial"/>
                <w:sz w:val="15"/>
              </w:rPr>
              <w:t>Finance</w:t>
            </w:r>
          </w:p>
        </w:tc>
        <w:tc>
          <w:tcPr>
            <w:tcW w:type="dxa" w:w="1152"/>
            <w:shd w:fill="EDEDF7" w:val="clear"/>
          </w:tcPr>
          <w:p>
            <w:r/>
            <w:r>
              <w:rPr>
                <w:rFonts w:ascii="Arial" w:hAnsi="Arial"/>
                <w:sz w:val="15"/>
              </w:rPr>
              <w:t>Premium Reconciliation</w:t>
            </w:r>
          </w:p>
        </w:tc>
        <w:tc>
          <w:tcPr>
            <w:tcW w:type="dxa" w:w="1584"/>
            <w:shd w:fill="EDEDF7" w:val="clear"/>
          </w:tcPr>
          <w:p>
            <w:r/>
            <w:r>
              <w:rPr>
                <w:rFonts w:ascii="Arial" w:hAnsi="Arial"/>
                <w:sz w:val="15"/>
              </w:rPr>
              <w:t>Billing leakage $3.2M avg</w:t>
            </w:r>
          </w:p>
        </w:tc>
        <w:tc>
          <w:tcPr>
            <w:tcW w:type="dxa" w:w="1152"/>
            <w:shd w:fill="EDEDF7" w:val="clear"/>
          </w:tcPr>
          <w:p>
            <w:r/>
            <w:r>
              <w:rPr>
                <w:rFonts w:ascii="Arial" w:hAnsi="Arial"/>
                <w:sz w:val="15"/>
              </w:rPr>
              <w:t>InsurePay Recovery</w:t>
            </w:r>
          </w:p>
        </w:tc>
        <w:tc>
          <w:tcPr>
            <w:tcW w:type="dxa" w:w="1296"/>
            <w:shd w:fill="EDEDF7" w:val="clear"/>
          </w:tcPr>
          <w:p>
            <w:r/>
            <w:r>
              <w:rPr>
                <w:rFonts w:ascii="Arial" w:hAnsi="Arial"/>
                <w:sz w:val="15"/>
              </w:rPr>
              <w:t>$15-30K diagnostic + 15% recovery</w:t>
            </w:r>
          </w:p>
        </w:tc>
      </w:tr>
      <w:tr>
        <w:tc>
          <w:tcPr>
            <w:tcW w:type="dxa" w:w="432"/>
          </w:tcPr>
          <w:p>
            <w:r/>
            <w:r>
              <w:rPr>
                <w:rFonts w:ascii="Arial" w:hAnsi="Arial"/>
                <w:sz w:val="15"/>
              </w:rPr>
              <w:t>2</w:t>
            </w:r>
          </w:p>
        </w:tc>
        <w:tc>
          <w:tcPr>
            <w:tcW w:type="dxa" w:w="1008"/>
          </w:tcPr>
          <w:p>
            <w:r/>
            <w:r>
              <w:rPr>
                <w:rFonts w:ascii="Arial" w:hAnsi="Arial"/>
                <w:sz w:val="15"/>
              </w:rPr>
              <w:t>NAICS 621111</w:t>
            </w:r>
          </w:p>
        </w:tc>
        <w:tc>
          <w:tcPr>
            <w:tcW w:type="dxa" w:w="864"/>
          </w:tcPr>
          <w:p>
            <w:r/>
            <w:r>
              <w:rPr>
                <w:rFonts w:ascii="Arial" w:hAnsi="Arial"/>
                <w:sz w:val="15"/>
              </w:rPr>
              <w:t>Compliance</w:t>
            </w:r>
          </w:p>
        </w:tc>
        <w:tc>
          <w:tcPr>
            <w:tcW w:type="dxa" w:w="1152"/>
          </w:tcPr>
          <w:p>
            <w:r/>
            <w:r>
              <w:rPr>
                <w:rFonts w:ascii="Arial" w:hAnsi="Arial"/>
                <w:sz w:val="15"/>
              </w:rPr>
              <w:t>Regulatory Reporting</w:t>
            </w:r>
          </w:p>
        </w:tc>
        <w:tc>
          <w:tcPr>
            <w:tcW w:type="dxa" w:w="1584"/>
          </w:tcPr>
          <w:p>
            <w:r/>
            <w:r>
              <w:rPr>
                <w:rFonts w:ascii="Arial" w:hAnsi="Arial"/>
                <w:sz w:val="15"/>
              </w:rPr>
              <w:t>Medical coding error 7-10%</w:t>
            </w:r>
          </w:p>
        </w:tc>
        <w:tc>
          <w:tcPr>
            <w:tcW w:type="dxa" w:w="1152"/>
          </w:tcPr>
          <w:p>
            <w:r/>
            <w:r>
              <w:rPr>
                <w:rFonts w:ascii="Arial" w:hAnsi="Arial"/>
                <w:sz w:val="15"/>
              </w:rPr>
              <w:t>ClaimCode Compliance</w:t>
            </w:r>
          </w:p>
        </w:tc>
        <w:tc>
          <w:tcPr>
            <w:tcW w:type="dxa" w:w="1296"/>
          </w:tcPr>
          <w:p>
            <w:r/>
            <w:r>
              <w:rPr>
                <w:rFonts w:ascii="Arial" w:hAnsi="Arial"/>
                <w:sz w:val="15"/>
              </w:rPr>
              <w:t>$5K/mo subscription</w:t>
            </w:r>
          </w:p>
        </w:tc>
      </w:tr>
      <w:tr>
        <w:tc>
          <w:tcPr>
            <w:tcW w:type="dxa" w:w="432"/>
            <w:shd w:fill="EDEDF7" w:val="clear"/>
          </w:tcPr>
          <w:p>
            <w:r/>
            <w:r>
              <w:rPr>
                <w:rFonts w:ascii="Arial" w:hAnsi="Arial"/>
                <w:sz w:val="15"/>
              </w:rPr>
              <w:t>3</w:t>
            </w:r>
          </w:p>
        </w:tc>
        <w:tc>
          <w:tcPr>
            <w:tcW w:type="dxa" w:w="1008"/>
            <w:shd w:fill="EDEDF7" w:val="clear"/>
          </w:tcPr>
          <w:p>
            <w:r/>
            <w:r>
              <w:rPr>
                <w:rFonts w:ascii="Arial" w:hAnsi="Arial"/>
                <w:sz w:val="15"/>
              </w:rPr>
              <w:t>NAICS 541611</w:t>
            </w:r>
          </w:p>
        </w:tc>
        <w:tc>
          <w:tcPr>
            <w:tcW w:type="dxa" w:w="864"/>
            <w:shd w:fill="EDEDF7" w:val="clear"/>
          </w:tcPr>
          <w:p>
            <w:r/>
            <w:r>
              <w:rPr>
                <w:rFonts w:ascii="Arial" w:hAnsi="Arial"/>
                <w:sz w:val="15"/>
              </w:rPr>
              <w:t>Operations</w:t>
            </w:r>
          </w:p>
        </w:tc>
        <w:tc>
          <w:tcPr>
            <w:tcW w:type="dxa" w:w="1152"/>
            <w:shd w:fill="EDEDF7" w:val="clear"/>
          </w:tcPr>
          <w:p>
            <w:r/>
            <w:r>
              <w:rPr>
                <w:rFonts w:ascii="Arial" w:hAnsi="Arial"/>
                <w:sz w:val="15"/>
              </w:rPr>
              <w:t>Project Delivery</w:t>
            </w:r>
          </w:p>
        </w:tc>
        <w:tc>
          <w:tcPr>
            <w:tcW w:type="dxa" w:w="1584"/>
            <w:shd w:fill="EDEDF7" w:val="clear"/>
          </w:tcPr>
          <w:p>
            <w:r/>
            <w:r>
              <w:rPr>
                <w:rFonts w:ascii="Arial" w:hAnsi="Arial"/>
                <w:sz w:val="15"/>
              </w:rPr>
              <w:t>Scope creep 60% of projects</w:t>
            </w:r>
          </w:p>
        </w:tc>
        <w:tc>
          <w:tcPr>
            <w:tcW w:type="dxa" w:w="1152"/>
            <w:shd w:fill="EDEDF7" w:val="clear"/>
          </w:tcPr>
          <w:p>
            <w:r/>
            <w:r>
              <w:rPr>
                <w:rFonts w:ascii="Arial" w:hAnsi="Arial"/>
                <w:sz w:val="15"/>
              </w:rPr>
              <w:t>ProjectShield AINE</w:t>
            </w:r>
          </w:p>
        </w:tc>
        <w:tc>
          <w:tcPr>
            <w:tcW w:type="dxa" w:w="1296"/>
            <w:shd w:fill="EDEDF7" w:val="clear"/>
          </w:tcPr>
          <w:p>
            <w:r/>
            <w:r>
              <w:rPr>
                <w:rFonts w:ascii="Arial" w:hAnsi="Arial"/>
                <w:sz w:val="15"/>
              </w:rPr>
              <w:t>$2-8K/mo per firm</w:t>
            </w:r>
          </w:p>
        </w:tc>
      </w:tr>
      <w:tr>
        <w:tc>
          <w:tcPr>
            <w:tcW w:type="dxa" w:w="432"/>
          </w:tcPr>
          <w:p>
            <w:r/>
            <w:r>
              <w:rPr>
                <w:rFonts w:ascii="Arial" w:hAnsi="Arial"/>
                <w:sz w:val="15"/>
              </w:rPr>
              <w:t>4</w:t>
            </w:r>
          </w:p>
        </w:tc>
        <w:tc>
          <w:tcPr>
            <w:tcW w:type="dxa" w:w="1008"/>
          </w:tcPr>
          <w:p>
            <w:r/>
            <w:r>
              <w:rPr>
                <w:rFonts w:ascii="Arial" w:hAnsi="Arial"/>
                <w:sz w:val="15"/>
              </w:rPr>
              <w:t>NAICS 522110</w:t>
            </w:r>
          </w:p>
        </w:tc>
        <w:tc>
          <w:tcPr>
            <w:tcW w:type="dxa" w:w="864"/>
          </w:tcPr>
          <w:p>
            <w:r/>
            <w:r>
              <w:rPr>
                <w:rFonts w:ascii="Arial" w:hAnsi="Arial"/>
                <w:sz w:val="15"/>
              </w:rPr>
              <w:t>Governance</w:t>
            </w:r>
          </w:p>
        </w:tc>
        <w:tc>
          <w:tcPr>
            <w:tcW w:type="dxa" w:w="1152"/>
          </w:tcPr>
          <w:p>
            <w:r/>
            <w:r>
              <w:rPr>
                <w:rFonts w:ascii="Arial" w:hAnsi="Arial"/>
                <w:sz w:val="15"/>
              </w:rPr>
              <w:t>Risk Assessment</w:t>
            </w:r>
          </w:p>
        </w:tc>
        <w:tc>
          <w:tcPr>
            <w:tcW w:type="dxa" w:w="1584"/>
          </w:tcPr>
          <w:p>
            <w:r/>
            <w:r>
              <w:rPr>
                <w:rFonts w:ascii="Arial" w:hAnsi="Arial"/>
                <w:sz w:val="15"/>
              </w:rPr>
              <w:t>Regulatory penalty $14.8M avg</w:t>
            </w:r>
          </w:p>
        </w:tc>
        <w:tc>
          <w:tcPr>
            <w:tcW w:type="dxa" w:w="1152"/>
          </w:tcPr>
          <w:p>
            <w:r/>
            <w:r>
              <w:rPr>
                <w:rFonts w:ascii="Arial" w:hAnsi="Arial"/>
                <w:sz w:val="15"/>
              </w:rPr>
              <w:t>BankGuard Governance</w:t>
            </w:r>
          </w:p>
        </w:tc>
        <w:tc>
          <w:tcPr>
            <w:tcW w:type="dxa" w:w="1296"/>
          </w:tcPr>
          <w:p>
            <w:r/>
            <w:r>
              <w:rPr>
                <w:rFonts w:ascii="Arial" w:hAnsi="Arial"/>
                <w:sz w:val="15"/>
              </w:rPr>
              <w:t>$50K/yr license</w:t>
            </w:r>
          </w:p>
        </w:tc>
      </w:tr>
      <w:tr>
        <w:tc>
          <w:tcPr>
            <w:tcW w:type="dxa" w:w="432"/>
            <w:shd w:fill="EDEDF7" w:val="clear"/>
          </w:tcPr>
          <w:p>
            <w:r/>
            <w:r>
              <w:rPr>
                <w:rFonts w:ascii="Arial" w:hAnsi="Arial"/>
                <w:sz w:val="15"/>
              </w:rPr>
              <w:t>5</w:t>
            </w:r>
          </w:p>
        </w:tc>
        <w:tc>
          <w:tcPr>
            <w:tcW w:type="dxa" w:w="1008"/>
            <w:shd w:fill="EDEDF7" w:val="clear"/>
          </w:tcPr>
          <w:p>
            <w:r/>
            <w:r>
              <w:rPr>
                <w:rFonts w:ascii="Arial" w:hAnsi="Arial"/>
                <w:sz w:val="15"/>
              </w:rPr>
              <w:t>SOC 15-1252</w:t>
            </w:r>
          </w:p>
        </w:tc>
        <w:tc>
          <w:tcPr>
            <w:tcW w:type="dxa" w:w="864"/>
            <w:shd w:fill="EDEDF7" w:val="clear"/>
          </w:tcPr>
          <w:p>
            <w:r/>
            <w:r>
              <w:rPr>
                <w:rFonts w:ascii="Arial" w:hAnsi="Arial"/>
                <w:sz w:val="15"/>
              </w:rPr>
              <w:t>HR</w:t>
            </w:r>
          </w:p>
        </w:tc>
        <w:tc>
          <w:tcPr>
            <w:tcW w:type="dxa" w:w="1152"/>
            <w:shd w:fill="EDEDF7" w:val="clear"/>
          </w:tcPr>
          <w:p>
            <w:r/>
            <w:r>
              <w:rPr>
                <w:rFonts w:ascii="Arial" w:hAnsi="Arial"/>
                <w:sz w:val="15"/>
              </w:rPr>
              <w:t>Technical Hiring</w:t>
            </w:r>
          </w:p>
        </w:tc>
        <w:tc>
          <w:tcPr>
            <w:tcW w:type="dxa" w:w="1584"/>
            <w:shd w:fill="EDEDF7" w:val="clear"/>
          </w:tcPr>
          <w:p>
            <w:r/>
            <w:r>
              <w:rPr>
                <w:rFonts w:ascii="Arial" w:hAnsi="Arial"/>
                <w:sz w:val="15"/>
              </w:rPr>
              <w:t>Time-to-fill 67 days, cost $28K</w:t>
            </w:r>
          </w:p>
        </w:tc>
        <w:tc>
          <w:tcPr>
            <w:tcW w:type="dxa" w:w="1152"/>
            <w:shd w:fill="EDEDF7" w:val="clear"/>
          </w:tcPr>
          <w:p>
            <w:r/>
            <w:r>
              <w:rPr>
                <w:rFonts w:ascii="Arial" w:hAnsi="Arial"/>
                <w:sz w:val="15"/>
              </w:rPr>
              <w:t>DevHire AINE</w:t>
            </w:r>
          </w:p>
        </w:tc>
        <w:tc>
          <w:tcPr>
            <w:tcW w:type="dxa" w:w="1296"/>
            <w:shd w:fill="EDEDF7" w:val="clear"/>
          </w:tcPr>
          <w:p>
            <w:r/>
            <w:r>
              <w:rPr>
                <w:rFonts w:ascii="Arial" w:hAnsi="Arial"/>
                <w:sz w:val="15"/>
              </w:rPr>
              <w:t>$500-2K per placement</w:t>
            </w:r>
          </w:p>
        </w:tc>
      </w:tr>
      <w:tr>
        <w:tc>
          <w:tcPr>
            <w:tcW w:type="dxa" w:w="432"/>
          </w:tcPr>
          <w:p>
            <w:r/>
            <w:r>
              <w:rPr>
                <w:rFonts w:ascii="Arial" w:hAnsi="Arial"/>
                <w:sz w:val="15"/>
              </w:rPr>
              <w:t>6</w:t>
            </w:r>
          </w:p>
        </w:tc>
        <w:tc>
          <w:tcPr>
            <w:tcW w:type="dxa" w:w="1008"/>
          </w:tcPr>
          <w:p>
            <w:r/>
            <w:r>
              <w:rPr>
                <w:rFonts w:ascii="Arial" w:hAnsi="Arial"/>
                <w:sz w:val="15"/>
              </w:rPr>
              <w:t>HS 8471</w:t>
            </w:r>
          </w:p>
        </w:tc>
        <w:tc>
          <w:tcPr>
            <w:tcW w:type="dxa" w:w="864"/>
          </w:tcPr>
          <w:p>
            <w:r/>
            <w:r>
              <w:rPr>
                <w:rFonts w:ascii="Arial" w:hAnsi="Arial"/>
                <w:sz w:val="15"/>
              </w:rPr>
              <w:t>Supply Chain</w:t>
            </w:r>
          </w:p>
        </w:tc>
        <w:tc>
          <w:tcPr>
            <w:tcW w:type="dxa" w:w="1152"/>
          </w:tcPr>
          <w:p>
            <w:r/>
            <w:r>
              <w:rPr>
                <w:rFonts w:ascii="Arial" w:hAnsi="Arial"/>
                <w:sz w:val="15"/>
              </w:rPr>
              <w:t>Customs Classification</w:t>
            </w:r>
          </w:p>
        </w:tc>
        <w:tc>
          <w:tcPr>
            <w:tcW w:type="dxa" w:w="1584"/>
          </w:tcPr>
          <w:p>
            <w:r/>
            <w:r>
              <w:rPr>
                <w:rFonts w:ascii="Arial" w:hAnsi="Arial"/>
                <w:sz w:val="15"/>
              </w:rPr>
              <w:t>Misclassification penalty $10K-1M</w:t>
            </w:r>
          </w:p>
        </w:tc>
        <w:tc>
          <w:tcPr>
            <w:tcW w:type="dxa" w:w="1152"/>
          </w:tcPr>
          <w:p>
            <w:r/>
            <w:r>
              <w:rPr>
                <w:rFonts w:ascii="Arial" w:hAnsi="Arial"/>
                <w:sz w:val="15"/>
              </w:rPr>
              <w:t>TradeClass AINE</w:t>
            </w:r>
          </w:p>
        </w:tc>
        <w:tc>
          <w:tcPr>
            <w:tcW w:type="dxa" w:w="1296"/>
          </w:tcPr>
          <w:p>
            <w:r/>
            <w:r>
              <w:rPr>
                <w:rFonts w:ascii="Arial" w:hAnsi="Arial"/>
                <w:sz w:val="15"/>
              </w:rPr>
              <w:t>$200/filing</w:t>
            </w:r>
          </w:p>
        </w:tc>
      </w:tr>
      <w:tr>
        <w:tc>
          <w:tcPr>
            <w:tcW w:type="dxa" w:w="432"/>
            <w:shd w:fill="EDEDF7" w:val="clear"/>
          </w:tcPr>
          <w:p>
            <w:r/>
            <w:r>
              <w:rPr>
                <w:rFonts w:ascii="Arial" w:hAnsi="Arial"/>
                <w:sz w:val="15"/>
              </w:rPr>
              <w:t>7</w:t>
            </w:r>
          </w:p>
        </w:tc>
        <w:tc>
          <w:tcPr>
            <w:tcW w:type="dxa" w:w="1008"/>
            <w:shd w:fill="EDEDF7" w:val="clear"/>
          </w:tcPr>
          <w:p>
            <w:r/>
            <w:r>
              <w:rPr>
                <w:rFonts w:ascii="Arial" w:hAnsi="Arial"/>
                <w:sz w:val="15"/>
              </w:rPr>
              <w:t>NAICS 238210</w:t>
            </w:r>
          </w:p>
        </w:tc>
        <w:tc>
          <w:tcPr>
            <w:tcW w:type="dxa" w:w="864"/>
            <w:shd w:fill="EDEDF7" w:val="clear"/>
          </w:tcPr>
          <w:p>
            <w:r/>
            <w:r>
              <w:rPr>
                <w:rFonts w:ascii="Arial" w:hAnsi="Arial"/>
                <w:sz w:val="15"/>
              </w:rPr>
              <w:t>Operations</w:t>
            </w:r>
          </w:p>
        </w:tc>
        <w:tc>
          <w:tcPr>
            <w:tcW w:type="dxa" w:w="1152"/>
            <w:shd w:fill="EDEDF7" w:val="clear"/>
          </w:tcPr>
          <w:p>
            <w:r/>
            <w:r>
              <w:rPr>
                <w:rFonts w:ascii="Arial" w:hAnsi="Arial"/>
                <w:sz w:val="15"/>
              </w:rPr>
              <w:t>Electrical Estimation</w:t>
            </w:r>
          </w:p>
        </w:tc>
        <w:tc>
          <w:tcPr>
            <w:tcW w:type="dxa" w:w="1584"/>
            <w:shd w:fill="EDEDF7" w:val="clear"/>
          </w:tcPr>
          <w:p>
            <w:r/>
            <w:r>
              <w:rPr>
                <w:rFonts w:ascii="Arial" w:hAnsi="Arial"/>
                <w:sz w:val="15"/>
              </w:rPr>
              <w:t>Estimate variance 15-30%</w:t>
            </w:r>
          </w:p>
        </w:tc>
        <w:tc>
          <w:tcPr>
            <w:tcW w:type="dxa" w:w="1152"/>
            <w:shd w:fill="EDEDF7" w:val="clear"/>
          </w:tcPr>
          <w:p>
            <w:r/>
            <w:r>
              <w:rPr>
                <w:rFonts w:ascii="Arial" w:hAnsi="Arial"/>
                <w:sz w:val="15"/>
              </w:rPr>
              <w:t>BidPrecision AINE</w:t>
            </w:r>
          </w:p>
        </w:tc>
        <w:tc>
          <w:tcPr>
            <w:tcW w:type="dxa" w:w="1296"/>
            <w:shd w:fill="EDEDF7" w:val="clear"/>
          </w:tcPr>
          <w:p>
            <w:r/>
            <w:r>
              <w:rPr>
                <w:rFonts w:ascii="Arial" w:hAnsi="Arial"/>
                <w:sz w:val="15"/>
              </w:rPr>
              <w:t>$500/mo per contractor</w:t>
            </w:r>
          </w:p>
        </w:tc>
      </w:tr>
      <w:tr>
        <w:tc>
          <w:tcPr>
            <w:tcW w:type="dxa" w:w="432"/>
          </w:tcPr>
          <w:p>
            <w:r/>
            <w:r>
              <w:rPr>
                <w:rFonts w:ascii="Arial" w:hAnsi="Arial"/>
                <w:sz w:val="15"/>
              </w:rPr>
              <w:t>8</w:t>
            </w:r>
          </w:p>
        </w:tc>
        <w:tc>
          <w:tcPr>
            <w:tcW w:type="dxa" w:w="1008"/>
          </w:tcPr>
          <w:p>
            <w:r/>
            <w:r>
              <w:rPr>
                <w:rFonts w:ascii="Arial" w:hAnsi="Arial"/>
                <w:sz w:val="15"/>
              </w:rPr>
              <w:t>GICS 40301020</w:t>
            </w:r>
          </w:p>
        </w:tc>
        <w:tc>
          <w:tcPr>
            <w:tcW w:type="dxa" w:w="864"/>
          </w:tcPr>
          <w:p>
            <w:r/>
            <w:r>
              <w:rPr>
                <w:rFonts w:ascii="Arial" w:hAnsi="Arial"/>
                <w:sz w:val="15"/>
              </w:rPr>
              <w:t>Finance</w:t>
            </w:r>
          </w:p>
        </w:tc>
        <w:tc>
          <w:tcPr>
            <w:tcW w:type="dxa" w:w="1152"/>
          </w:tcPr>
          <w:p>
            <w:r/>
            <w:r>
              <w:rPr>
                <w:rFonts w:ascii="Arial" w:hAnsi="Arial"/>
                <w:sz w:val="15"/>
              </w:rPr>
              <w:t>Claims Processing</w:t>
            </w:r>
          </w:p>
        </w:tc>
        <w:tc>
          <w:tcPr>
            <w:tcW w:type="dxa" w:w="1584"/>
          </w:tcPr>
          <w:p>
            <w:r/>
            <w:r>
              <w:rPr>
                <w:rFonts w:ascii="Arial" w:hAnsi="Arial"/>
                <w:sz w:val="15"/>
              </w:rPr>
              <w:t>Processing cost $15-25 per claim</w:t>
            </w:r>
          </w:p>
        </w:tc>
        <w:tc>
          <w:tcPr>
            <w:tcW w:type="dxa" w:w="1152"/>
          </w:tcPr>
          <w:p>
            <w:r/>
            <w:r>
              <w:rPr>
                <w:rFonts w:ascii="Arial" w:hAnsi="Arial"/>
                <w:sz w:val="15"/>
              </w:rPr>
              <w:t>ClaimFlow AINE</w:t>
            </w:r>
          </w:p>
        </w:tc>
        <w:tc>
          <w:tcPr>
            <w:tcW w:type="dxa" w:w="1296"/>
          </w:tcPr>
          <w:p>
            <w:r/>
            <w:r>
              <w:rPr>
                <w:rFonts w:ascii="Arial" w:hAnsi="Arial"/>
                <w:sz w:val="15"/>
              </w:rPr>
              <w:t>$3-8 per claim processed</w:t>
            </w:r>
          </w:p>
        </w:tc>
      </w:tr>
      <w:tr>
        <w:tc>
          <w:tcPr>
            <w:tcW w:type="dxa" w:w="432"/>
            <w:shd w:fill="EDEDF7" w:val="clear"/>
          </w:tcPr>
          <w:p>
            <w:r/>
            <w:r>
              <w:rPr>
                <w:rFonts w:ascii="Arial" w:hAnsi="Arial"/>
                <w:sz w:val="15"/>
              </w:rPr>
              <w:t>9</w:t>
            </w:r>
          </w:p>
        </w:tc>
        <w:tc>
          <w:tcPr>
            <w:tcW w:type="dxa" w:w="1008"/>
            <w:shd w:fill="EDEDF7" w:val="clear"/>
          </w:tcPr>
          <w:p>
            <w:r/>
            <w:r>
              <w:rPr>
                <w:rFonts w:ascii="Arial" w:hAnsi="Arial"/>
                <w:sz w:val="15"/>
              </w:rPr>
              <w:t>NAICS 611310</w:t>
            </w:r>
          </w:p>
        </w:tc>
        <w:tc>
          <w:tcPr>
            <w:tcW w:type="dxa" w:w="864"/>
            <w:shd w:fill="EDEDF7" w:val="clear"/>
          </w:tcPr>
          <w:p>
            <w:r/>
            <w:r>
              <w:rPr>
                <w:rFonts w:ascii="Arial" w:hAnsi="Arial"/>
                <w:sz w:val="15"/>
              </w:rPr>
              <w:t>Strategy</w:t>
            </w:r>
          </w:p>
        </w:tc>
        <w:tc>
          <w:tcPr>
            <w:tcW w:type="dxa" w:w="1152"/>
            <w:shd w:fill="EDEDF7" w:val="clear"/>
          </w:tcPr>
          <w:p>
            <w:r/>
            <w:r>
              <w:rPr>
                <w:rFonts w:ascii="Arial" w:hAnsi="Arial"/>
                <w:sz w:val="15"/>
              </w:rPr>
              <w:t>Enrollment Forecasting</w:t>
            </w:r>
          </w:p>
        </w:tc>
        <w:tc>
          <w:tcPr>
            <w:tcW w:type="dxa" w:w="1584"/>
            <w:shd w:fill="EDEDF7" w:val="clear"/>
          </w:tcPr>
          <w:p>
            <w:r/>
            <w:r>
              <w:rPr>
                <w:rFonts w:ascii="Arial" w:hAnsi="Arial"/>
                <w:sz w:val="15"/>
              </w:rPr>
              <w:t>Revenue uncertainty $2-50M</w:t>
            </w:r>
          </w:p>
        </w:tc>
        <w:tc>
          <w:tcPr>
            <w:tcW w:type="dxa" w:w="1152"/>
            <w:shd w:fill="EDEDF7" w:val="clear"/>
          </w:tcPr>
          <w:p>
            <w:r/>
            <w:r>
              <w:rPr>
                <w:rFonts w:ascii="Arial" w:hAnsi="Arial"/>
                <w:sz w:val="15"/>
              </w:rPr>
              <w:t>EnrollCast AINE</w:t>
            </w:r>
          </w:p>
        </w:tc>
        <w:tc>
          <w:tcPr>
            <w:tcW w:type="dxa" w:w="1296"/>
            <w:shd w:fill="EDEDF7" w:val="clear"/>
          </w:tcPr>
          <w:p>
            <w:r/>
            <w:r>
              <w:rPr>
                <w:rFonts w:ascii="Arial" w:hAnsi="Arial"/>
                <w:sz w:val="15"/>
              </w:rPr>
              <w:t>$10K/mo per institution</w:t>
            </w:r>
          </w:p>
        </w:tc>
      </w:tr>
      <w:tr>
        <w:tc>
          <w:tcPr>
            <w:tcW w:type="dxa" w:w="432"/>
          </w:tcPr>
          <w:p>
            <w:r/>
            <w:r>
              <w:rPr>
                <w:rFonts w:ascii="Arial" w:hAnsi="Arial"/>
                <w:sz w:val="15"/>
              </w:rPr>
              <w:t>10</w:t>
            </w:r>
          </w:p>
        </w:tc>
        <w:tc>
          <w:tcPr>
            <w:tcW w:type="dxa" w:w="1008"/>
          </w:tcPr>
          <w:p>
            <w:r/>
            <w:r>
              <w:rPr>
                <w:rFonts w:ascii="Arial" w:hAnsi="Arial"/>
                <w:sz w:val="15"/>
              </w:rPr>
              <w:t>NIC 62099</w:t>
            </w:r>
          </w:p>
        </w:tc>
        <w:tc>
          <w:tcPr>
            <w:tcW w:type="dxa" w:w="864"/>
          </w:tcPr>
          <w:p>
            <w:r/>
            <w:r>
              <w:rPr>
                <w:rFonts w:ascii="Arial" w:hAnsi="Arial"/>
                <w:sz w:val="15"/>
              </w:rPr>
              <w:t>Customer Service</w:t>
            </w:r>
          </w:p>
        </w:tc>
        <w:tc>
          <w:tcPr>
            <w:tcW w:type="dxa" w:w="1152"/>
          </w:tcPr>
          <w:p>
            <w:r/>
            <w:r>
              <w:rPr>
                <w:rFonts w:ascii="Arial" w:hAnsi="Arial"/>
                <w:sz w:val="15"/>
              </w:rPr>
              <w:t>Patient Scheduling</w:t>
            </w:r>
          </w:p>
        </w:tc>
        <w:tc>
          <w:tcPr>
            <w:tcW w:type="dxa" w:w="1584"/>
          </w:tcPr>
          <w:p>
            <w:r/>
            <w:r>
              <w:rPr>
                <w:rFonts w:ascii="Arial" w:hAnsi="Arial"/>
                <w:sz w:val="15"/>
              </w:rPr>
              <w:t>No-show rate 20-30%, $150 per no-show</w:t>
            </w:r>
          </w:p>
        </w:tc>
        <w:tc>
          <w:tcPr>
            <w:tcW w:type="dxa" w:w="1152"/>
          </w:tcPr>
          <w:p>
            <w:r/>
            <w:r>
              <w:rPr>
                <w:rFonts w:ascii="Arial" w:hAnsi="Arial"/>
                <w:sz w:val="15"/>
              </w:rPr>
              <w:t>CareSchedule AINE</w:t>
            </w:r>
          </w:p>
        </w:tc>
        <w:tc>
          <w:tcPr>
            <w:tcW w:type="dxa" w:w="1296"/>
          </w:tcPr>
          <w:p>
            <w:r/>
            <w:r>
              <w:rPr>
                <w:rFonts w:ascii="Arial" w:hAnsi="Arial"/>
                <w:sz w:val="15"/>
              </w:rPr>
              <w:t>$1K/mo per clinic</w:t>
            </w:r>
          </w:p>
        </w:tc>
      </w:tr>
    </w:tbl>
    <w:p>
      <w:pPr>
        <w:spacing w:after="120"/>
      </w:pPr>
      <w:r>
        <w:rPr>
          <w:rFonts w:ascii="Arial" w:hAnsi="Arial"/>
          <w:b w:val="0"/>
          <w:sz w:val="19"/>
        </w:rPr>
      </w:r>
    </w:p>
    <w:p>
      <w:pPr>
        <w:spacing w:after="60"/>
      </w:pPr>
      <w:r>
        <w:rPr>
          <w:rFonts w:ascii="Arial" w:hAnsi="Arial"/>
          <w:b w:val="0"/>
          <w:sz w:val="19"/>
        </w:rPr>
        <w:t>These 10 platform surfaces span 6 classification systems (NAICS, SOC, HS, GICS, NIC), 7 business functions, and 10 business processes. They address entropy in Insurance, Healthcare, Consulting, Banking, Tech Hiring, Trade, Construction, Claims, Education, and Patient Services. Each is buildable in 14-30 days by AgentCoders. Each generates revenue within 30 days of deployment. Each has a clear species formation path within 90 days.</w:t>
      </w:r>
    </w:p>
    <w:p>
      <w:pPr>
        <w:spacing w:after="60"/>
      </w:pPr>
      <w:r>
        <w:rPr>
          <w:rFonts w:ascii="Arial" w:hAnsi="Arial"/>
          <w:b/>
          <w:color w:val="2D1B69"/>
          <w:sz w:val="20"/>
        </w:rPr>
        <w:t>This is how 10,000 codes become 10,000 platforms. Not all at once. One surface at a time. Each surface proving the thesis. Each surface feeding every entity. Each surface consuming a little more of the stream. Until the stream is the platform.</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0D0D2B"/>
      <w:sz w:val="5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1A1A4E"/>
      <w:sz w:val="3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rial" w:hAnsi="Arial"/>
      <w:b/>
      <w:bCs/>
      <w:color w:val="2D1B69"/>
      <w:sz w:val="26"/>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Arial" w:hAnsi="Arial"/>
      <w:b/>
      <w:bCs/>
      <w:i/>
      <w:iCs/>
      <w:color w:val="4A2D8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