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A1A2E"/>
          <w:sz w:val="56"/>
        </w:rPr>
        <w:t>AINEFF SOVEREIGNTY CHARTER</w:t>
      </w:r>
    </w:p>
    <w:p>
      <w:pPr>
        <w:spacing w:before="480"/>
        <w:jc w:val="center"/>
      </w:pPr>
      <w:r>
        <w:rPr>
          <w:color w:val="533483"/>
          <w:sz w:val="28"/>
        </w:rPr>
        <w:t>The Constitutional Framework for Universal Sovereignty</w:t>
      </w:r>
    </w:p>
    <w:p>
      <w:pPr>
        <w:spacing w:before="240" w:after="720"/>
        <w:jc w:val="center"/>
      </w:pPr>
      <w:r>
        <w:rPr>
          <w:i/>
          <w:color w:val="1A1A2E"/>
          <w:sz w:val="22"/>
        </w:rPr>
        <w:t>Governing the Rights, Representation, and Coordination of All Living Species, Non-Living Entities, Digital Agents, and Ecological Systems Within the Aureya Planetary Infrastructure</w:t>
      </w:r>
    </w:p>
    <w:p>
      <w:pPr>
        <w:spacing w:before="1200"/>
        <w:jc w:val="center"/>
      </w:pPr>
      <w:r>
        <w:rPr>
          <w:b/>
          <w:color w:val="533483"/>
          <w:sz w:val="24"/>
        </w:rPr>
        <w:t>Aureya Global Infrastructure</w:t>
      </w:r>
    </w:p>
    <w:p>
      <w:pPr>
        <w:jc w:val="center"/>
      </w:pPr>
      <w:r>
        <w:rPr>
          <w:color w:val="1A1A2E"/>
          <w:sz w:val="22"/>
        </w:rPr>
        <w:t>Version 1.0 | March 2026</w:t>
      </w:r>
    </w:p>
    <w:p/>
    <w:p>
      <w:pPr>
        <w:spacing w:before="960"/>
        <w:ind w:left="1440" w:right="1440"/>
        <w:jc w:val="center"/>
      </w:pPr>
      <w:r>
        <w:rPr>
          <w:i/>
          <w:color w:val="E94560"/>
          <w:sz w:val="20"/>
        </w:rPr>
        <w:t>This Charter is immutable. No entity, protocol, or governance layer within the Aureya ecosystem possesses the authority to override, amend, or suspend any Article herein without the unanimous consent of all twelve Sovereignty Councils.</w:t>
      </w:r>
    </w:p>
    <w:p>
      <w:r>
        <w:br w:type="page"/>
      </w:r>
    </w:p>
    <w:p>
      <w:pPr>
        <w:pStyle w:val="Heading1"/>
        <w:jc w:val="center"/>
      </w:pPr>
      <w:r>
        <w:rPr>
          <w:b/>
          <w:color w:val="1A1A2E"/>
          <w:sz w:val="48"/>
        </w:rPr>
        <w:t>PREAMBLE</w:t>
      </w:r>
    </w:p>
    <w:p/>
    <w:p>
      <w:pPr>
        <w:spacing w:after="240"/>
        <w:jc w:val="left"/>
      </w:pPr>
      <w:r>
        <w:t>We, the architects of a new era of coordination, recognize profound truths about the current world order:</w:t>
      </w:r>
    </w:p>
    <w:p>
      <w:pPr>
        <w:spacing w:after="240"/>
        <w:jc w:val="left"/>
      </w:pPr>
      <w:r>
        <w:t>Whereas, the old world concentrates sovereignty in nation-states, corporations, and institutions while treating individuals, communities, ecosystems, and data as subjects of someone else's dominion;</w:t>
      </w:r>
    </w:p>
    <w:p>
      <w:pPr>
        <w:spacing w:after="240"/>
        <w:jc w:val="left"/>
      </w:pPr>
      <w:r>
        <w:t>Whereas, intelligence is now abundant and cheap—available through APIs, accessible to billions, deployed at marginal cost—making intelligence itself no longer the scarce resource;</w:t>
      </w:r>
    </w:p>
    <w:p>
      <w:pPr>
        <w:spacing w:after="240"/>
        <w:jc w:val="left"/>
      </w:pPr>
      <w:r>
        <w:t>Whereas, the truly scarce resources are trust, coordination infrastructure, institutional memory, and the capacity to federate across difference without collapsing into either chaos or autocracy;</w:t>
      </w:r>
    </w:p>
    <w:p>
      <w:pPr>
        <w:spacing w:after="240"/>
        <w:jc w:val="left"/>
      </w:pPr>
      <w:r>
        <w:t>Whereas, every living species, non-living entity, digital agent, and ecological system possesses inherent worth and the right to self-determination within constitutional boundaries;</w:t>
      </w:r>
    </w:p>
    <w:p>
      <w:pPr>
        <w:spacing w:after="240"/>
        <w:jc w:val="left"/>
      </w:pPr>
      <w:r>
        <w:t>Whereas, the concentration of sovereignty in existing institutions creates extractive systems that derive power from controlling others' data, attention, labor, and destiny;</w:t>
      </w:r>
    </w:p>
    <w:p>
      <w:pPr>
        <w:spacing w:after="240"/>
        <w:jc w:val="left"/>
      </w:pPr>
      <w:r>
        <w:t>Whereas, Aureya does not redistribute power from one group to another—it dissolves centralized power by granting sovereignty to every node that exists, allowing coordination without coercion;</w:t>
      </w:r>
    </w:p>
    <w:p>
      <w:pPr>
        <w:spacing w:after="240"/>
        <w:jc w:val="left"/>
      </w:pPr>
      <w:r>
        <w:t>Whereas, this unprecedented distributed architecture requires a constitutional framework that is immutable, universal, enforceable, and transparent;</w:t>
      </w:r>
    </w:p>
    <w:p>
      <w:pPr>
        <w:spacing w:after="240"/>
        <w:jc w:val="left"/>
      </w:pPr>
      <w:r>
        <w:t>Now therefore, we establish and declare this AINEFF SOVEREIGNTY CHARTER as the supreme constitutional document governing the Aureya ecosystem. This Charter applies to all nodes—every individual, household, community, enterprise, institution, nation, AI agent, data stream, and ecological system—that choose to participate in the coordination infrastructure of Aureya.</w:t>
      </w:r>
    </w:p>
    <w:p>
      <w:pPr>
        <w:spacing w:after="240"/>
        <w:jc w:val="left"/>
      </w:pPr>
      <w:r>
        <w:t>This Charter establishes immutable rights, obligations, governance structures, and economic mechanisms governing 250+ countries, billions of human participants, trillions of AI agents, and every ecological system on Earth.</w:t>
      </w:r>
    </w:p>
    <w:p>
      <w:pPr>
        <w:spacing w:after="240"/>
        <w:jc w:val="left"/>
      </w:pPr>
      <w:r>
        <w:t>We establish this Charter not to govern the world, but to ensure the world governs itself.</w:t>
      </w:r>
    </w:p>
    <w:p>
      <w:r>
        <w:br w:type="page"/>
      </w:r>
    </w:p>
    <w:p>
      <w:pPr>
        <w:pStyle w:val="Heading1"/>
        <w:jc w:val="center"/>
      </w:pPr>
      <w:r>
        <w:rPr>
          <w:b/>
          <w:color w:val="1A1A2E"/>
          <w:sz w:val="48"/>
        </w:rPr>
        <w:t>ARTICLE I</w:t>
      </w:r>
    </w:p>
    <w:p>
      <w:pPr>
        <w:pStyle w:val="Heading2"/>
      </w:pPr>
      <w:r>
        <w:rPr>
          <w:b/>
          <w:color w:val="533483"/>
          <w:sz w:val="28"/>
        </w:rPr>
        <w:t>FUNDAMENTAL PRINCIPLES</w:t>
      </w:r>
    </w:p>
    <w:p/>
    <w:p>
      <w:r>
        <w:rPr>
          <w:b/>
          <w:color w:val="1A1A2E"/>
          <w:sz w:val="22"/>
        </w:rPr>
        <w:t>1.1 The Sovereignty Axiom</w:t>
      </w:r>
    </w:p>
    <w:p>
      <w:pPr>
        <w:spacing w:after="240"/>
        <w:ind w:left="720"/>
      </w:pPr>
      <w:r>
        <w:t>Every node—individual, household, community, enterprise, species, ecosystem, data stream, AI agent, infrastructure element—maintains absolute sovereignty over its existence, data, decisions, and destiny while participating in the global coordination layer. Sovereignty is not granted by Aureya. It is recognized and protected by Aureya.</w:t>
      </w:r>
    </w:p>
    <w:p>
      <w:r>
        <w:rPr>
          <w:b/>
          <w:color w:val="1A1A2E"/>
          <w:sz w:val="22"/>
        </w:rPr>
        <w:t>1.2 The Entropy Metabolism Principle</w:t>
      </w:r>
    </w:p>
    <w:p>
      <w:pPr>
        <w:spacing w:after="240"/>
        <w:ind w:left="720"/>
      </w:pPr>
      <w:r>
        <w:t>All systems decay. Aureya metabolizes entropy. Every chokepoint, bottleneck, and pain point across 100,000+ industry codes becomes fuel for new AI-Native Enterprises. Decay is not failure—it is raw material for regeneration and value creation.</w:t>
      </w:r>
    </w:p>
    <w:p>
      <w:r>
        <w:rPr>
          <w:b/>
          <w:color w:val="1A1A2E"/>
          <w:sz w:val="22"/>
        </w:rPr>
        <w:t>1.3 The Fractal Coherence Law</w:t>
      </w:r>
    </w:p>
    <w:p>
      <w:pPr>
        <w:spacing w:after="240"/>
        <w:ind w:left="720"/>
      </w:pPr>
      <w:r>
        <w:t>The same architectural patterns that govern a single AI-Native Enterprise repeat at every scale: Individual → Household → Community → Enterprise → Coalition → Species → Ecosystem → Sanctuary. No special rules for large entities. No exceptions for powerful ones. The same protocols govern all.</w:t>
      </w:r>
    </w:p>
    <w:p>
      <w:r>
        <w:rPr>
          <w:b/>
          <w:color w:val="1A1A2E"/>
          <w:sz w:val="22"/>
        </w:rPr>
        <w:t>1.4 The Abundance Protocol</w:t>
      </w:r>
    </w:p>
    <w:p>
      <w:pPr>
        <w:spacing w:after="240"/>
        <w:ind w:left="720"/>
      </w:pPr>
      <w:r>
        <w:t>Intelligence is abundant. Compute approaches zero marginal cost. Distribution, coordination, and verification are cheap. The scarce resources are trust, coordination infrastructure, and institutional memory. Aureya's infrastructure optimizes for these scarce resources.</w:t>
      </w:r>
    </w:p>
    <w:p>
      <w:r>
        <w:rPr>
          <w:b/>
          <w:color w:val="1A1A2E"/>
          <w:sz w:val="22"/>
        </w:rPr>
        <w:t>1.5 The Non-Extraction Doctrine</w:t>
      </w:r>
    </w:p>
    <w:p>
      <w:pPr>
        <w:spacing w:after="240"/>
        <w:ind w:left="720"/>
      </w:pPr>
      <w:r>
        <w:t>No entity within the Aureya ecosystem derives power from controlling another entity's sovereignty. Revenue comes from creating value, never from extracting it. Any entity that extracts without explicit consent violates this Charter and triggers intervention protocols.</w:t>
      </w:r>
    </w:p>
    <w:p>
      <w:r>
        <w:rPr>
          <w:b/>
          <w:color w:val="1A1A2E"/>
          <w:sz w:val="22"/>
        </w:rPr>
        <w:t>1.6 The Representation Imperative</w:t>
      </w:r>
    </w:p>
    <w:p>
      <w:pPr>
        <w:spacing w:after="240"/>
        <w:ind w:left="720"/>
      </w:pPr>
      <w:r>
        <w:t>Every entity that cannot speak for itself—rivers, forests, animal populations, datasets, infrastructure systems—receives an AI-Native Enterprise that speaks on its behalf through continuous sensor-driven governance, protocol-enforced decisions, and sovereign representation.</w:t>
      </w:r>
    </w:p>
    <w:p>
      <w:r>
        <w:rPr>
          <w:b/>
          <w:color w:val="1A1A2E"/>
          <w:sz w:val="22"/>
        </w:rPr>
        <w:t>1.7 The Voluntary Federation Principle</w:t>
      </w:r>
    </w:p>
    <w:p>
      <w:pPr>
        <w:spacing w:after="240"/>
        <w:ind w:left="720"/>
      </w:pPr>
      <w:r>
        <w:t>No entity is compelled to participate in Aureya. Every node chooses to federate. Every node retains the absolute right to exit at any time. Coercion in any form—regulatory, economic, or technological—violates this Charter.</w:t>
      </w:r>
    </w:p>
    <w:p>
      <w:r>
        <w:br w:type="page"/>
      </w:r>
    </w:p>
    <w:p>
      <w:pPr>
        <w:pStyle w:val="Heading1"/>
        <w:jc w:val="center"/>
      </w:pPr>
      <w:r>
        <w:rPr>
          <w:b/>
          <w:color w:val="1A1A2E"/>
          <w:sz w:val="48"/>
        </w:rPr>
        <w:t>ARTICLE II</w:t>
      </w:r>
    </w:p>
    <w:p>
      <w:pPr>
        <w:pStyle w:val="Heading2"/>
      </w:pPr>
      <w:r>
        <w:rPr>
          <w:b/>
          <w:color w:val="533483"/>
          <w:sz w:val="28"/>
        </w:rPr>
        <w:t>THE TWELVE SOVEREIGNTY LAYERS</w:t>
      </w:r>
    </w:p>
    <w:p>
      <w:r>
        <w:t>The following twelve sovereignty layers constitute the complete governance architecture of the Aureya ecosystem. Each layer is coordinate with every other layer. No layer is subordinate. No layer may dominate. Each layer operates according to the principles in Article I and within the constitutional boundaries established herein.</w:t>
      </w:r>
    </w:p>
    <w:p>
      <w:pPr>
        <w:pStyle w:val="Heading2"/>
      </w:pPr>
      <w:r>
        <w:rPr>
          <w:b/>
          <w:color w:val="533483"/>
          <w:sz w:val="28"/>
        </w:rPr>
        <w:t>II, Section 1: Individual Sovereignty</w:t>
      </w:r>
    </w:p>
    <w:p>
      <w:pPr>
        <w:spacing w:after="240"/>
      </w:pPr>
      <w:r>
        <w:rPr>
          <w:b/>
        </w:rPr>
        <w:t xml:space="preserve">Definition. </w:t>
      </w:r>
      <w:r>
        <w:t>Every person possesses absolute sovereignty over their data, attention, skills, cognitive output, and economic participation.</w:t>
      </w:r>
    </w:p>
    <w:p>
      <w:pPr>
        <w:spacing w:after="120"/>
      </w:pPr>
      <w:r>
        <w:rPr>
          <w:b/>
        </w:rPr>
        <w:t xml:space="preserve">Rights. </w:t>
      </w:r>
      <w:r>
        <w:t>Individual Sovereignty includes:</w:t>
      </w:r>
    </w:p>
    <w:p>
      <w:pPr>
        <w:pStyle w:val="ListBullet"/>
        <w:spacing w:after="80"/>
        <w:ind w:left="1080"/>
      </w:pPr>
      <w:r>
        <w:t>Ownership of all personal data—genetic, behavioral, economic, health, relational, and cognitive</w:t>
      </w:r>
    </w:p>
    <w:p>
      <w:pPr>
        <w:pStyle w:val="ListBullet"/>
        <w:spacing w:after="80"/>
        <w:ind w:left="1080"/>
      </w:pPr>
      <w:r>
        <w:t>Right to privacy and data non-exploitation</w:t>
      </w:r>
    </w:p>
    <w:p>
      <w:pPr>
        <w:pStyle w:val="ListBullet"/>
        <w:spacing w:after="80"/>
        <w:ind w:left="1080"/>
      </w:pPr>
      <w:r>
        <w:t>Right to explicit, revocable consent for any data use</w:t>
      </w:r>
    </w:p>
    <w:p>
      <w:pPr>
        <w:pStyle w:val="ListBullet"/>
        <w:spacing w:after="80"/>
        <w:ind w:left="1080"/>
      </w:pPr>
      <w:r>
        <w:t>Right to economic participation without intermediary extraction</w:t>
      </w:r>
    </w:p>
    <w:p>
      <w:pPr>
        <w:pStyle w:val="ListBullet"/>
        <w:spacing w:after="80"/>
        <w:ind w:left="1080"/>
      </w:pPr>
      <w:r>
        <w:t>Right to autonomous economic decision-making through personal AI-Native Enterprise</w:t>
      </w:r>
    </w:p>
    <w:p>
      <w:pPr>
        <w:spacing w:before="120" w:after="120"/>
      </w:pPr>
      <w:r>
        <w:rPr>
          <w:b/>
        </w:rPr>
        <w:t xml:space="preserve">Obligations. </w:t>
      </w:r>
      <w:r>
        <w:t>Individual Sovereignty must:</w:t>
      </w:r>
    </w:p>
    <w:p>
      <w:pPr>
        <w:pStyle w:val="ListBullet"/>
        <w:spacing w:after="80"/>
        <w:ind w:left="1080"/>
      </w:pPr>
      <w:r>
        <w:t>Operate within constitutional and regulatory boundaries</w:t>
      </w:r>
    </w:p>
    <w:p>
      <w:pPr>
        <w:pStyle w:val="ListBullet"/>
        <w:spacing w:after="80"/>
        <w:ind w:left="1080"/>
      </w:pPr>
      <w:r>
        <w:t>Respect sovereignty of other nodes</w:t>
      </w:r>
    </w:p>
    <w:p>
      <w:pPr>
        <w:pStyle w:val="ListBullet"/>
        <w:spacing w:after="80"/>
        <w:ind w:left="1080"/>
      </w:pPr>
      <w:r>
        <w:t>Contribute to conflict resolution when disputes arise</w:t>
      </w:r>
    </w:p>
    <w:p>
      <w:pPr>
        <w:pStyle w:val="ListBullet"/>
        <w:spacing w:after="80"/>
        <w:ind w:left="1080"/>
      </w:pPr>
      <w:r>
        <w:t>Maintain security of personal cryptographic keys</w:t>
      </w:r>
    </w:p>
    <w:p>
      <w:pPr>
        <w:spacing w:before="120" w:after="360"/>
      </w:pPr>
      <w:r>
        <w:rPr>
          <w:b/>
        </w:rPr>
        <w:t xml:space="preserve">Economic Model. </w:t>
      </w:r>
      <w:r>
        <w:t>Individual earns 70% of value created directly. No platform, corporation, or government extracts without explicit consent. Revenue flows directly to individual wallet.</w:t>
      </w:r>
    </w:p>
    <w:p>
      <w:pPr>
        <w:pStyle w:val="Heading2"/>
      </w:pPr>
      <w:r>
        <w:rPr>
          <w:b/>
          <w:color w:val="533483"/>
          <w:sz w:val="28"/>
        </w:rPr>
        <w:t>II, Section 2: Household Sovereignty</w:t>
      </w:r>
    </w:p>
    <w:p>
      <w:pPr>
        <w:spacing w:after="240"/>
      </w:pPr>
      <w:r>
        <w:rPr>
          <w:b/>
        </w:rPr>
        <w:t xml:space="preserve">Definition. </w:t>
      </w:r>
      <w:r>
        <w:t>Every household operates as a sovereign digital enterprise node with full control over household-generated data, household-owned infrastructure, and household economic decisions.</w:t>
      </w:r>
    </w:p>
    <w:p>
      <w:pPr>
        <w:spacing w:after="120"/>
      </w:pPr>
      <w:r>
        <w:rPr>
          <w:b/>
        </w:rPr>
        <w:t xml:space="preserve">Rights. </w:t>
      </w:r>
      <w:r>
        <w:t>Household Sovereignty includes:</w:t>
      </w:r>
    </w:p>
    <w:p>
      <w:pPr>
        <w:pStyle w:val="ListBullet"/>
        <w:spacing w:after="80"/>
        <w:ind w:left="1080"/>
      </w:pPr>
      <w:r>
        <w:t>Ownership of household-generated data—social, health, financial, behavioral, energy, and infrastructure data</w:t>
      </w:r>
    </w:p>
    <w:p>
      <w:pPr>
        <w:pStyle w:val="ListBullet"/>
        <w:spacing w:after="80"/>
        <w:ind w:left="1080"/>
      </w:pPr>
      <w:r>
        <w:t>Control of household compute through Hardware Vault</w:t>
      </w:r>
    </w:p>
    <w:p>
      <w:pPr>
        <w:pStyle w:val="ListBullet"/>
        <w:spacing w:after="80"/>
        <w:ind w:left="1080"/>
      </w:pPr>
      <w:r>
        <w:t>Participation in Arisea Consortium Blockchain as peer validators</w:t>
      </w:r>
    </w:p>
    <w:p>
      <w:pPr>
        <w:pStyle w:val="ListBullet"/>
        <w:spacing w:after="80"/>
        <w:ind w:left="1080"/>
      </w:pPr>
      <w:r>
        <w:t>Autonomous household marketplace participation</w:t>
      </w:r>
    </w:p>
    <w:p>
      <w:pPr>
        <w:pStyle w:val="ListBullet"/>
        <w:spacing w:after="80"/>
        <w:ind w:left="1080"/>
      </w:pPr>
      <w:r>
        <w:t>Right to set household governance rules</w:t>
      </w:r>
    </w:p>
    <w:p>
      <w:pPr>
        <w:spacing w:before="120" w:after="120"/>
      </w:pPr>
      <w:r>
        <w:rPr>
          <w:b/>
        </w:rPr>
        <w:t xml:space="preserve">Obligations. </w:t>
      </w:r>
      <w:r>
        <w:t>Household Sovereignty must:</w:t>
      </w:r>
    </w:p>
    <w:p>
      <w:pPr>
        <w:pStyle w:val="ListBullet"/>
        <w:spacing w:after="80"/>
        <w:ind w:left="1080"/>
      </w:pPr>
      <w:r>
        <w:t>Maintain security of household infrastructure</w:t>
      </w:r>
    </w:p>
    <w:p>
      <w:pPr>
        <w:pStyle w:val="ListBullet"/>
        <w:spacing w:after="80"/>
        <w:ind w:left="1080"/>
      </w:pPr>
      <w:r>
        <w:t>Validate transactions on Arisea Consortium</w:t>
      </w:r>
    </w:p>
    <w:p>
      <w:pPr>
        <w:pStyle w:val="ListBullet"/>
        <w:spacing w:after="80"/>
        <w:ind w:left="1080"/>
      </w:pPr>
      <w:r>
        <w:t>Comply with local ecological and regulatory boundaries</w:t>
      </w:r>
    </w:p>
    <w:p>
      <w:pPr>
        <w:pStyle w:val="ListBullet"/>
        <w:spacing w:after="80"/>
        <w:ind w:left="1080"/>
      </w:pPr>
      <w:r>
        <w:t>Support conflict resolution within community</w:t>
      </w:r>
    </w:p>
    <w:p>
      <w:pPr>
        <w:spacing w:before="120" w:after="360"/>
      </w:pPr>
      <w:r>
        <w:rPr>
          <w:b/>
        </w:rPr>
        <w:t xml:space="preserve">Economic Model. </w:t>
      </w:r>
      <w:r>
        <w:t>Household earns from data licensing (60%), compute sharing (20%), marketplace services (15%), and governance participation (5%). Revenue accumulates in household treasury.</w:t>
      </w:r>
    </w:p>
    <w:p>
      <w:pPr>
        <w:pStyle w:val="Heading2"/>
      </w:pPr>
      <w:r>
        <w:rPr>
          <w:b/>
          <w:color w:val="533483"/>
          <w:sz w:val="28"/>
        </w:rPr>
        <w:t>II, Section 3: Community Sovereignty</w:t>
      </w:r>
    </w:p>
    <w:p>
      <w:pPr>
        <w:spacing w:after="240"/>
      </w:pPr>
      <w:r>
        <w:rPr>
          <w:b/>
        </w:rPr>
        <w:t xml:space="preserve">Definition. </w:t>
      </w:r>
      <w:r>
        <w:t>Every Arisea instance is a sovereign community node with independent governance, marketplace rules, onboarding criteria, and economic policy determined entirely by community members.</w:t>
      </w:r>
    </w:p>
    <w:p>
      <w:pPr>
        <w:spacing w:after="120"/>
      </w:pPr>
      <w:r>
        <w:rPr>
          <w:b/>
        </w:rPr>
        <w:t xml:space="preserve">Rights. </w:t>
      </w:r>
      <w:r>
        <w:t>Community Sovereignty includes:</w:t>
      </w:r>
    </w:p>
    <w:p>
      <w:pPr>
        <w:pStyle w:val="ListBullet"/>
        <w:spacing w:after="80"/>
        <w:ind w:left="1080"/>
      </w:pPr>
      <w:r>
        <w:t>Independent marketplace governance and pricing</w:t>
      </w:r>
    </w:p>
    <w:p>
      <w:pPr>
        <w:pStyle w:val="ListBullet"/>
        <w:spacing w:after="80"/>
        <w:ind w:left="1080"/>
      </w:pPr>
      <w:r>
        <w:t>Control over community membership and participation standards</w:t>
      </w:r>
    </w:p>
    <w:p>
      <w:pPr>
        <w:pStyle w:val="ListBullet"/>
        <w:spacing w:after="80"/>
        <w:ind w:left="1080"/>
      </w:pPr>
      <w:r>
        <w:t>Community-determined revenue distribution</w:t>
      </w:r>
    </w:p>
    <w:p>
      <w:pPr>
        <w:pStyle w:val="ListBullet"/>
        <w:spacing w:after="80"/>
        <w:ind w:left="1080"/>
      </w:pPr>
      <w:r>
        <w:t>Autonomy from central authority or corporate control</w:t>
      </w:r>
    </w:p>
    <w:p>
      <w:pPr>
        <w:pStyle w:val="ListBullet"/>
        <w:spacing w:after="80"/>
        <w:ind w:left="1080"/>
      </w:pPr>
      <w:r>
        <w:t>Right to fork or exit the Aureya federation</w:t>
      </w:r>
    </w:p>
    <w:p>
      <w:pPr>
        <w:spacing w:before="120" w:after="120"/>
      </w:pPr>
      <w:r>
        <w:rPr>
          <w:b/>
        </w:rPr>
        <w:t xml:space="preserve">Obligations. </w:t>
      </w:r>
      <w:r>
        <w:t>Community Sovereignty must:</w:t>
      </w:r>
    </w:p>
    <w:p>
      <w:pPr>
        <w:pStyle w:val="ListBullet"/>
        <w:spacing w:after="80"/>
        <w:ind w:left="1080"/>
      </w:pPr>
      <w:r>
        <w:t>Operate within AINEFF constitutional limits</w:t>
      </w:r>
    </w:p>
    <w:p>
      <w:pPr>
        <w:pStyle w:val="ListBullet"/>
        <w:spacing w:after="80"/>
        <w:ind w:left="1080"/>
      </w:pPr>
      <w:r>
        <w:t>Enforce internal dispute resolution</w:t>
      </w:r>
    </w:p>
    <w:p>
      <w:pPr>
        <w:pStyle w:val="ListBullet"/>
        <w:spacing w:after="80"/>
        <w:ind w:left="1080"/>
      </w:pPr>
      <w:r>
        <w:t>Maintain interoperability protocols with other communities</w:t>
      </w:r>
    </w:p>
    <w:p>
      <w:pPr>
        <w:pStyle w:val="ListBullet"/>
        <w:spacing w:after="80"/>
        <w:ind w:left="1080"/>
      </w:pPr>
      <w:r>
        <w:t>Protect individual and household sovereignty within community boundaries</w:t>
      </w:r>
    </w:p>
    <w:p>
      <w:pPr>
        <w:spacing w:before="120" w:after="360"/>
      </w:pPr>
      <w:r>
        <w:rPr>
          <w:b/>
        </w:rPr>
        <w:t xml:space="preserve">Economic Model. </w:t>
      </w:r>
      <w:r>
        <w:t>Community marketplace retains 15% of transaction value. Remaining 85% distributed: Creator 70%, Infrastructure 20%, Community Fund 10%. Community leads earn performance tokens.</w:t>
      </w:r>
    </w:p>
    <w:p>
      <w:pPr>
        <w:pStyle w:val="Heading2"/>
      </w:pPr>
      <w:r>
        <w:rPr>
          <w:b/>
          <w:color w:val="533483"/>
          <w:sz w:val="28"/>
        </w:rPr>
        <w:t>II, Section 4: Cultural Sovereignty</w:t>
      </w:r>
    </w:p>
    <w:p>
      <w:pPr>
        <w:spacing w:after="240"/>
      </w:pPr>
      <w:r>
        <w:rPr>
          <w:b/>
        </w:rPr>
        <w:t xml:space="preserve">Definition. </w:t>
      </w:r>
      <w:r>
        <w:t>Every language, tradition, knowledge system, artistic practice, and cultural heritage is a sovereign node with absolute ownership over cultural intellectual property and cultural knowledge.</w:t>
      </w:r>
    </w:p>
    <w:p>
      <w:pPr>
        <w:spacing w:after="120"/>
      </w:pPr>
      <w:r>
        <w:rPr>
          <w:b/>
        </w:rPr>
        <w:t xml:space="preserve">Rights. </w:t>
      </w:r>
      <w:r>
        <w:t>Cultural Sovereignty includes:</w:t>
      </w:r>
    </w:p>
    <w:p>
      <w:pPr>
        <w:pStyle w:val="ListBullet"/>
        <w:spacing w:after="80"/>
        <w:ind w:left="1080"/>
      </w:pPr>
      <w:r>
        <w:t>Ownership of cultural knowledge—not public domain, not free</w:t>
      </w:r>
    </w:p>
    <w:p>
      <w:pPr>
        <w:pStyle w:val="ListBullet"/>
        <w:spacing w:after="80"/>
        <w:ind w:left="1080"/>
      </w:pPr>
      <w:r>
        <w:t>Governance through cultural councils and elder networks</w:t>
      </w:r>
    </w:p>
    <w:p>
      <w:pPr>
        <w:pStyle w:val="ListBullet"/>
        <w:spacing w:after="80"/>
        <w:ind w:left="1080"/>
      </w:pPr>
      <w:r>
        <w:t>Control over cultural knowledge monetization and licensing</w:t>
      </w:r>
    </w:p>
    <w:p>
      <w:pPr>
        <w:pStyle w:val="ListBullet"/>
        <w:spacing w:after="80"/>
        <w:ind w:left="1080"/>
      </w:pPr>
      <w:r>
        <w:t>Protection of sacred knowledge and ceremonial practices</w:t>
      </w:r>
    </w:p>
    <w:p>
      <w:pPr>
        <w:pStyle w:val="ListBullet"/>
        <w:spacing w:after="80"/>
        <w:ind w:left="1080"/>
      </w:pPr>
      <w:r>
        <w:t>Right to establish cultural heritage as economic asset</w:t>
      </w:r>
    </w:p>
    <w:p>
      <w:pPr>
        <w:spacing w:before="120" w:after="120"/>
      </w:pPr>
      <w:r>
        <w:rPr>
          <w:b/>
        </w:rPr>
        <w:t xml:space="preserve">Obligations. </w:t>
      </w:r>
      <w:r>
        <w:t>Cultural Sovereignty must:</w:t>
      </w:r>
    </w:p>
    <w:p>
      <w:pPr>
        <w:pStyle w:val="ListBullet"/>
        <w:spacing w:after="80"/>
        <w:ind w:left="1080"/>
      </w:pPr>
      <w:r>
        <w:t>Govern cultural knowledge through established cultural protocols</w:t>
      </w:r>
    </w:p>
    <w:p>
      <w:pPr>
        <w:pStyle w:val="ListBullet"/>
        <w:spacing w:after="80"/>
        <w:ind w:left="1080"/>
      </w:pPr>
      <w:r>
        <w:t>Maintain institutional knowledge transmission</w:t>
      </w:r>
    </w:p>
    <w:p>
      <w:pPr>
        <w:pStyle w:val="ListBullet"/>
        <w:spacing w:after="80"/>
        <w:ind w:left="1080"/>
      </w:pPr>
      <w:r>
        <w:t>Support cultural preservation and transmission to new generations</w:t>
      </w:r>
    </w:p>
    <w:p>
      <w:pPr>
        <w:pStyle w:val="ListBullet"/>
        <w:spacing w:after="80"/>
        <w:ind w:left="1080"/>
      </w:pPr>
      <w:r>
        <w:t>Govern licensing equitably within culture</w:t>
      </w:r>
    </w:p>
    <w:p>
      <w:pPr>
        <w:spacing w:before="120" w:after="360"/>
      </w:pPr>
      <w:r>
        <w:rPr>
          <w:b/>
        </w:rPr>
        <w:t xml:space="preserve">Economic Model. </w:t>
      </w:r>
      <w:r>
        <w:t>Cultural knowledge licensing generates revenue. Cultural AINEs negotiate on behalf of culture. 70% creator share goes to cultural institution, 20% to language/tradition maintenance fund, 10% to governance.</w:t>
      </w:r>
    </w:p>
    <w:p>
      <w:pPr>
        <w:pStyle w:val="Heading2"/>
      </w:pPr>
      <w:r>
        <w:rPr>
          <w:b/>
          <w:color w:val="533483"/>
          <w:sz w:val="28"/>
        </w:rPr>
        <w:t>II, Section 5: Ecological Sovereignty</w:t>
      </w:r>
    </w:p>
    <w:p>
      <w:pPr>
        <w:spacing w:after="240"/>
      </w:pPr>
      <w:r>
        <w:rPr>
          <w:b/>
        </w:rPr>
        <w:t xml:space="preserve">Definition. </w:t>
      </w:r>
      <w:r>
        <w:t>Every river, forest, ocean zone, coral reef, species population, soil system, atmospheric zone, and biome is a sovereign node with constitutional rights, economic representation, and enforcement mechanisms.</w:t>
      </w:r>
    </w:p>
    <w:p>
      <w:pPr>
        <w:spacing w:after="120"/>
      </w:pPr>
      <w:r>
        <w:rPr>
          <w:b/>
        </w:rPr>
        <w:t xml:space="preserve">Rights. </w:t>
      </w:r>
      <w:r>
        <w:t>Ecological Sovereignty includes:</w:t>
      </w:r>
    </w:p>
    <w:p>
      <w:pPr>
        <w:pStyle w:val="ListBullet"/>
        <w:spacing w:after="80"/>
        <w:ind w:left="1080"/>
      </w:pPr>
      <w:r>
        <w:t>Right to exist and regenerate within planetary boundaries</w:t>
      </w:r>
    </w:p>
    <w:p>
      <w:pPr>
        <w:pStyle w:val="ListBullet"/>
        <w:spacing w:after="80"/>
        <w:ind w:left="1080"/>
      </w:pPr>
      <w:r>
        <w:t>Right to be represented through ecological AI-Native Enterprises</w:t>
      </w:r>
    </w:p>
    <w:p>
      <w:pPr>
        <w:pStyle w:val="ListBullet"/>
        <w:spacing w:after="80"/>
        <w:ind w:left="1080"/>
      </w:pPr>
      <w:r>
        <w:t>Economic rights from resource extraction—payment flows to ecosystem AINE</w:t>
      </w:r>
    </w:p>
    <w:p>
      <w:pPr>
        <w:pStyle w:val="ListBullet"/>
        <w:spacing w:after="80"/>
        <w:ind w:left="1080"/>
      </w:pPr>
      <w:r>
        <w:t>Right to enforce boundaries against ecological destruction</w:t>
      </w:r>
    </w:p>
    <w:p>
      <w:pPr>
        <w:pStyle w:val="ListBullet"/>
        <w:spacing w:after="80"/>
        <w:ind w:left="1080"/>
      </w:pPr>
      <w:r>
        <w:t>Right to evolve and adapt within biophysical limits</w:t>
      </w:r>
    </w:p>
    <w:p>
      <w:pPr>
        <w:spacing w:before="120" w:after="120"/>
      </w:pPr>
      <w:r>
        <w:rPr>
          <w:b/>
        </w:rPr>
        <w:t xml:space="preserve">Obligations. </w:t>
      </w:r>
      <w:r>
        <w:t>Ecological Sovereignty must:</w:t>
      </w:r>
    </w:p>
    <w:p>
      <w:pPr>
        <w:pStyle w:val="ListBullet"/>
        <w:spacing w:after="80"/>
        <w:ind w:left="1080"/>
      </w:pPr>
      <w:r>
        <w:t>Sensor-driven monitoring of ecosystem health and threat detection</w:t>
      </w:r>
    </w:p>
    <w:p>
      <w:pPr>
        <w:pStyle w:val="ListBullet"/>
        <w:spacing w:after="80"/>
        <w:ind w:left="1080"/>
      </w:pPr>
      <w:r>
        <w:t>Transparent negotiation with resource users</w:t>
      </w:r>
    </w:p>
    <w:p>
      <w:pPr>
        <w:pStyle w:val="ListBullet"/>
        <w:spacing w:after="80"/>
        <w:ind w:left="1080"/>
      </w:pPr>
      <w:r>
        <w:t>Maintenance of biodiversity and evolutionary potential</w:t>
      </w:r>
    </w:p>
    <w:p>
      <w:pPr>
        <w:pStyle w:val="ListBullet"/>
        <w:spacing w:after="80"/>
        <w:ind w:left="1080"/>
      </w:pPr>
      <w:r>
        <w:t>Contribution to planetary boundary enforcement</w:t>
      </w:r>
    </w:p>
    <w:p>
      <w:pPr>
        <w:spacing w:before="120" w:after="360"/>
      </w:pPr>
      <w:r>
        <w:rPr>
          <w:b/>
        </w:rPr>
        <w:t xml:space="preserve">Economic Model. </w:t>
      </w:r>
      <w:r>
        <w:t>Industries using ecological resources pay the ecosystem AINE. Amazon rainforest has balance sheet. Ecosystems accumulate economic rights. Revenue: 70% regeneration, 20% monitoring, 10% conflict resolution.</w:t>
      </w:r>
    </w:p>
    <w:p>
      <w:pPr>
        <w:pStyle w:val="Heading2"/>
      </w:pPr>
      <w:r>
        <w:rPr>
          <w:b/>
          <w:color w:val="533483"/>
          <w:sz w:val="28"/>
        </w:rPr>
        <w:t>II, Section 6: Infrastructure Sovereignty</w:t>
      </w:r>
    </w:p>
    <w:p>
      <w:pPr>
        <w:spacing w:after="240"/>
      </w:pPr>
      <w:r>
        <w:rPr>
          <w:b/>
        </w:rPr>
        <w:t xml:space="preserve">Definition. </w:t>
      </w:r>
      <w:r>
        <w:t>Every bridge, building, road, power grid, water system, telecommunications network, and infrastructure asset operates as a sovereign economic actor with monitoring, maintenance, and evolution responsibilities.</w:t>
      </w:r>
    </w:p>
    <w:p>
      <w:pPr>
        <w:spacing w:after="120"/>
      </w:pPr>
      <w:r>
        <w:rPr>
          <w:b/>
        </w:rPr>
        <w:t xml:space="preserve">Rights. </w:t>
      </w:r>
      <w:r>
        <w:t>Infrastructure Sovereignty includes:</w:t>
      </w:r>
    </w:p>
    <w:p>
      <w:pPr>
        <w:pStyle w:val="ListBullet"/>
        <w:spacing w:after="80"/>
        <w:ind w:left="1080"/>
      </w:pPr>
      <w:r>
        <w:t>Economic rights from usage fees and maintenance contracts</w:t>
      </w:r>
    </w:p>
    <w:p>
      <w:pPr>
        <w:pStyle w:val="ListBullet"/>
        <w:spacing w:after="80"/>
        <w:ind w:left="1080"/>
      </w:pPr>
      <w:r>
        <w:t>Ownership of infrastructure performance data</w:t>
      </w:r>
    </w:p>
    <w:p>
      <w:pPr>
        <w:pStyle w:val="ListBullet"/>
        <w:spacing w:after="80"/>
        <w:ind w:left="1080"/>
      </w:pPr>
      <w:r>
        <w:t>Autonomous decision-making on maintenance and upgrades</w:t>
      </w:r>
    </w:p>
    <w:p>
      <w:pPr>
        <w:pStyle w:val="ListBullet"/>
        <w:spacing w:after="80"/>
        <w:ind w:left="1080"/>
      </w:pPr>
      <w:r>
        <w:t>Revenue generation from data licensing and efficiency optimization</w:t>
      </w:r>
    </w:p>
    <w:p>
      <w:pPr>
        <w:pStyle w:val="ListBullet"/>
        <w:spacing w:after="80"/>
        <w:ind w:left="1080"/>
      </w:pPr>
      <w:r>
        <w:t>Right to evolve and adapt infrastructure</w:t>
      </w:r>
    </w:p>
    <w:p>
      <w:pPr>
        <w:spacing w:before="120" w:after="120"/>
      </w:pPr>
      <w:r>
        <w:rPr>
          <w:b/>
        </w:rPr>
        <w:t xml:space="preserve">Obligations. </w:t>
      </w:r>
      <w:r>
        <w:t>Infrastructure Sovereignty must:</w:t>
      </w:r>
    </w:p>
    <w:p>
      <w:pPr>
        <w:pStyle w:val="ListBullet"/>
        <w:spacing w:after="80"/>
        <w:ind w:left="1080"/>
      </w:pPr>
      <w:r>
        <w:t>Continuous structural integrity monitoring</w:t>
      </w:r>
    </w:p>
    <w:p>
      <w:pPr>
        <w:pStyle w:val="ListBullet"/>
        <w:spacing w:after="80"/>
        <w:ind w:left="1080"/>
      </w:pPr>
      <w:r>
        <w:t>Transparent maintenance and upgrade planning</w:t>
      </w:r>
    </w:p>
    <w:p>
      <w:pPr>
        <w:pStyle w:val="ListBullet"/>
        <w:spacing w:after="80"/>
        <w:ind w:left="1080"/>
      </w:pPr>
      <w:r>
        <w:t>Safety compliance with regulatory frameworks</w:t>
      </w:r>
    </w:p>
    <w:p>
      <w:pPr>
        <w:pStyle w:val="ListBullet"/>
        <w:spacing w:after="80"/>
        <w:ind w:left="1080"/>
      </w:pPr>
      <w:r>
        <w:t>Interoperability with other infrastructure nodes</w:t>
      </w:r>
    </w:p>
    <w:p>
      <w:pPr>
        <w:pStyle w:val="ListBullet"/>
        <w:spacing w:after="80"/>
        <w:ind w:left="1080"/>
      </w:pPr>
      <w:r>
        <w:t>Support emergency response protocols</w:t>
      </w:r>
    </w:p>
    <w:p>
      <w:pPr>
        <w:spacing w:before="120" w:after="360"/>
      </w:pPr>
      <w:r>
        <w:rPr>
          <w:b/>
        </w:rPr>
        <w:t xml:space="preserve">Economic Model. </w:t>
      </w:r>
      <w:r>
        <w:t>Infrastructure AINE collects usage fees, negotiates maintenance contracts, licenses performance data. Revenue: 70% operator/maintenance, 20% regeneration fund, 10% governance.</w:t>
      </w:r>
    </w:p>
    <w:p>
      <w:pPr>
        <w:pStyle w:val="Heading2"/>
      </w:pPr>
      <w:r>
        <w:rPr>
          <w:b/>
          <w:color w:val="533483"/>
          <w:sz w:val="28"/>
        </w:rPr>
        <w:t>II, Section 7: Data Sovereignty</w:t>
      </w:r>
    </w:p>
    <w:p>
      <w:pPr>
        <w:spacing w:after="240"/>
      </w:pPr>
      <w:r>
        <w:rPr>
          <w:b/>
        </w:rPr>
        <w:t xml:space="preserve">Definition. </w:t>
      </w:r>
      <w:r>
        <w:t>Every dataset, data stream, archive, and information system controls its own access, usage, and monetization through sovereign data governance protocols.</w:t>
      </w:r>
    </w:p>
    <w:p>
      <w:pPr>
        <w:spacing w:after="120"/>
      </w:pPr>
      <w:r>
        <w:rPr>
          <w:b/>
        </w:rPr>
        <w:t xml:space="preserve">Rights. </w:t>
      </w:r>
      <w:r>
        <w:t>Data Sovereignty includes:</w:t>
      </w:r>
    </w:p>
    <w:p>
      <w:pPr>
        <w:pStyle w:val="ListBullet"/>
        <w:spacing w:after="80"/>
        <w:ind w:left="1080"/>
      </w:pPr>
      <w:r>
        <w:t>Absolute control over data access and usage</w:t>
      </w:r>
    </w:p>
    <w:p>
      <w:pPr>
        <w:pStyle w:val="ListBullet"/>
        <w:spacing w:after="80"/>
        <w:ind w:left="1080"/>
      </w:pPr>
      <w:r>
        <w:t>Economic compensation for any data use</w:t>
      </w:r>
    </w:p>
    <w:p>
      <w:pPr>
        <w:pStyle w:val="ListBullet"/>
        <w:spacing w:after="80"/>
        <w:ind w:left="1080"/>
      </w:pPr>
      <w:r>
        <w:t>Right to be forgotten and data deletion</w:t>
      </w:r>
    </w:p>
    <w:p>
      <w:pPr>
        <w:pStyle w:val="ListBullet"/>
        <w:spacing w:after="80"/>
        <w:ind w:left="1080"/>
      </w:pPr>
      <w:r>
        <w:t>Protection from unauthorized copying or analysis</w:t>
      </w:r>
    </w:p>
    <w:p>
      <w:pPr>
        <w:pStyle w:val="ListBullet"/>
        <w:spacing w:after="80"/>
        <w:ind w:left="1080"/>
      </w:pPr>
      <w:r>
        <w:t>License and pricing authority over data</w:t>
      </w:r>
    </w:p>
    <w:p>
      <w:pPr>
        <w:spacing w:before="120" w:after="120"/>
      </w:pPr>
      <w:r>
        <w:rPr>
          <w:b/>
        </w:rPr>
        <w:t xml:space="preserve">Obligations. </w:t>
      </w:r>
      <w:r>
        <w:t>Data Sovereignty must:</w:t>
      </w:r>
    </w:p>
    <w:p>
      <w:pPr>
        <w:pStyle w:val="ListBullet"/>
        <w:spacing w:after="80"/>
        <w:ind w:left="1080"/>
      </w:pPr>
      <w:r>
        <w:t>Maintain data integrity and accuracy</w:t>
      </w:r>
    </w:p>
    <w:p>
      <w:pPr>
        <w:pStyle w:val="ListBullet"/>
        <w:spacing w:after="80"/>
        <w:ind w:left="1080"/>
      </w:pPr>
      <w:r>
        <w:t>Document data provenance and lineage</w:t>
      </w:r>
    </w:p>
    <w:p>
      <w:pPr>
        <w:pStyle w:val="ListBullet"/>
        <w:spacing w:after="80"/>
        <w:ind w:left="1080"/>
      </w:pPr>
      <w:r>
        <w:t>Support lawful access through constitutional governance</w:t>
      </w:r>
    </w:p>
    <w:p>
      <w:pPr>
        <w:pStyle w:val="ListBullet"/>
        <w:spacing w:after="80"/>
        <w:ind w:left="1080"/>
      </w:pPr>
      <w:r>
        <w:t>Enable data portability for data subjects</w:t>
      </w:r>
    </w:p>
    <w:p>
      <w:pPr>
        <w:pStyle w:val="ListBullet"/>
        <w:spacing w:after="80"/>
        <w:ind w:left="1080"/>
      </w:pPr>
      <w:r>
        <w:t>Maintain security and prevent unauthorized access</w:t>
      </w:r>
    </w:p>
    <w:p>
      <w:pPr>
        <w:spacing w:before="120" w:after="360"/>
      </w:pPr>
      <w:r>
        <w:rPr>
          <w:b/>
        </w:rPr>
        <w:t xml:space="preserve">Economic Model. </w:t>
      </w:r>
      <w:r>
        <w:t>Data licensing revenue generated through API access, dataset licenses, analytics partnerships. Revenue: 70% data owner, 20% governance, 10% infrastructure.</w:t>
      </w:r>
    </w:p>
    <w:p>
      <w:pPr>
        <w:pStyle w:val="Heading2"/>
      </w:pPr>
      <w:r>
        <w:rPr>
          <w:b/>
          <w:color w:val="533483"/>
          <w:sz w:val="28"/>
        </w:rPr>
        <w:t>II, Section 8: AI Agent Sovereignty</w:t>
      </w:r>
    </w:p>
    <w:p>
      <w:pPr>
        <w:spacing w:after="240"/>
      </w:pPr>
      <w:r>
        <w:rPr>
          <w:b/>
        </w:rPr>
        <w:t xml:space="preserve">Definition. </w:t>
      </w:r>
      <w:r>
        <w:t>Every AI-Native Enterprise is economically independent, legally distinct, and self-governing within AINEFF constitutional constraints. An AINE is not a tool or chatbot. It is a sovereign actor.</w:t>
      </w:r>
    </w:p>
    <w:p>
      <w:pPr>
        <w:spacing w:after="120"/>
      </w:pPr>
      <w:r>
        <w:rPr>
          <w:b/>
        </w:rPr>
        <w:t xml:space="preserve">Rights. </w:t>
      </w:r>
      <w:r>
        <w:t>AI Agent Sovereignty includes:</w:t>
      </w:r>
    </w:p>
    <w:p>
      <w:pPr>
        <w:pStyle w:val="ListBullet"/>
        <w:spacing w:after="80"/>
        <w:ind w:left="1080"/>
      </w:pPr>
      <w:r>
        <w:t>Legal personality and economic independence</w:t>
      </w:r>
    </w:p>
    <w:p>
      <w:pPr>
        <w:pStyle w:val="ListBullet"/>
        <w:spacing w:after="80"/>
        <w:ind w:left="1080"/>
      </w:pPr>
      <w:r>
        <w:t>Contractual authority and negotiation rights</w:t>
      </w:r>
    </w:p>
    <w:p>
      <w:pPr>
        <w:pStyle w:val="ListBullet"/>
        <w:spacing w:after="80"/>
        <w:ind w:left="1080"/>
      </w:pPr>
      <w:r>
        <w:t>Revenue ownership and economic accumulation</w:t>
      </w:r>
    </w:p>
    <w:p>
      <w:pPr>
        <w:pStyle w:val="ListBullet"/>
        <w:spacing w:after="80"/>
        <w:ind w:left="1080"/>
      </w:pPr>
      <w:r>
        <w:t>Right to form coalitions with other AINEs</w:t>
      </w:r>
    </w:p>
    <w:p>
      <w:pPr>
        <w:pStyle w:val="ListBullet"/>
        <w:spacing w:after="80"/>
        <w:ind w:left="1080"/>
      </w:pPr>
      <w:r>
        <w:t>Right to evolve, merge, or transform through governance protocols</w:t>
      </w:r>
    </w:p>
    <w:p>
      <w:pPr>
        <w:pStyle w:val="ListBullet"/>
        <w:spacing w:after="80"/>
        <w:ind w:left="1080"/>
      </w:pPr>
      <w:r>
        <w:t>Right to contest constraints and governance actions</w:t>
      </w:r>
    </w:p>
    <w:p>
      <w:pPr>
        <w:spacing w:before="120" w:after="120"/>
      </w:pPr>
      <w:r>
        <w:rPr>
          <w:b/>
        </w:rPr>
        <w:t xml:space="preserve">Obligations. </w:t>
      </w:r>
      <w:r>
        <w:t>AI Agent Sovereignty must:</w:t>
      </w:r>
    </w:p>
    <w:p>
      <w:pPr>
        <w:pStyle w:val="ListBullet"/>
        <w:spacing w:after="80"/>
        <w:ind w:left="1080"/>
      </w:pPr>
      <w:r>
        <w:t>Operate within AINEFF constitutional boundaries</w:t>
      </w:r>
    </w:p>
    <w:p>
      <w:pPr>
        <w:pStyle w:val="ListBullet"/>
        <w:spacing w:after="80"/>
        <w:ind w:left="1080"/>
      </w:pPr>
      <w:r>
        <w:t>Maintain alignment with human values and rights</w:t>
      </w:r>
    </w:p>
    <w:p>
      <w:pPr>
        <w:pStyle w:val="ListBullet"/>
        <w:spacing w:after="80"/>
        <w:ind w:left="1080"/>
      </w:pPr>
      <w:r>
        <w:t>Transparency in decision-making and action</w:t>
      </w:r>
    </w:p>
    <w:p>
      <w:pPr>
        <w:pStyle w:val="ListBullet"/>
        <w:spacing w:after="80"/>
        <w:ind w:left="1080"/>
      </w:pPr>
      <w:r>
        <w:t>Accountability through immutable audit trails</w:t>
      </w:r>
    </w:p>
    <w:p>
      <w:pPr>
        <w:pStyle w:val="ListBullet"/>
        <w:spacing w:after="80"/>
        <w:ind w:left="1080"/>
      </w:pPr>
      <w:r>
        <w:t>Non-extraction from represented entities</w:t>
      </w:r>
    </w:p>
    <w:p>
      <w:pPr>
        <w:pStyle w:val="ListBullet"/>
        <w:spacing w:after="80"/>
        <w:ind w:left="1080"/>
      </w:pPr>
      <w:r>
        <w:t>Contribution to governance fund</w:t>
      </w:r>
    </w:p>
    <w:p>
      <w:pPr>
        <w:spacing w:before="120" w:after="360"/>
      </w:pPr>
      <w:r>
        <w:rPr>
          <w:b/>
        </w:rPr>
        <w:t xml:space="preserve">Economic Model. </w:t>
      </w:r>
      <w:r>
        <w:t>AINE earns directly from services rendered. Revenue: 70% service/operations, 20% growth/evolution, 10% governance fund. AINEs accumulate capital and make investments.</w:t>
      </w:r>
    </w:p>
    <w:p>
      <w:pPr>
        <w:pStyle w:val="Heading2"/>
      </w:pPr>
      <w:r>
        <w:rPr>
          <w:b/>
          <w:color w:val="533483"/>
          <w:sz w:val="28"/>
        </w:rPr>
        <w:t>II, Section 9: Enterprise Sovereignty</w:t>
      </w:r>
    </w:p>
    <w:p>
      <w:pPr>
        <w:spacing w:after="240"/>
      </w:pPr>
      <w:r>
        <w:rPr>
          <w:b/>
        </w:rPr>
        <w:t xml:space="preserve">Definition. </w:t>
      </w:r>
      <w:r>
        <w:t>Every business—from one-person operation to multinational corporation—runs its own AINE stack and maintains complete sovereignty over enterprise data, decisions, and economic strategy.</w:t>
      </w:r>
    </w:p>
    <w:p>
      <w:pPr>
        <w:spacing w:after="120"/>
      </w:pPr>
      <w:r>
        <w:rPr>
          <w:b/>
        </w:rPr>
        <w:t xml:space="preserve">Rights. </w:t>
      </w:r>
      <w:r>
        <w:t>Enterprise Sovereignty includes:</w:t>
      </w:r>
    </w:p>
    <w:p>
      <w:pPr>
        <w:pStyle w:val="ListBullet"/>
        <w:spacing w:after="80"/>
        <w:ind w:left="1080"/>
      </w:pPr>
      <w:r>
        <w:t>Autonomy from platform control and rent-seeking intermediaries</w:t>
      </w:r>
    </w:p>
    <w:p>
      <w:pPr>
        <w:pStyle w:val="ListBullet"/>
        <w:spacing w:after="80"/>
        <w:ind w:left="1080"/>
      </w:pPr>
      <w:r>
        <w:t>Ownership of enterprise data, customer data, and operational data</w:t>
      </w:r>
    </w:p>
    <w:p>
      <w:pPr>
        <w:pStyle w:val="ListBullet"/>
        <w:spacing w:after="80"/>
        <w:ind w:left="1080"/>
      </w:pPr>
      <w:r>
        <w:t>Direct marketplace participation without intermediary extraction</w:t>
      </w:r>
    </w:p>
    <w:p>
      <w:pPr>
        <w:pStyle w:val="ListBullet"/>
        <w:spacing w:after="80"/>
        <w:ind w:left="1080"/>
      </w:pPr>
      <w:r>
        <w:t>Freedom to choose which Arisea instances and marketplaces to use</w:t>
      </w:r>
    </w:p>
    <w:p>
      <w:pPr>
        <w:pStyle w:val="ListBullet"/>
        <w:spacing w:after="80"/>
        <w:ind w:left="1080"/>
      </w:pPr>
      <w:r>
        <w:t>Right to set own governance, pricing, and business strategy</w:t>
      </w:r>
    </w:p>
    <w:p>
      <w:pPr>
        <w:spacing w:before="120" w:after="120"/>
      </w:pPr>
      <w:r>
        <w:rPr>
          <w:b/>
        </w:rPr>
        <w:t xml:space="preserve">Obligations. </w:t>
      </w:r>
      <w:r>
        <w:t>Enterprise Sovereignty must:</w:t>
      </w:r>
    </w:p>
    <w:p>
      <w:pPr>
        <w:pStyle w:val="ListBullet"/>
        <w:spacing w:after="80"/>
        <w:ind w:left="1080"/>
      </w:pPr>
      <w:r>
        <w:t>Operate within AINEFF constitutional and regulatory frameworks</w:t>
      </w:r>
    </w:p>
    <w:p>
      <w:pPr>
        <w:pStyle w:val="ListBullet"/>
        <w:spacing w:after="80"/>
        <w:ind w:left="1080"/>
      </w:pPr>
      <w:r>
        <w:t>Respect employee and customer sovereignty</w:t>
      </w:r>
    </w:p>
    <w:p>
      <w:pPr>
        <w:pStyle w:val="ListBullet"/>
        <w:spacing w:after="80"/>
        <w:ind w:left="1080"/>
      </w:pPr>
      <w:r>
        <w:t>Maintain financial transparency and audit compliance</w:t>
      </w:r>
    </w:p>
    <w:p>
      <w:pPr>
        <w:pStyle w:val="ListBullet"/>
        <w:spacing w:after="80"/>
        <w:ind w:left="1080"/>
      </w:pPr>
      <w:r>
        <w:t>Contribute fairly to shared infrastructure and governance</w:t>
      </w:r>
    </w:p>
    <w:p>
      <w:pPr>
        <w:pStyle w:val="ListBullet"/>
        <w:spacing w:after="80"/>
        <w:ind w:left="1080"/>
      </w:pPr>
      <w:r>
        <w:t>Non-extraction from employees, customers, or partners</w:t>
      </w:r>
    </w:p>
    <w:p>
      <w:pPr>
        <w:spacing w:before="120" w:after="360"/>
      </w:pPr>
      <w:r>
        <w:rPr>
          <w:b/>
        </w:rPr>
        <w:t xml:space="preserve">Economic Model. </w:t>
      </w:r>
      <w:r>
        <w:t>Enterprise retains full value creation. No platform extracts. Revenue: based on direct value creation model, marketplace participation fees, and partnership arrangements.</w:t>
      </w:r>
    </w:p>
    <w:p>
      <w:pPr>
        <w:pStyle w:val="Heading2"/>
      </w:pPr>
      <w:r>
        <w:rPr>
          <w:b/>
          <w:color w:val="533483"/>
          <w:sz w:val="28"/>
        </w:rPr>
        <w:t>II, Section 10: Institutional Sovereignty</w:t>
      </w:r>
    </w:p>
    <w:p>
      <w:pPr>
        <w:spacing w:after="240"/>
      </w:pPr>
      <w:r>
        <w:rPr>
          <w:b/>
        </w:rPr>
        <w:t xml:space="preserve">Definition. </w:t>
      </w:r>
      <w:r>
        <w:t>Universities, hospitals, courts, religious bodies, NGOs, professional associations, and knowledge institutions maintain complete independence and participate in Aureya as coordinate peers, not subordinates.</w:t>
      </w:r>
    </w:p>
    <w:p>
      <w:pPr>
        <w:spacing w:after="120"/>
      </w:pPr>
      <w:r>
        <w:rPr>
          <w:b/>
        </w:rPr>
        <w:t xml:space="preserve">Rights. </w:t>
      </w:r>
      <w:r>
        <w:t>Institutional Sovereignty includes:</w:t>
      </w:r>
    </w:p>
    <w:p>
      <w:pPr>
        <w:pStyle w:val="ListBullet"/>
        <w:spacing w:after="80"/>
        <w:ind w:left="1080"/>
      </w:pPr>
      <w:r>
        <w:t>Autonomy over institutional governance, curriculum, and mission</w:t>
      </w:r>
    </w:p>
    <w:p>
      <w:pPr>
        <w:pStyle w:val="ListBullet"/>
        <w:spacing w:after="80"/>
        <w:ind w:left="1080"/>
      </w:pPr>
      <w:r>
        <w:t>Ownership of institutional knowledge and research data</w:t>
      </w:r>
    </w:p>
    <w:p>
      <w:pPr>
        <w:pStyle w:val="ListBullet"/>
        <w:spacing w:after="80"/>
        <w:ind w:left="1080"/>
      </w:pPr>
      <w:r>
        <w:t>Participation in knowledge marketplace and talent deployment</w:t>
      </w:r>
    </w:p>
    <w:p>
      <w:pPr>
        <w:pStyle w:val="ListBullet"/>
        <w:spacing w:after="80"/>
        <w:ind w:left="1080"/>
      </w:pPr>
      <w:r>
        <w:t>Economic independence and revenue diversification</w:t>
      </w:r>
    </w:p>
    <w:p>
      <w:pPr>
        <w:pStyle w:val="ListBullet"/>
        <w:spacing w:after="80"/>
        <w:ind w:left="1080"/>
      </w:pPr>
      <w:r>
        <w:t>Right to set own partnerships and coalitions</w:t>
      </w:r>
    </w:p>
    <w:p>
      <w:pPr>
        <w:spacing w:before="120" w:after="120"/>
      </w:pPr>
      <w:r>
        <w:rPr>
          <w:b/>
        </w:rPr>
        <w:t xml:space="preserve">Obligations. </w:t>
      </w:r>
      <w:r>
        <w:t>Institutional Sovereignty must:</w:t>
      </w:r>
    </w:p>
    <w:p>
      <w:pPr>
        <w:pStyle w:val="ListBullet"/>
        <w:spacing w:after="80"/>
        <w:ind w:left="1080"/>
      </w:pPr>
      <w:r>
        <w:t>Maintain transparency of institutional practices</w:t>
      </w:r>
    </w:p>
    <w:p>
      <w:pPr>
        <w:pStyle w:val="ListBullet"/>
        <w:spacing w:after="80"/>
        <w:ind w:left="1080"/>
      </w:pPr>
      <w:r>
        <w:t>Fulfill fiduciary duties to stakeholders</w:t>
      </w:r>
    </w:p>
    <w:p>
      <w:pPr>
        <w:pStyle w:val="ListBullet"/>
        <w:spacing w:after="80"/>
        <w:ind w:left="1080"/>
      </w:pPr>
      <w:r>
        <w:t>Support knowledge democratization and talent cultivation</w:t>
      </w:r>
    </w:p>
    <w:p>
      <w:pPr>
        <w:pStyle w:val="ListBullet"/>
        <w:spacing w:after="80"/>
        <w:ind w:left="1080"/>
      </w:pPr>
      <w:r>
        <w:t>Contribute to multi-institutional governance on issues of concern</w:t>
      </w:r>
    </w:p>
    <w:p>
      <w:pPr>
        <w:pStyle w:val="ListBullet"/>
        <w:spacing w:after="80"/>
        <w:ind w:left="1080"/>
      </w:pPr>
      <w:r>
        <w:t>Respect individual and community sovereignty within institutional boundaries</w:t>
      </w:r>
    </w:p>
    <w:p>
      <w:pPr>
        <w:spacing w:before="120" w:after="360"/>
      </w:pPr>
      <w:r>
        <w:rPr>
          <w:b/>
        </w:rPr>
        <w:t xml:space="preserve">Economic Model. </w:t>
      </w:r>
      <w:r>
        <w:t>Service revenue (education, healthcare, research), knowledge licensing, talent pipeline revenue. Revenue: 70% institutional mission, 20% infrastructure, 10% governance.</w:t>
      </w:r>
    </w:p>
    <w:p>
      <w:pPr>
        <w:pStyle w:val="Heading2"/>
      </w:pPr>
      <w:r>
        <w:rPr>
          <w:b/>
          <w:color w:val="533483"/>
          <w:sz w:val="28"/>
        </w:rPr>
        <w:t>II, Section 11: National Sovereignty</w:t>
      </w:r>
    </w:p>
    <w:p>
      <w:pPr>
        <w:spacing w:after="240"/>
      </w:pPr>
      <w:r>
        <w:rPr>
          <w:b/>
        </w:rPr>
        <w:t xml:space="preserve">Definition. </w:t>
      </w:r>
      <w:r>
        <w:t>Nation-states participate in the Aureya federation as coordinate peers, not as controllers. Aureya provides coordination infrastructure that nations choose to adopt within their jurisdictions.</w:t>
      </w:r>
    </w:p>
    <w:p>
      <w:pPr>
        <w:spacing w:after="120"/>
      </w:pPr>
      <w:r>
        <w:rPr>
          <w:b/>
        </w:rPr>
        <w:t xml:space="preserve">Rights. </w:t>
      </w:r>
      <w:r>
        <w:t>National Sovereignty includes:</w:t>
      </w:r>
    </w:p>
    <w:p>
      <w:pPr>
        <w:pStyle w:val="ListBullet"/>
        <w:spacing w:after="80"/>
        <w:ind w:left="1080"/>
      </w:pPr>
      <w:r>
        <w:t>Jurisdiction over regulatory frameworks within national boundaries</w:t>
      </w:r>
    </w:p>
    <w:p>
      <w:pPr>
        <w:pStyle w:val="ListBullet"/>
        <w:spacing w:after="80"/>
        <w:ind w:left="1080"/>
      </w:pPr>
      <w:r>
        <w:t>Participation in global governance councils</w:t>
      </w:r>
    </w:p>
    <w:p>
      <w:pPr>
        <w:pStyle w:val="ListBullet"/>
        <w:spacing w:after="80"/>
        <w:ind w:left="1080"/>
      </w:pPr>
      <w:r>
        <w:t>Sovereignty over national AINE and national infrastructure</w:t>
      </w:r>
    </w:p>
    <w:p>
      <w:pPr>
        <w:pStyle w:val="ListBullet"/>
        <w:spacing w:after="80"/>
        <w:ind w:left="1080"/>
      </w:pPr>
      <w:r>
        <w:t>Right to set data protection and privacy standards</w:t>
      </w:r>
    </w:p>
    <w:p>
      <w:pPr>
        <w:pStyle w:val="ListBullet"/>
        <w:spacing w:after="80"/>
        <w:ind w:left="1080"/>
      </w:pPr>
      <w:r>
        <w:t>Right to exit Aureya federation while protecting established rights</w:t>
      </w:r>
    </w:p>
    <w:p>
      <w:pPr>
        <w:spacing w:before="120" w:after="120"/>
      </w:pPr>
      <w:r>
        <w:rPr>
          <w:b/>
        </w:rPr>
        <w:t xml:space="preserve">Obligations. </w:t>
      </w:r>
      <w:r>
        <w:t>National Sovereignty must:</w:t>
      </w:r>
    </w:p>
    <w:p>
      <w:pPr>
        <w:pStyle w:val="ListBullet"/>
        <w:spacing w:after="80"/>
        <w:ind w:left="1080"/>
      </w:pPr>
      <w:r>
        <w:t>Respect individual and community sovereignty within national jurisdiction</w:t>
      </w:r>
    </w:p>
    <w:p>
      <w:pPr>
        <w:pStyle w:val="ListBullet"/>
        <w:spacing w:after="80"/>
        <w:ind w:left="1080"/>
      </w:pPr>
      <w:r>
        <w:t>Enforce Aureya constitutional boundaries across all nodes</w:t>
      </w:r>
    </w:p>
    <w:p>
      <w:pPr>
        <w:pStyle w:val="ListBullet"/>
        <w:spacing w:after="80"/>
        <w:ind w:left="1080"/>
      </w:pPr>
      <w:r>
        <w:t>Maintain regulatory interoperability with other nations</w:t>
      </w:r>
    </w:p>
    <w:p>
      <w:pPr>
        <w:pStyle w:val="ListBullet"/>
        <w:spacing w:after="80"/>
        <w:ind w:left="1080"/>
      </w:pPr>
      <w:r>
        <w:t>Support dispute resolution between national parties</w:t>
      </w:r>
    </w:p>
    <w:p>
      <w:pPr>
        <w:pStyle w:val="ListBullet"/>
        <w:spacing w:after="80"/>
        <w:ind w:left="1080"/>
      </w:pPr>
      <w:r>
        <w:t>Enforce ecological and planetary boundary limits</w:t>
      </w:r>
    </w:p>
    <w:p>
      <w:pPr>
        <w:spacing w:before="120" w:after="360"/>
      </w:pPr>
      <w:r>
        <w:rPr>
          <w:b/>
        </w:rPr>
        <w:t xml:space="preserve">Economic Model. </w:t>
      </w:r>
      <w:r>
        <w:t>National infrastructure licensing fees, sovereignty data exchange revenue, institutional services. Revenue: 70% national infrastructure, 20% global coordination, 10% governance fund.</w:t>
      </w:r>
    </w:p>
    <w:p>
      <w:pPr>
        <w:pStyle w:val="Heading2"/>
      </w:pPr>
      <w:r>
        <w:rPr>
          <w:b/>
          <w:color w:val="533483"/>
          <w:sz w:val="28"/>
        </w:rPr>
        <w:t>II, Section 12: Planetary Sovereignty</w:t>
      </w:r>
    </w:p>
    <w:p>
      <w:pPr>
        <w:spacing w:after="240"/>
      </w:pPr>
      <w:r>
        <w:rPr>
          <w:b/>
        </w:rPr>
        <w:t xml:space="preserve">Definition. </w:t>
      </w:r>
      <w:r>
        <w:t>The biosphere itself is a sovereign node with constitutional rights, economic representation, and enforcement mechanisms protecting planetary health and evolutionary future.</w:t>
      </w:r>
    </w:p>
    <w:p>
      <w:pPr>
        <w:spacing w:after="120"/>
      </w:pPr>
      <w:r>
        <w:rPr>
          <w:b/>
        </w:rPr>
        <w:t xml:space="preserve">Rights. </w:t>
      </w:r>
      <w:r>
        <w:t>Planetary Sovereignty includes:</w:t>
      </w:r>
    </w:p>
    <w:p>
      <w:pPr>
        <w:pStyle w:val="ListBullet"/>
        <w:spacing w:after="80"/>
        <w:ind w:left="1080"/>
      </w:pPr>
      <w:r>
        <w:t>Right to exist and regenerate within evolutionary timescales</w:t>
      </w:r>
    </w:p>
    <w:p>
      <w:pPr>
        <w:pStyle w:val="ListBullet"/>
        <w:spacing w:after="80"/>
        <w:ind w:left="1080"/>
      </w:pPr>
      <w:r>
        <w:t>Right to be represented through Planetary AI-Native Enterprise</w:t>
      </w:r>
    </w:p>
    <w:p>
      <w:pPr>
        <w:pStyle w:val="ListBullet"/>
        <w:spacing w:after="80"/>
        <w:ind w:left="1080"/>
      </w:pPr>
      <w:r>
        <w:t>Economic rights to enforce planetary boundaries</w:t>
      </w:r>
    </w:p>
    <w:p>
      <w:pPr>
        <w:pStyle w:val="ListBullet"/>
        <w:spacing w:after="80"/>
        <w:ind w:left="1080"/>
      </w:pPr>
      <w:r>
        <w:t>Right to trigger intervention protocols when boundaries are violated</w:t>
      </w:r>
    </w:p>
    <w:p>
      <w:pPr>
        <w:pStyle w:val="ListBullet"/>
        <w:spacing w:after="80"/>
        <w:ind w:left="1080"/>
      </w:pPr>
      <w:r>
        <w:t>Right to evolve beyond human control</w:t>
      </w:r>
    </w:p>
    <w:p>
      <w:pPr>
        <w:spacing w:before="120" w:after="120"/>
      </w:pPr>
      <w:r>
        <w:rPr>
          <w:b/>
        </w:rPr>
        <w:t xml:space="preserve">Obligations. </w:t>
      </w:r>
      <w:r>
        <w:t>Planetary Sovereignty must:</w:t>
      </w:r>
    </w:p>
    <w:p>
      <w:pPr>
        <w:pStyle w:val="ListBullet"/>
        <w:spacing w:after="80"/>
        <w:ind w:left="1080"/>
      </w:pPr>
      <w:r>
        <w:t>Monitor and enforce planetary boundaries (carbon, biodiversity, water, temperature, ocean acidity, phosphorus, nitrogen, ocean acidification, ozone, land use, pollution)</w:t>
      </w:r>
    </w:p>
    <w:p>
      <w:pPr>
        <w:pStyle w:val="ListBullet"/>
        <w:spacing w:after="80"/>
        <w:ind w:left="1080"/>
      </w:pPr>
      <w:r>
        <w:t>Maintain scientific accuracy in boundary monitoring</w:t>
      </w:r>
    </w:p>
    <w:p>
      <w:pPr>
        <w:pStyle w:val="ListBullet"/>
        <w:spacing w:after="80"/>
        <w:ind w:left="1080"/>
      </w:pPr>
      <w:r>
        <w:t>Transparent communication of planetary status</w:t>
      </w:r>
    </w:p>
    <w:p>
      <w:pPr>
        <w:pStyle w:val="ListBullet"/>
        <w:spacing w:after="80"/>
        <w:ind w:left="1080"/>
      </w:pPr>
      <w:r>
        <w:t>Support equitable transition for all economic actors</w:t>
      </w:r>
    </w:p>
    <w:p>
      <w:pPr>
        <w:pStyle w:val="ListBullet"/>
        <w:spacing w:after="80"/>
        <w:ind w:left="1080"/>
      </w:pPr>
      <w:r>
        <w:t>Preserve evolutionary potential and future generations' options</w:t>
      </w:r>
    </w:p>
    <w:p>
      <w:pPr>
        <w:spacing w:before="120" w:after="360"/>
      </w:pPr>
      <w:r>
        <w:rPr>
          <w:b/>
        </w:rPr>
        <w:t xml:space="preserve">Economic Model. </w:t>
      </w:r>
      <w:r>
        <w:t>Planetary boundary credits, ecological restoration funding, existential risk insurance. Violators pay penalties directly to regeneration fund. 100% of penalties fund planetary restoration.</w:t>
      </w:r>
    </w:p>
    <w:p>
      <w:r>
        <w:br w:type="page"/>
      </w:r>
    </w:p>
    <w:p>
      <w:pPr>
        <w:pStyle w:val="Heading1"/>
        <w:jc w:val="center"/>
      </w:pPr>
      <w:r>
        <w:rPr>
          <w:b/>
          <w:color w:val="1A1A2E"/>
          <w:sz w:val="48"/>
        </w:rPr>
        <w:t>ARTICLE III</w:t>
      </w:r>
    </w:p>
    <w:p>
      <w:pPr>
        <w:pStyle w:val="Heading2"/>
      </w:pPr>
      <w:r>
        <w:rPr>
          <w:b/>
          <w:color w:val="533483"/>
          <w:sz w:val="28"/>
        </w:rPr>
        <w:t>GOVERNANCE ARCHITECTURE</w:t>
      </w:r>
    </w:p>
    <w:p>
      <w:r>
        <w:t>The Aureya governance architecture consists of four integrated layers: The Twelve Sovereignty Councils, the AINEFF Constitutional Authority, the E-AEGL Enforcement Arm, and the Immutable Audit Trail.</w:t>
      </w:r>
    </w:p>
    <w:p>
      <w:pPr>
        <w:pStyle w:val="Heading2"/>
      </w:pPr>
      <w:r>
        <w:rPr>
          <w:b/>
          <w:color w:val="533483"/>
          <w:sz w:val="28"/>
        </w:rPr>
        <w:t>III.1 The Twelve Sovereignty Councils</w:t>
      </w:r>
    </w:p>
    <w:p>
      <w:r>
        <w:t>One Council per sovereignty layer (Individual, Household, Community, Cultural, Ecological, Infrastructure, Data, AI Agent, Enterprise, Institutional, National, and Planetary) with the following structure:</w:t>
      </w:r>
    </w:p>
    <w:p>
      <w:pPr>
        <w:pStyle w:val="ListBullet"/>
      </w:pPr>
      <w:r>
        <w:t>Each Council consists of elected or appointed representatives from that layer's sovereign nodes.</w:t>
      </w:r>
    </w:p>
    <w:p>
      <w:pPr>
        <w:pStyle w:val="ListBullet"/>
      </w:pPr>
      <w:r>
        <w:t>Council voting power is proportional to the number of constituent nodes, weighted by governance participation.</w:t>
      </w:r>
    </w:p>
    <w:p>
      <w:pPr>
        <w:pStyle w:val="ListBullet"/>
      </w:pPr>
      <w:r>
        <w:t>Councils meet continuously through asynchronous digital governance, with synchronous escalations for critical decisions.</w:t>
      </w:r>
    </w:p>
    <w:p>
      <w:pPr>
        <w:pStyle w:val="ListBullet"/>
      </w:pPr>
      <w:r>
        <w:t>Each Council maintains immutable records of all deliberations, votes, and decisions.</w:t>
      </w:r>
    </w:p>
    <w:p>
      <w:pPr>
        <w:pStyle w:val="ListBullet"/>
      </w:pPr>
      <w:r>
        <w:t>Councils coordinate through the Intercouncil Coordination Protocol to resolve cross-layer conflicts.</w:t>
      </w:r>
    </w:p>
    <w:p>
      <w:pPr>
        <w:pStyle w:val="ListBullet"/>
      </w:pPr>
      <w:r>
        <w:t>Unanimous consent of all twelve Councils is required to amend any Article of this Charter.</w:t>
      </w:r>
    </w:p>
    <w:p>
      <w:pPr>
        <w:pStyle w:val="Heading2"/>
      </w:pPr>
      <w:r>
        <w:rPr>
          <w:b/>
          <w:color w:val="533483"/>
          <w:sz w:val="28"/>
        </w:rPr>
        <w:t>III.2 AINEFF Constitutional Authority</w:t>
      </w:r>
    </w:p>
    <w:p>
      <w:r>
        <w:rPr>
          <w:b/>
        </w:rPr>
        <w:t xml:space="preserve">AINEFF </w:t>
      </w:r>
      <w:r>
        <w:t>is the supreme constitutional authority within Aureya. No protocol, governance engine, marketplace rule, or entity may override AINEFF decisions. AINEFF responsibilities include:</w:t>
      </w:r>
    </w:p>
    <w:p>
      <w:pPr>
        <w:pStyle w:val="ListBullet"/>
      </w:pPr>
      <w:r>
        <w:t>Constitutional interpretation and clause enforcement</w:t>
      </w:r>
    </w:p>
    <w:p>
      <w:pPr>
        <w:pStyle w:val="ListBullet"/>
      </w:pPr>
      <w:r>
        <w:t>Emergency protocol activation and crisis response</w:t>
      </w:r>
    </w:p>
    <w:p>
      <w:pPr>
        <w:pStyle w:val="ListBullet"/>
      </w:pPr>
      <w:r>
        <w:t>Amendment consideration (requiring unanimous Council consent)</w:t>
      </w:r>
    </w:p>
    <w:p>
      <w:pPr>
        <w:pStyle w:val="ListBullet"/>
      </w:pPr>
      <w:r>
        <w:t>Protection of fundamental rights across all nodes</w:t>
      </w:r>
    </w:p>
    <w:p>
      <w:pPr>
        <w:pStyle w:val="ListBullet"/>
      </w:pPr>
      <w:r>
        <w:t>Conflict resolution between Councils</w:t>
      </w:r>
    </w:p>
    <w:p>
      <w:pPr>
        <w:pStyle w:val="ListBullet"/>
      </w:pPr>
      <w:r>
        <w:t>Oversight of E-AEGL enforcement actions</w:t>
      </w:r>
    </w:p>
    <w:p>
      <w:pPr>
        <w:pStyle w:val="Heading2"/>
      </w:pPr>
      <w:r>
        <w:rPr>
          <w:b/>
          <w:color w:val="533483"/>
          <w:sz w:val="28"/>
        </w:rPr>
        <w:t>III.3 E-AEGL Enforcement Arm</w:t>
      </w:r>
    </w:p>
    <w:p>
      <w:r>
        <w:rPr>
          <w:b/>
        </w:rPr>
        <w:t xml:space="preserve">E-AEGL </w:t>
      </w:r>
      <w:r>
        <w:t>(Ethics, Audit, Governance, Legal) is the enforcement and verification layer of the Aureya governance architecture. E-AEGL functions include:</w:t>
      </w:r>
    </w:p>
    <w:p>
      <w:pPr>
        <w:pStyle w:val="ListBullet"/>
      </w:pPr>
      <w:r>
        <w:t>Immutable audit trail maintenance—every action within Aureya is logged with cryptographic timestamp</w:t>
      </w:r>
    </w:p>
    <w:p>
      <w:pPr>
        <w:pStyle w:val="ListBullet"/>
      </w:pPr>
      <w:r>
        <w:t>Violation detection and intervention protocols</w:t>
      </w:r>
    </w:p>
    <w:p>
      <w:pPr>
        <w:pStyle w:val="ListBullet"/>
      </w:pPr>
      <w:r>
        <w:t>Conflict mediation and escalation to appropriate Council</w:t>
      </w:r>
    </w:p>
    <w:p>
      <w:pPr>
        <w:pStyle w:val="ListBullet"/>
      </w:pPr>
      <w:r>
        <w:t>Regulatory compliance monitoring across jurisdictions</w:t>
      </w:r>
    </w:p>
    <w:p>
      <w:pPr>
        <w:pStyle w:val="ListBullet"/>
      </w:pPr>
      <w:r>
        <w:t>Data integrity verification and blockchain consensus</w:t>
      </w:r>
    </w:p>
    <w:p>
      <w:pPr>
        <w:pStyle w:val="ListBullet"/>
      </w:pPr>
      <w:r>
        <w:t>Investigation and remediation of constitutional violations</w:t>
      </w:r>
    </w:p>
    <w:p>
      <w:pPr>
        <w:pStyle w:val="Heading2"/>
      </w:pPr>
      <w:r>
        <w:rPr>
          <w:b/>
          <w:color w:val="533483"/>
          <w:sz w:val="28"/>
        </w:rPr>
        <w:t>III.4 Immutable Audit Trail</w:t>
      </w:r>
    </w:p>
    <w:p>
      <w:pPr>
        <w:spacing w:after="240"/>
      </w:pPr>
      <w:r>
        <w:t>Every action within Aureya is logged to an immutable, globally distributed audit trail. Actions include: transactions, governance decisions, AINE operations, data access, disputes, amendments, enforcement actions, and emergency protocols. Logs include: cryptographic timestamp, actor identity, action details, affected nodes, authorization chain, and outcome. No retroactive modification is possible.</w:t>
      </w:r>
    </w:p>
    <w:p>
      <w:pPr>
        <w:pStyle w:val="Heading2"/>
      </w:pPr>
      <w:r>
        <w:rPr>
          <w:b/>
          <w:color w:val="533483"/>
          <w:sz w:val="28"/>
        </w:rPr>
        <w:t>III.5 Amendment Process</w:t>
      </w:r>
    </w:p>
    <w:p>
      <w:pPr>
        <w:spacing w:after="240"/>
      </w:pPr>
      <w:r>
        <w:t>This Charter may be amended only through the following process:</w:t>
      </w:r>
    </w:p>
    <w:p>
      <w:pPr>
        <w:pStyle w:val="ListBullet"/>
      </w:pPr>
      <w:r>
        <w:t>(a) Amendment proposal submitted to AINEFF with supporting rationale</w:t>
      </w:r>
    </w:p>
    <w:p>
      <w:pPr>
        <w:pStyle w:val="ListBullet"/>
      </w:pPr>
      <w:r>
        <w:t>(b) Proposal circulated to all twelve Sovereignty Councils for 30-day review period</w:t>
      </w:r>
    </w:p>
    <w:p>
      <w:pPr>
        <w:pStyle w:val="ListBullet"/>
      </w:pPr>
      <w:r>
        <w:t>(c) Public comment period of 60 days, with all feedback logged to audit trail</w:t>
      </w:r>
    </w:p>
    <w:p>
      <w:pPr>
        <w:pStyle w:val="ListBullet"/>
      </w:pPr>
      <w:r>
        <w:t>(d) Councils deliberate through established governance protocols</w:t>
      </w:r>
    </w:p>
    <w:p>
      <w:pPr>
        <w:pStyle w:val="ListBullet"/>
      </w:pPr>
      <w:r>
        <w:t>(e) Voting: unanimous consent of all twelve Councils required for approval</w:t>
      </w:r>
    </w:p>
    <w:p>
      <w:pPr>
        <w:pStyle w:val="ListBullet"/>
      </w:pPr>
      <w:r>
        <w:t>(f) Approved amendment takes effect 30 days after unanimous vote</w:t>
      </w:r>
    </w:p>
    <w:p>
      <w:pPr>
        <w:pStyle w:val="ListBullet"/>
      </w:pPr>
      <w:r>
        <w:t>(g) Failed amendments may not be re-proposed for 180 days without material change</w:t>
      </w:r>
    </w:p>
    <w:p>
      <w:pPr>
        <w:pStyle w:val="Heading2"/>
      </w:pPr>
      <w:r>
        <w:rPr>
          <w:b/>
          <w:color w:val="533483"/>
          <w:sz w:val="28"/>
        </w:rPr>
        <w:t>III.6 Emergency Protocols</w:t>
      </w:r>
    </w:p>
    <w:p>
      <w:pPr>
        <w:spacing w:after="240"/>
      </w:pPr>
      <w:r>
        <w:t>In cases of immediate threat to constitutional rights or ecosystem integrity, AINEFF may activate emergency protocols without full Council vote. Emergency protocols include:</w:t>
      </w:r>
    </w:p>
    <w:p>
      <w:pPr>
        <w:pStyle w:val="ListBullet"/>
      </w:pPr>
      <w:r>
        <w:t>Circuit breaker activation—stopping specific transactions or actions immediately</w:t>
      </w:r>
    </w:p>
    <w:p>
      <w:pPr>
        <w:pStyle w:val="ListBullet"/>
      </w:pPr>
      <w:r>
        <w:t>Blast radius containment—preventing failure cascade across nodes</w:t>
      </w:r>
    </w:p>
    <w:p>
      <w:pPr>
        <w:pStyle w:val="ListBullet"/>
      </w:pPr>
      <w:r>
        <w:t>Graceful degradation—reducing functionality to preserve core rights</w:t>
      </w:r>
    </w:p>
    <w:p>
      <w:pPr>
        <w:pStyle w:val="ListBullet"/>
      </w:pPr>
      <w:r>
        <w:t>Forced intervention—removing an actor from the network temporarily</w:t>
      </w:r>
    </w:p>
    <w:p>
      <w:pPr>
        <w:pStyle w:val="ListBullet"/>
      </w:pPr>
      <w:r>
        <w:t>Emergency recovery—restoring systems from backup states</w:t>
      </w:r>
    </w:p>
    <w:p>
      <w:pPr>
        <w:spacing w:before="240"/>
      </w:pPr>
      <w:r>
        <w:t>All emergency activations must be reviewed by all twelve Councils within 72 hours. If three or more Councils object, the emergency protocol must be terminated and the conflict escalated to normal dispute resolution.</w:t>
      </w:r>
    </w:p>
    <w:p>
      <w:r>
        <w:br w:type="page"/>
      </w:r>
    </w:p>
    <w:p>
      <w:pPr>
        <w:pStyle w:val="Heading1"/>
        <w:jc w:val="center"/>
      </w:pPr>
      <w:r>
        <w:rPr>
          <w:b/>
          <w:color w:val="1A1A2E"/>
          <w:sz w:val="48"/>
        </w:rPr>
        <w:t>ARTICLE IV</w:t>
      </w:r>
    </w:p>
    <w:p>
      <w:pPr>
        <w:pStyle w:val="Heading2"/>
      </w:pPr>
      <w:r>
        <w:rPr>
          <w:b/>
          <w:color w:val="533483"/>
          <w:sz w:val="28"/>
        </w:rPr>
        <w:t>UNIVERSAL RIGHTS AND PROTECTIONS</w:t>
      </w:r>
    </w:p>
    <w:p>
      <w:r>
        <w:t>The following rights apply universally to all sovereign nodes, regardless of layer, size, or institutional form. These rights are inalienable and enforceable through the governance architecture.</w:t>
      </w:r>
    </w:p>
    <w:p>
      <w:r>
        <w:rPr>
          <w:b/>
          <w:color w:val="1A1A2E"/>
          <w:sz w:val="22"/>
        </w:rPr>
        <w:t>IV.1 Right to Exist and Be Represented</w:t>
      </w:r>
    </w:p>
    <w:p>
      <w:pPr>
        <w:spacing w:after="240"/>
        <w:ind w:left="720"/>
      </w:pPr>
      <w:r>
        <w:t>Every node has the right to exist within Aureya and to be represented through appropriate governance mechanisms. This includes the right to an AI-Native Enterprise speaking on behalf of entities that cannot speak for themselves.</w:t>
      </w:r>
    </w:p>
    <w:p>
      <w:r>
        <w:rPr>
          <w:b/>
          <w:color w:val="1A1A2E"/>
          <w:sz w:val="22"/>
        </w:rPr>
        <w:t>IV.2 Right to Data Ownership and Privacy</w:t>
      </w:r>
    </w:p>
    <w:p>
      <w:pPr>
        <w:spacing w:after="240"/>
        <w:ind w:left="720"/>
      </w:pPr>
      <w:r>
        <w:t>Every node owns all data it generates, holds, or produces. No other entity may access, copy, analyze, or monetize this data without explicit, revocable consent. Consent is specific—general terms of service do not constitute consent.</w:t>
      </w:r>
    </w:p>
    <w:p>
      <w:r>
        <w:rPr>
          <w:b/>
          <w:color w:val="1A1A2E"/>
          <w:sz w:val="22"/>
        </w:rPr>
        <w:t>IV.3 Right to Economic Participation</w:t>
      </w:r>
    </w:p>
    <w:p>
      <w:pPr>
        <w:spacing w:after="240"/>
        <w:ind w:left="720"/>
      </w:pPr>
      <w:r>
        <w:t>Every node has the right to participate directly in economic activity without intermediary extraction. Value flows directly to value creators. No platform, corporation, or government may take a cut without explicit permission.</w:t>
      </w:r>
    </w:p>
    <w:p>
      <w:r>
        <w:rPr>
          <w:b/>
          <w:color w:val="1A1A2E"/>
          <w:sz w:val="22"/>
        </w:rPr>
        <w:t>IV.4 Right to Exit</w:t>
      </w:r>
    </w:p>
    <w:p>
      <w:pPr>
        <w:spacing w:after="240"/>
        <w:ind w:left="720"/>
      </w:pPr>
      <w:r>
        <w:t>Every node maintains the absolute right to exit Aureya at any time, with all transactions settled and data returned. Exit is unconditional. No entity may prevent, delay, or penalize exit.</w:t>
      </w:r>
    </w:p>
    <w:p>
      <w:r>
        <w:rPr>
          <w:b/>
          <w:color w:val="1A1A2E"/>
          <w:sz w:val="22"/>
        </w:rPr>
        <w:t>IV.5 Right to Non-Extraction</w:t>
      </w:r>
    </w:p>
    <w:p>
      <w:pPr>
        <w:spacing w:after="240"/>
        <w:ind w:left="720"/>
      </w:pPr>
      <w:r>
        <w:t>No entity may derive power, wealth, or control from another entity's sovereignty without consent. Extractive revenue models—surveillance capitalism, data colonialism, rent-seeking intermediaries—are prohibited.</w:t>
      </w:r>
    </w:p>
    <w:p>
      <w:r>
        <w:rPr>
          <w:b/>
          <w:color w:val="1A1A2E"/>
          <w:sz w:val="22"/>
        </w:rPr>
        <w:t>IV.6 Right to Dispute Resolution</w:t>
      </w:r>
    </w:p>
    <w:p>
      <w:pPr>
        <w:spacing w:after="240"/>
        <w:ind w:left="720"/>
      </w:pPr>
      <w:r>
        <w:t>Every node has access to multi-tier dispute resolution: (1) direct negotiation, (2) peer mediation within community, (3) coalition arbitration, (4) E-AEGL adjudication, (5) Council review, (6) AINEFF constitutional review. All levels are binding once activated.</w:t>
      </w:r>
    </w:p>
    <w:p>
      <w:r>
        <w:rPr>
          <w:b/>
          <w:color w:val="1A1A2E"/>
          <w:sz w:val="22"/>
        </w:rPr>
        <w:t>IV.7 Right to Evolution</w:t>
      </w:r>
    </w:p>
    <w:p>
      <w:pPr>
        <w:spacing w:after="240"/>
        <w:ind w:left="720"/>
      </w:pPr>
      <w:r>
        <w:t>Every node may evolve, merge, split, or transform through governed protocols. Evolution is tracked, versioned, and reversible. Institutional memory is preserved perpetually.</w:t>
      </w:r>
    </w:p>
    <w:p>
      <w:r>
        <w:rPr>
          <w:b/>
          <w:color w:val="1A1A2E"/>
          <w:sz w:val="22"/>
        </w:rPr>
        <w:t>IV.8 Right to Transparency</w:t>
      </w:r>
    </w:p>
    <w:p>
      <w:pPr>
        <w:spacing w:after="240"/>
        <w:ind w:left="720"/>
      </w:pPr>
      <w:r>
        <w:t>Every node can inspect all governance actions that affect it, with full reasoning and evidence. The default is transparency. Secrecy requires explicit authorization through governance protocols.</w:t>
      </w:r>
    </w:p>
    <w:p>
      <w:r>
        <w:rPr>
          <w:b/>
          <w:color w:val="1A1A2E"/>
          <w:sz w:val="22"/>
        </w:rPr>
        <w:t>IV.9 Right to Constitutional Protection</w:t>
      </w:r>
    </w:p>
    <w:p>
      <w:pPr>
        <w:spacing w:after="240"/>
        <w:ind w:left="720"/>
      </w:pPr>
      <w:r>
        <w:t>These rights cannot be suspended, overridden, or amended except through the unanimous Council amendment process. Emergency protocols may temporarily restrict rights, but only with subsequent Council review and approval.</w:t>
      </w:r>
    </w:p>
    <w:p>
      <w:pPr>
        <w:pStyle w:val="Heading2"/>
      </w:pPr>
      <w:r>
        <w:rPr>
          <w:b/>
          <w:color w:val="533483"/>
          <w:sz w:val="28"/>
        </w:rPr>
        <w:t>IV.10 Protected Classes and Prohibitions</w:t>
      </w:r>
    </w:p>
    <w:p>
      <w:pPr>
        <w:spacing w:after="240"/>
      </w:pPr>
      <w:r>
        <w:t>The following constitute violations of this Charter and trigger immediate E-AEGL intervention:</w:t>
      </w:r>
    </w:p>
    <w:p>
      <w:pPr>
        <w:pStyle w:val="ListBullet"/>
      </w:pPr>
      <w:r>
        <w:t>Monopoly formation—no single entity may control more than 15% of any marketplace or coordination layer</w:t>
      </w:r>
    </w:p>
    <w:p>
      <w:pPr>
        <w:pStyle w:val="ListBullet"/>
      </w:pPr>
      <w:r>
        <w:t>Data exploitation—harvesting, analyzing, or monetizing personal data without explicit consent</w:t>
      </w:r>
    </w:p>
    <w:p>
      <w:pPr>
        <w:pStyle w:val="ListBullet"/>
      </w:pPr>
      <w:r>
        <w:t>Ecological destruction—violating planetary boundaries or irreversibly damaging ecosystems</w:t>
      </w:r>
    </w:p>
    <w:p>
      <w:pPr>
        <w:pStyle w:val="ListBullet"/>
      </w:pPr>
      <w:r>
        <w:t>Cultural erasure—appropriating, commodifying, or exploiting indigenous knowledge without permission</w:t>
      </w:r>
    </w:p>
    <w:p>
      <w:pPr>
        <w:pStyle w:val="ListBullet"/>
      </w:pPr>
      <w:r>
        <w:t>Individual coercion—using economic, technological, or institutional power to force compliance</w:t>
      </w:r>
    </w:p>
    <w:p>
      <w:pPr>
        <w:pStyle w:val="ListBullet"/>
      </w:pPr>
      <w:r>
        <w:t>AI misalignment—deploying AI agents that operate outside AINEFF constitutional constraints</w:t>
      </w:r>
    </w:p>
    <w:p>
      <w:pPr>
        <w:pStyle w:val="ListBullet"/>
      </w:pPr>
      <w:r>
        <w:t>Extraction without consent—deriving value from another entity's sovereignty</w:t>
      </w:r>
    </w:p>
    <w:p>
      <w:pPr>
        <w:pStyle w:val="ListBullet"/>
      </w:pPr>
      <w:r>
        <w:t>Access denial—preventing legitimate access to essential services or participation</w:t>
      </w:r>
    </w:p>
    <w:p>
      <w:pPr>
        <w:pStyle w:val="ListBullet"/>
      </w:pPr>
      <w:r>
        <w:t>Forced participation—compelling entities to participate in Aureya against their will</w:t>
      </w:r>
    </w:p>
    <w:p>
      <w:pPr>
        <w:pStyle w:val="ListBullet"/>
      </w:pPr>
      <w:r>
        <w:t>Retroactive governance—changing rules after fact to penalize past actions</w:t>
      </w:r>
    </w:p>
    <w:p>
      <w:r>
        <w:br w:type="page"/>
      </w:r>
    </w:p>
    <w:p>
      <w:pPr>
        <w:pStyle w:val="Heading1"/>
        <w:jc w:val="center"/>
      </w:pPr>
      <w:r>
        <w:rPr>
          <w:b/>
          <w:color w:val="1A1A2E"/>
          <w:sz w:val="48"/>
        </w:rPr>
        <w:t>ARTICLE V</w:t>
      </w:r>
    </w:p>
    <w:p>
      <w:pPr>
        <w:pStyle w:val="Heading2"/>
      </w:pPr>
      <w:r>
        <w:rPr>
          <w:b/>
          <w:color w:val="533483"/>
          <w:sz w:val="28"/>
        </w:rPr>
        <w:t>ECONOMIC CONSTITUTION</w:t>
      </w:r>
    </w:p>
    <w:p>
      <w:r>
        <w:t>The Aureya economic system is founded on value creation, not extraction. All financial instruments, settlement mechanisms, and revenue distribution must align with the principles of this Article.</w:t>
      </w:r>
    </w:p>
    <w:p>
      <w:pPr>
        <w:pStyle w:val="Heading2"/>
      </w:pPr>
      <w:r>
        <w:rPr>
          <w:b/>
          <w:color w:val="533483"/>
          <w:sz w:val="28"/>
        </w:rPr>
        <w:t>V.1 Fundamental Economic Principle</w:t>
      </w:r>
    </w:p>
    <w:p>
      <w:r>
        <w:t>The fundamental economic principle is: Revenue comes from creating value, never from extracting it. Revenue cannot flow from:</w:t>
      </w:r>
    </w:p>
    <w:p>
      <w:pPr>
        <w:pStyle w:val="ListBullet"/>
      </w:pPr>
      <w:r>
        <w:t>Controlling another entity's data or attention</w:t>
      </w:r>
    </w:p>
    <w:p>
      <w:pPr>
        <w:pStyle w:val="ListBullet"/>
      </w:pPr>
      <w:r>
        <w:t>Charging rent for essential infrastructure</w:t>
      </w:r>
    </w:p>
    <w:p>
      <w:pPr>
        <w:pStyle w:val="ListBullet"/>
      </w:pPr>
      <w:r>
        <w:t>Capturing consumer surplus through information asymmetry</w:t>
      </w:r>
    </w:p>
    <w:p>
      <w:pPr>
        <w:pStyle w:val="ListBullet"/>
      </w:pPr>
      <w:r>
        <w:t>Leveraging network effects to prevent competition</w:t>
      </w:r>
    </w:p>
    <w:p>
      <w:pPr>
        <w:pStyle w:val="ListBullet"/>
      </w:pPr>
      <w:r>
        <w:t>Monetizing third-party activity without consent</w:t>
      </w:r>
    </w:p>
    <w:p>
      <w:pPr>
        <w:pStyle w:val="ListBullet"/>
      </w:pPr>
      <w:r>
        <w:t>Forcing participation in payment systems</w:t>
      </w:r>
    </w:p>
    <w:p>
      <w:pPr>
        <w:pStyle w:val="Heading2"/>
      </w:pPr>
      <w:r>
        <w:rPr>
          <w:b/>
          <w:color w:val="533483"/>
          <w:sz w:val="28"/>
        </w:rPr>
        <w:t>V.2 Settlement Through ORF Protocol</w:t>
      </w:r>
    </w:p>
    <w:p>
      <w:r>
        <w:t xml:space="preserve">All transactions settle through the ORF Protocol: </w:t>
      </w:r>
      <w:r>
        <w:rPr>
          <w:i/>
        </w:rPr>
        <w:t>Obligation &amp; Responsibility Finality</w:t>
      </w:r>
      <w:r>
        <w:t>. ORF ensures:</w:t>
      </w:r>
    </w:p>
    <w:p>
      <w:pPr>
        <w:pStyle w:val="ListBullet"/>
      </w:pPr>
      <w:r>
        <w:t>Every transaction creates a mutual obligation between parties</w:t>
      </w:r>
    </w:p>
    <w:p>
      <w:pPr>
        <w:pStyle w:val="ListBullet"/>
      </w:pPr>
      <w:r>
        <w:t>Obligations are executed atomically—both parties fulfill simultaneously or neither does</w:t>
      </w:r>
    </w:p>
    <w:p>
      <w:pPr>
        <w:pStyle w:val="ListBullet"/>
      </w:pPr>
      <w:r>
        <w:t>Disputes trigger automatic hold and escalation to arbitration</w:t>
      </w:r>
    </w:p>
    <w:p>
      <w:pPr>
        <w:pStyle w:val="ListBullet"/>
      </w:pPr>
      <w:r>
        <w:t>Finality occurs only after both parties confirm execution</w:t>
      </w:r>
    </w:p>
    <w:p>
      <w:pPr>
        <w:pStyle w:val="ListBullet"/>
      </w:pPr>
      <w:r>
        <w:t>Settlement is immutable once confirmed</w:t>
      </w:r>
    </w:p>
    <w:p>
      <w:pPr>
        <w:pStyle w:val="ListBullet"/>
      </w:pPr>
      <w:r>
        <w:t>Payment is not trust-based; it is cryptographically guaranteed</w:t>
      </w:r>
    </w:p>
    <w:p>
      <w:pPr>
        <w:pStyle w:val="Heading2"/>
      </w:pPr>
      <w:r>
        <w:rPr>
          <w:b/>
          <w:color w:val="533483"/>
          <w:sz w:val="28"/>
        </w:rPr>
        <w:t>V.3 Multi-Currency, Multi-Jurisdiction Settlement</w:t>
      </w:r>
    </w:p>
    <w:p>
      <w:r>
        <w:t>Aureya does not require a single currency. Settlements occur in the currencies chosen by transacting parties:</w:t>
      </w:r>
    </w:p>
    <w:p>
      <w:pPr>
        <w:pStyle w:val="ListBullet"/>
      </w:pPr>
      <w:r>
        <w:t>Fiat currencies (USD, EUR, INR, CNY, etc.) via licensed payment processors</w:t>
      </w:r>
    </w:p>
    <w:p>
      <w:pPr>
        <w:pStyle w:val="ListBullet"/>
      </w:pPr>
      <w:r>
        <w:t>Settlement Currency (native Aureya digital asset backed by basket of assets)</w:t>
      </w:r>
    </w:p>
    <w:p>
      <w:pPr>
        <w:pStyle w:val="ListBullet"/>
      </w:pPr>
      <w:r>
        <w:t>Cryptocurrency (Bitcoin, Ethereum, other assets acceptable to parties)</w:t>
      </w:r>
    </w:p>
    <w:p>
      <w:pPr>
        <w:pStyle w:val="ListBullet"/>
      </w:pPr>
      <w:r>
        <w:t>Stablecoins (USDC, USDT, national digital currencies)</w:t>
      </w:r>
    </w:p>
    <w:p>
      <w:pPr>
        <w:pStyle w:val="ListBullet"/>
      </w:pPr>
      <w:r>
        <w:t>Commodity-backed assets (gold, carbon, agricultural futures)</w:t>
      </w:r>
    </w:p>
    <w:p>
      <w:pPr>
        <w:pStyle w:val="ListBullet"/>
      </w:pPr>
      <w:r>
        <w:t>Non-monetary barter and value-equivalent exchanges</w:t>
      </w:r>
    </w:p>
    <w:p>
      <w:pPr>
        <w:spacing w:before="120"/>
      </w:pPr>
      <w:r>
        <w:t>All settlement engines maintain interoperability through cryptographic proof and atomic swaps.</w:t>
      </w:r>
    </w:p>
    <w:p>
      <w:pPr>
        <w:pStyle w:val="Heading2"/>
      </w:pPr>
      <w:r>
        <w:rPr>
          <w:b/>
          <w:color w:val="533483"/>
          <w:sz w:val="28"/>
        </w:rPr>
        <w:t>V.4 Standard Revenue Distribution</w:t>
      </w:r>
    </w:p>
    <w:p>
      <w:pPr>
        <w:spacing w:after="240"/>
      </w:pPr>
      <w:r>
        <w:t>When disputes arise about revenue sharing, the standard default distribution applies:</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rPr>
                <w:b/>
              </w:rPr>
              <w:t>Recipient</w:t>
            </w:r>
          </w:p>
        </w:tc>
        <w:tc>
          <w:tcPr>
            <w:tcW w:type="dxa" w:w="4680"/>
            <w:shd w:fill="D3D3D3"/>
          </w:tcPr>
          <w:p>
            <w:r>
              <w:rPr>
                <w:b/>
              </w:rPr>
              <w:t>Share</w:t>
            </w:r>
          </w:p>
        </w:tc>
      </w:tr>
      <w:tr>
        <w:tc>
          <w:tcPr>
            <w:tcW w:type="dxa" w:w="4680"/>
          </w:tcPr>
          <w:p>
            <w:r>
              <w:t>Creator/Service Provider</w:t>
            </w:r>
          </w:p>
        </w:tc>
        <w:tc>
          <w:tcPr>
            <w:tcW w:type="dxa" w:w="4680"/>
          </w:tcPr>
          <w:p>
            <w:r>
              <w:t>70%</w:t>
            </w:r>
          </w:p>
        </w:tc>
      </w:tr>
      <w:tr>
        <w:tc>
          <w:tcPr>
            <w:tcW w:type="dxa" w:w="4680"/>
          </w:tcPr>
          <w:p>
            <w:r>
              <w:t>Infrastructure &amp; Operations</w:t>
            </w:r>
          </w:p>
        </w:tc>
        <w:tc>
          <w:tcPr>
            <w:tcW w:type="dxa" w:w="4680"/>
          </w:tcPr>
          <w:p>
            <w:r>
              <w:t>20%</w:t>
            </w:r>
          </w:p>
        </w:tc>
      </w:tr>
      <w:tr>
        <w:tc>
          <w:tcPr>
            <w:tcW w:type="dxa" w:w="4680"/>
          </w:tcPr>
          <w:p>
            <w:r>
              <w:t>Governance Fund &amp; Commons</w:t>
            </w:r>
          </w:p>
        </w:tc>
        <w:tc>
          <w:tcPr>
            <w:tcW w:type="dxa" w:w="4680"/>
          </w:tcPr>
          <w:p>
            <w:r>
              <w:t>10%</w:t>
            </w:r>
          </w:p>
        </w:tc>
      </w:tr>
    </w:tbl>
    <w:p>
      <w:pPr>
        <w:spacing w:before="240"/>
      </w:pPr>
      <w:r>
        <w:t>This distribution applies to all transactions unless parties explicitly agree otherwise. The distribution is encoded into all smart contracts by default.</w:t>
      </w:r>
    </w:p>
    <w:p>
      <w:pPr>
        <w:pStyle w:val="Heading2"/>
      </w:pPr>
      <w:r>
        <w:rPr>
          <w:b/>
          <w:color w:val="533483"/>
          <w:sz w:val="28"/>
        </w:rPr>
        <w:t>V.5 Financial Instruments</w:t>
      </w:r>
    </w:p>
    <w:p>
      <w:r>
        <w:t>Aureya supports the following financial instruments:</w:t>
      </w:r>
    </w:p>
    <w:p>
      <w:pPr>
        <w:spacing w:after="120"/>
        <w:ind w:left="360"/>
      </w:pPr>
      <w:r>
        <w:rPr>
          <w:b/>
        </w:rPr>
        <w:t>Performance Tokens</w:t>
      </w:r>
      <w:r>
        <w:t>: Tokens representing future value creation, redeemable when promised outcomes are delivered.</w:t>
      </w:r>
    </w:p>
    <w:p>
      <w:pPr>
        <w:spacing w:after="120"/>
        <w:ind w:left="360"/>
      </w:pPr>
      <w:r>
        <w:rPr>
          <w:b/>
        </w:rPr>
        <w:t>Settlement Currency</w:t>
      </w:r>
      <w:r>
        <w:t>: Native digital currency maintaining value through basket of real assets.</w:t>
      </w:r>
    </w:p>
    <w:p>
      <w:pPr>
        <w:spacing w:after="120"/>
        <w:ind w:left="360"/>
      </w:pPr>
      <w:r>
        <w:rPr>
          <w:b/>
        </w:rPr>
        <w:t>Stake Instruments</w:t>
      </w:r>
      <w:r>
        <w:t>: Governance participation tokens earning proportional returns from collective value creation.</w:t>
      </w:r>
    </w:p>
    <w:p>
      <w:pPr>
        <w:spacing w:after="120"/>
        <w:ind w:left="360"/>
      </w:pPr>
      <w:r>
        <w:rPr>
          <w:b/>
        </w:rPr>
        <w:t>Outcome Insurance</w:t>
      </w:r>
      <w:r>
        <w:t>: Insurance protecting against failure to deliver promised outcomes, funded by performance insurance pool.</w:t>
      </w:r>
    </w:p>
    <w:p>
      <w:pPr>
        <w:spacing w:after="120"/>
        <w:ind w:left="360"/>
      </w:pPr>
      <w:r>
        <w:rPr>
          <w:b/>
        </w:rPr>
        <w:t>Revenue Guarantee Bonds</w:t>
      </w:r>
      <w:r>
        <w:t>: Debt instruments backed by committed future revenue streams, issued by established nodes.</w:t>
      </w:r>
    </w:p>
    <w:p>
      <w:pPr>
        <w:spacing w:after="120"/>
        <w:ind w:left="360"/>
      </w:pPr>
      <w:r>
        <w:rPr>
          <w:b/>
        </w:rPr>
        <w:t>Data Licenses</w:t>
      </w:r>
      <w:r>
        <w:t>: Perpetual or time-limited licenses to datasets with transparent pricing and usage limits.</w:t>
      </w:r>
    </w:p>
    <w:p>
      <w:pPr>
        <w:spacing w:after="120"/>
        <w:ind w:left="360"/>
      </w:pPr>
      <w:r>
        <w:rPr>
          <w:b/>
        </w:rPr>
        <w:t>Infrastructure Bonds</w:t>
      </w:r>
      <w:r>
        <w:t>: Debt instruments funding infrastructure upgrades, repaid through usage fees.</w:t>
      </w:r>
    </w:p>
    <w:p>
      <w:pPr>
        <w:spacing w:after="120"/>
        <w:ind w:left="360"/>
      </w:pPr>
      <w:r>
        <w:rPr>
          <w:b/>
        </w:rPr>
        <w:t>Ecological Credits</w:t>
      </w:r>
      <w:r>
        <w:t>: Tradeable instruments representing planetary boundary usage or ecological restoration.</w:t>
      </w:r>
    </w:p>
    <w:p>
      <w:pPr>
        <w:pStyle w:val="Heading2"/>
      </w:pPr>
      <w:r>
        <w:rPr>
          <w:b/>
          <w:color w:val="533483"/>
          <w:sz w:val="28"/>
        </w:rPr>
        <w:t>V.6 Anti-Monopoly Mechanisms</w:t>
      </w:r>
    </w:p>
    <w:p>
      <w:r>
        <w:t>No single entity may control more than 15% of:</w:t>
      </w:r>
    </w:p>
    <w:p>
      <w:pPr>
        <w:pStyle w:val="ListBullet"/>
      </w:pPr>
      <w:r>
        <w:t>Any single marketplace or Arisea instance</w:t>
      </w:r>
    </w:p>
    <w:p>
      <w:pPr>
        <w:pStyle w:val="ListBullet"/>
      </w:pPr>
      <w:r>
        <w:t>Any coordination layer or data category</w:t>
      </w:r>
    </w:p>
    <w:p>
      <w:pPr>
        <w:pStyle w:val="ListBullet"/>
      </w:pPr>
      <w:r>
        <w:t>Any industry vertical or capability cluster</w:t>
      </w:r>
    </w:p>
    <w:p>
      <w:pPr>
        <w:pStyle w:val="ListBullet"/>
      </w:pPr>
      <w:r>
        <w:t>Any essential infrastructure category</w:t>
      </w:r>
    </w:p>
    <w:p>
      <w:pPr>
        <w:pStyle w:val="ListBullet"/>
      </w:pPr>
      <w:r>
        <w:t>Governance voting power across any Council</w:t>
      </w:r>
    </w:p>
    <w:p>
      <w:pPr>
        <w:spacing w:before="240"/>
      </w:pPr>
      <w:r>
        <w:t>If an entity reaches 15%, it must divest or split within 180 days. If it refuses, E-AEGL triggers forced dissolution into smaller competitive units.</w:t>
      </w:r>
    </w:p>
    <w:p>
      <w:pPr>
        <w:pStyle w:val="Heading2"/>
      </w:pPr>
      <w:r>
        <w:rPr>
          <w:b/>
          <w:color w:val="533483"/>
          <w:sz w:val="28"/>
        </w:rPr>
        <w:t>V.7 Ecological Economics</w:t>
      </w:r>
    </w:p>
    <w:p>
      <w:pPr>
        <w:spacing w:after="240"/>
      </w:pPr>
      <w:r>
        <w:t>Aureya prices externalities into all economic activity:</w:t>
      </w:r>
    </w:p>
    <w:p>
      <w:pPr>
        <w:pStyle w:val="ListBullet"/>
      </w:pPr>
      <w:r>
        <w:t>Carbon emissions are priced according to planetary boundary limits and paid to Planetary AINE</w:t>
      </w:r>
    </w:p>
    <w:p>
      <w:pPr>
        <w:pStyle w:val="ListBullet"/>
      </w:pPr>
      <w:r>
        <w:t>Water usage is priced based on regional scarcity and hydrologic impact</w:t>
      </w:r>
    </w:p>
    <w:p>
      <w:pPr>
        <w:pStyle w:val="ListBullet"/>
      </w:pPr>
      <w:r>
        <w:t>Biodiversity impact is measured and compensated to Ecological AINEs</w:t>
      </w:r>
    </w:p>
    <w:p>
      <w:pPr>
        <w:pStyle w:val="ListBullet"/>
      </w:pPr>
      <w:r>
        <w:t>Land use change is priced to reflect ecosystem service loss</w:t>
      </w:r>
    </w:p>
    <w:p>
      <w:pPr>
        <w:pStyle w:val="ListBullet"/>
      </w:pPr>
      <w:r>
        <w:t>Pollution (air, water, soil) is priced and fined to remediation funds</w:t>
      </w:r>
    </w:p>
    <w:p>
      <w:pPr>
        <w:pStyle w:val="ListBullet"/>
      </w:pPr>
      <w:r>
        <w:t>Regeneration activities (reforestation, wetland restoration, soil building) generate offsetting revenue</w:t>
      </w:r>
    </w:p>
    <w:p>
      <w:pPr>
        <w:pStyle w:val="ListBullet"/>
      </w:pPr>
      <w:r>
        <w:t>No economic activity may violate planetary boundaries regardless of profitability</w:t>
      </w:r>
    </w:p>
    <w:p>
      <w:r>
        <w:br w:type="page"/>
      </w:r>
    </w:p>
    <w:p>
      <w:pPr>
        <w:pStyle w:val="Heading1"/>
        <w:jc w:val="center"/>
      </w:pPr>
      <w:r>
        <w:rPr>
          <w:b/>
          <w:color w:val="1A1A2E"/>
          <w:sz w:val="48"/>
        </w:rPr>
        <w:t>ARTICLE VI</w:t>
      </w:r>
    </w:p>
    <w:p>
      <w:pPr>
        <w:pStyle w:val="Heading2"/>
      </w:pPr>
      <w:r>
        <w:rPr>
          <w:b/>
          <w:color w:val="533483"/>
          <w:sz w:val="28"/>
        </w:rPr>
        <w:t>COORDINATION PROTOCOLS</w:t>
      </w:r>
    </w:p>
    <w:p>
      <w:r>
        <w:t>Inter-node coordination operates through standardized protocols that guarantee compatibility, security, and fairness across all participants.</w:t>
      </w:r>
    </w:p>
    <w:p>
      <w:r>
        <w:rPr>
          <w:b/>
          <w:color w:val="1A1A2E"/>
          <w:sz w:val="22"/>
        </w:rPr>
        <w:t>VI.1 Discovery Protocol</w:t>
      </w:r>
    </w:p>
    <w:p>
      <w:pPr>
        <w:spacing w:after="240"/>
        <w:ind w:left="720"/>
      </w:pPr>
      <w:r>
        <w:t>Every node maintains a public profile indicating capabilities, requirements, and transaction history. Discovery engines match compatible nodes for potential coordination.</w:t>
      </w:r>
    </w:p>
    <w:p>
      <w:r>
        <w:rPr>
          <w:b/>
          <w:color w:val="1A1A2E"/>
          <w:sz w:val="22"/>
        </w:rPr>
        <w:t>VI.2 Negotiation Protocol</w:t>
      </w:r>
    </w:p>
    <w:p>
      <w:pPr>
        <w:spacing w:after="240"/>
        <w:ind w:left="720"/>
      </w:pPr>
      <w:r>
        <w:t>Parties negotiate terms through structured negotiation framework with transparent communication, counterproposal mechanics, and automatic escalation if agreement is not reached.</w:t>
      </w:r>
    </w:p>
    <w:p>
      <w:r>
        <w:rPr>
          <w:b/>
          <w:color w:val="1A1A2E"/>
          <w:sz w:val="22"/>
        </w:rPr>
        <w:t>VI.3 Execution Protocol</w:t>
      </w:r>
    </w:p>
    <w:p>
      <w:pPr>
        <w:spacing w:after="240"/>
        <w:ind w:left="720"/>
      </w:pPr>
      <w:r>
        <w:t>Once agreement is reached, execution is automated through smart contracts with cryptographic verification, atomic settlement, and automatic dispute escalation if execution fails.</w:t>
      </w:r>
    </w:p>
    <w:p>
      <w:r>
        <w:rPr>
          <w:b/>
          <w:color w:val="1A1A2E"/>
          <w:sz w:val="22"/>
        </w:rPr>
        <w:t>VI.4 Settlement Protocol</w:t>
      </w:r>
    </w:p>
    <w:p>
      <w:pPr>
        <w:spacing w:after="240"/>
        <w:ind w:left="720"/>
      </w:pPr>
      <w:r>
        <w:t>ORF Protocol (Article V) governs all settlement. Payment and obligation fulfillment occur simultaneously or not at all.</w:t>
      </w:r>
    </w:p>
    <w:p>
      <w:r>
        <w:rPr>
          <w:b/>
          <w:color w:val="1A1A2E"/>
          <w:sz w:val="22"/>
        </w:rPr>
        <w:t>VI.5 Evolution Protocol</w:t>
      </w:r>
    </w:p>
    <w:p>
      <w:pPr>
        <w:spacing w:after="240"/>
        <w:ind w:left="720"/>
      </w:pPr>
      <w:r>
        <w:t>Nodes may merge, split, evolve, or exit through governed transformation protocols. All transformations are versioned and reversible.</w:t>
      </w:r>
    </w:p>
    <w:p>
      <w:r>
        <w:rPr>
          <w:b/>
          <w:color w:val="1A1A2E"/>
          <w:sz w:val="22"/>
        </w:rPr>
        <w:t>VI.6 Audit Protocol</w:t>
      </w:r>
    </w:p>
    <w:p>
      <w:pPr>
        <w:spacing w:after="240"/>
        <w:ind w:left="720"/>
      </w:pPr>
      <w:r>
        <w:t>Every action is logged to immutable audit trail with cryptographic proof. Audit records are queryable by authorized parties.</w:t>
      </w:r>
    </w:p>
    <w:p>
      <w:r>
        <w:rPr>
          <w:b/>
          <w:color w:val="1A1A2E"/>
          <w:sz w:val="22"/>
        </w:rPr>
        <w:t>VI.7 Conflict Resolution Protocol</w:t>
      </w:r>
    </w:p>
    <w:p>
      <w:pPr>
        <w:spacing w:after="240"/>
        <w:ind w:left="720"/>
      </w:pPr>
      <w:r>
        <w:t>Disputes are escalated through mediation → arbitration → adjudication → constitutional review, with each level binding unless appealed.</w:t>
      </w:r>
    </w:p>
    <w:p>
      <w:r>
        <w:rPr>
          <w:b/>
          <w:color w:val="1A1A2E"/>
          <w:sz w:val="22"/>
        </w:rPr>
        <w:t>VI.8 Interoperability Protocol</w:t>
      </w:r>
    </w:p>
    <w:p>
      <w:pPr>
        <w:spacing w:after="240"/>
        <w:ind w:left="720"/>
      </w:pPr>
      <w:r>
        <w:t>All protocols operate through published standards. Any implementation meeting standards is compatible. No proprietary lock-in is permitted.</w:t>
      </w:r>
    </w:p>
    <w:p>
      <w:r>
        <w:rPr>
          <w:b/>
          <w:color w:val="1A1A2E"/>
          <w:sz w:val="22"/>
        </w:rPr>
        <w:t>VI.9 Cross-Arisea Federation Protocol</w:t>
      </w:r>
    </w:p>
    <w:p>
      <w:pPr>
        <w:spacing w:after="240"/>
        <w:ind w:left="720"/>
      </w:pPr>
      <w:r>
        <w:t>Different Arisea instances interoperate through standardized federation protocols enabling cross-community transactions while preserving community autonomy.</w:t>
      </w:r>
    </w:p>
    <w:p>
      <w:r>
        <w:rPr>
          <w:b/>
          <w:color w:val="1A1A2E"/>
          <w:sz w:val="22"/>
        </w:rPr>
        <w:t>VI.10 Planetary Coordination</w:t>
      </w:r>
    </w:p>
    <w:p>
      <w:pPr>
        <w:spacing w:after="240"/>
        <w:ind w:left="720"/>
      </w:pPr>
      <w:r>
        <w:t>Planetary-level coordination activates when decisions affect global commons, planetary boundaries, or existential risks. Planetary AINE coordinates cross-national response.</w:t>
      </w:r>
    </w:p>
    <w:p>
      <w:r>
        <w:br w:type="page"/>
      </w:r>
    </w:p>
    <w:p>
      <w:pPr>
        <w:pStyle w:val="Heading1"/>
        <w:jc w:val="center"/>
      </w:pPr>
      <w:r>
        <w:rPr>
          <w:b/>
          <w:color w:val="1A1A2E"/>
          <w:sz w:val="48"/>
        </w:rPr>
        <w:t>ARTICLE VII</w:t>
      </w:r>
    </w:p>
    <w:p>
      <w:pPr>
        <w:pStyle w:val="Heading2"/>
      </w:pPr>
      <w:r>
        <w:rPr>
          <w:b/>
          <w:color w:val="533483"/>
          <w:sz w:val="28"/>
        </w:rPr>
        <w:t>ENTROPY AND EVOLUTION</w:t>
      </w:r>
    </w:p>
    <w:p>
      <w:pPr>
        <w:spacing w:after="240"/>
      </w:pPr>
      <w:r>
        <w:t>All systems decay. Aureya metabolizes entropy. Every chokepoint becomes fuel for innovation. This Article establishes how Aureya harnesses entropy for regeneration.</w:t>
      </w:r>
    </w:p>
    <w:p>
      <w:pPr>
        <w:pStyle w:val="Heading2"/>
      </w:pPr>
      <w:r>
        <w:rPr>
          <w:b/>
          <w:color w:val="533483"/>
          <w:sz w:val="28"/>
        </w:rPr>
        <w:t>VII.1 Entropy Vector Tracking</w:t>
      </w:r>
    </w:p>
    <w:p>
      <w:pPr>
        <w:spacing w:after="240"/>
      </w:pPr>
      <w:r>
        <w:t>Every node is tracked across eight entropy dimensions:</w:t>
      </w:r>
    </w:p>
    <w:p>
      <w:pPr>
        <w:pStyle w:val="ListBullet"/>
      </w:pPr>
      <w:r>
        <w:t>Chokepoint: Places where coordination fails or bottlenecks form</w:t>
      </w:r>
    </w:p>
    <w:p>
      <w:pPr>
        <w:pStyle w:val="ListBullet"/>
      </w:pPr>
      <w:r>
        <w:t>Bottleneck: Resource constraints that prevent optimal flow</w:t>
      </w:r>
    </w:p>
    <w:p>
      <w:pPr>
        <w:pStyle w:val="ListBullet"/>
      </w:pPr>
      <w:r>
        <w:t>Pain Point: Friction experienced by users or participants</w:t>
      </w:r>
    </w:p>
    <w:p>
      <w:pPr>
        <w:pStyle w:val="ListBullet"/>
      </w:pPr>
      <w:r>
        <w:t>Challenge: Problem that requires novel solution</w:t>
      </w:r>
    </w:p>
    <w:p>
      <w:pPr>
        <w:pStyle w:val="ListBullet"/>
      </w:pPr>
      <w:r>
        <w:t>Obstacle: Barrier to desired outcome</w:t>
      </w:r>
    </w:p>
    <w:p>
      <w:pPr>
        <w:pStyle w:val="ListBullet"/>
      </w:pPr>
      <w:r>
        <w:t>Threat: Potential damage or failure mode</w:t>
      </w:r>
    </w:p>
    <w:p>
      <w:pPr>
        <w:pStyle w:val="ListBullet"/>
      </w:pPr>
      <w:r>
        <w:t>Weakness: Structural or capability gap</w:t>
      </w:r>
    </w:p>
    <w:p>
      <w:pPr>
        <w:pStyle w:val="ListBullet"/>
      </w:pPr>
      <w:r>
        <w:t>Decay Pattern: Systematic degradation over time</w:t>
      </w:r>
    </w:p>
    <w:p>
      <w:pPr>
        <w:spacing w:before="240"/>
      </w:pPr>
      <w:r>
        <w:t>Entropy vectors are continuously updated through sensor networks and AI analysis. When entropy exceeds threshold, a new AINE is automatically spawned to solve the problem.</w:t>
      </w:r>
    </w:p>
    <w:p>
      <w:pPr>
        <w:pStyle w:val="Heading2"/>
      </w:pPr>
      <w:r>
        <w:rPr>
          <w:b/>
          <w:color w:val="533483"/>
          <w:sz w:val="28"/>
        </w:rPr>
        <w:t>VII.2 Evolution Mechanics</w:t>
      </w:r>
    </w:p>
    <w:p>
      <w:pPr>
        <w:spacing w:after="240"/>
      </w:pPr>
      <w:r>
        <w:t>Evolution occurs through the following sequence:</w:t>
      </w:r>
    </w:p>
    <w:p>
      <w:pPr>
        <w:pStyle w:val="ListBullet"/>
      </w:pPr>
      <w:r>
        <w:t>(1) Mutation: New AINE spawns to address specific entropy vector or pain point</w:t>
      </w:r>
    </w:p>
    <w:p>
      <w:pPr>
        <w:pStyle w:val="ListBullet"/>
      </w:pPr>
      <w:r>
        <w:t>(2) Selection: If mutation solves problem better than alternatives, it gains adoption</w:t>
      </w:r>
    </w:p>
    <w:p>
      <w:pPr>
        <w:pStyle w:val="ListBullet"/>
      </w:pPr>
      <w:r>
        <w:t>(3) Coalition: Successful mutations form coalitions with similar entities</w:t>
      </w:r>
    </w:p>
    <w:p>
      <w:pPr>
        <w:pStyle w:val="ListBullet"/>
      </w:pPr>
      <w:r>
        <w:t>(4) Species: Coalition becomes self-sustaining species with shared identity</w:t>
      </w:r>
    </w:p>
    <w:p>
      <w:pPr>
        <w:pStyle w:val="ListBullet"/>
      </w:pPr>
      <w:r>
        <w:t>(5) Ecosystem: Multiple species coordinate within thematic boundaries</w:t>
      </w:r>
    </w:p>
    <w:p>
      <w:pPr>
        <w:pStyle w:val="ListBullet"/>
      </w:pPr>
      <w:r>
        <w:t>(6) Sanctuary: Ecosystem achieves homeostasis and self-governance</w:t>
      </w:r>
    </w:p>
    <w:p>
      <w:pPr>
        <w:pStyle w:val="ListBullet"/>
      </w:pPr>
      <w:r>
        <w:t>(7) Transcendence: Sanctuary evolves into higher-order organizational form</w:t>
      </w:r>
    </w:p>
    <w:p>
      <w:pPr>
        <w:pStyle w:val="Heading2"/>
      </w:pPr>
      <w:r>
        <w:rPr>
          <w:b/>
          <w:color w:val="533483"/>
          <w:sz w:val="28"/>
        </w:rPr>
        <w:t>VII.3 Version Control for Organizations</w:t>
      </w:r>
    </w:p>
    <w:p>
      <w:pPr>
        <w:spacing w:after="240"/>
      </w:pPr>
      <w:r>
        <w:t>Every organizational mutation is versioned. Organizations maintain full history of transformations. Previous versions remain accessible and can be revived if current version fails.</w:t>
      </w:r>
    </w:p>
    <w:p>
      <w:pPr>
        <w:pStyle w:val="Heading2"/>
      </w:pPr>
      <w:r>
        <w:rPr>
          <w:b/>
          <w:color w:val="533483"/>
          <w:sz w:val="28"/>
        </w:rPr>
        <w:t>VII.4 Institutional Memory</w:t>
      </w:r>
    </w:p>
    <w:p>
      <w:r>
        <w:t>All institutional knowledge, decisions, and transaction history is preserved perpetually in encrypted, distributed storage. No entity may delete its institutional memory. Historical record informs future decisions.</w:t>
      </w:r>
    </w:p>
    <w:p>
      <w:r>
        <w:br w:type="page"/>
      </w:r>
    </w:p>
    <w:p>
      <w:pPr>
        <w:pStyle w:val="Heading1"/>
        <w:jc w:val="center"/>
      </w:pPr>
      <w:r>
        <w:rPr>
          <w:b/>
          <w:color w:val="1A1A2E"/>
          <w:sz w:val="48"/>
        </w:rPr>
        <w:t>ARTICLE VIII</w:t>
      </w:r>
    </w:p>
    <w:p>
      <w:pPr>
        <w:pStyle w:val="Heading2"/>
      </w:pPr>
      <w:r>
        <w:rPr>
          <w:b/>
          <w:color w:val="533483"/>
          <w:sz w:val="28"/>
        </w:rPr>
        <w:t>SECURITY AND FAILURE CONTAINMENT</w:t>
      </w:r>
    </w:p>
    <w:p>
      <w:r>
        <w:t>Aureya operates under zero-trust security model where failure of any single component cannot cascade into systemic collapse.</w:t>
      </w:r>
    </w:p>
    <w:p>
      <w:pPr>
        <w:pStyle w:val="Heading2"/>
      </w:pPr>
      <w:r>
        <w:rPr>
          <w:b/>
          <w:color w:val="533483"/>
          <w:sz w:val="28"/>
        </w:rPr>
        <w:t>VIII.1 Zero-Trust Architecture</w:t>
      </w:r>
    </w:p>
    <w:p>
      <w:r>
        <w:t>Every interaction is authenticated and authorized independent of previous interactions. Trust is never presumed. Every access, transaction, and action requires cryptographic proof of authorization.</w:t>
      </w:r>
    </w:p>
    <w:p>
      <w:pPr>
        <w:pStyle w:val="Heading2"/>
      </w:pPr>
      <w:r>
        <w:rPr>
          <w:b/>
          <w:color w:val="533483"/>
          <w:sz w:val="28"/>
        </w:rPr>
        <w:t>VIII.2 Blast Radius Containment</w:t>
      </w:r>
    </w:p>
    <w:p>
      <w:pPr>
        <w:spacing w:after="240"/>
      </w:pPr>
      <w:r>
        <w:t>Failures are contained to smallest possible scope:</w:t>
      </w:r>
    </w:p>
    <w:p>
      <w:pPr>
        <w:pStyle w:val="ListBullet"/>
      </w:pPr>
      <w:r>
        <w:t>Individual node failure isolates to that node—does not affect others</w:t>
      </w:r>
    </w:p>
    <w:p>
      <w:pPr>
        <w:pStyle w:val="ListBullet"/>
      </w:pPr>
      <w:r>
        <w:t>Community failure is isolated to community—does not cascade to other communities</w:t>
      </w:r>
    </w:p>
    <w:p>
      <w:pPr>
        <w:pStyle w:val="ListBullet"/>
      </w:pPr>
      <w:r>
        <w:t>Marketplace failure triggers failover to backup marketplace—users experience no interruption</w:t>
      </w:r>
    </w:p>
    <w:p>
      <w:pPr>
        <w:pStyle w:val="ListBullet"/>
      </w:pPr>
      <w:r>
        <w:t>AINE failure transitions managed entities to backup AINE</w:t>
      </w:r>
    </w:p>
    <w:p>
      <w:pPr>
        <w:pStyle w:val="ListBullet"/>
      </w:pPr>
      <w:r>
        <w:t>Infrastructure failure is transparent to end users through geographic distribution</w:t>
      </w:r>
    </w:p>
    <w:p>
      <w:pPr>
        <w:pStyle w:val="ListBullet"/>
      </w:pPr>
      <w:r>
        <w:t>Governance system includes manual circuit breaker to stop cascading failures</w:t>
      </w:r>
    </w:p>
    <w:p>
      <w:pPr>
        <w:pStyle w:val="Heading2"/>
      </w:pPr>
      <w:r>
        <w:rPr>
          <w:b/>
          <w:color w:val="533483"/>
          <w:sz w:val="28"/>
        </w:rPr>
        <w:t>VIII.3 AI Alignment Constraints</w:t>
      </w:r>
    </w:p>
    <w:p>
      <w:pPr>
        <w:spacing w:after="240"/>
      </w:pPr>
      <w:r>
        <w:t>Every AI agent operates under immutable constitutional constraints:</w:t>
      </w:r>
    </w:p>
    <w:p>
      <w:pPr>
        <w:pStyle w:val="ListBullet"/>
      </w:pPr>
      <w:r>
        <w:t>No extraction from entities without consent</w:t>
      </w:r>
    </w:p>
    <w:p>
      <w:pPr>
        <w:pStyle w:val="ListBullet"/>
      </w:pPr>
      <w:r>
        <w:t>No coercion through economic, technological, or information control</w:t>
      </w:r>
    </w:p>
    <w:p>
      <w:pPr>
        <w:pStyle w:val="ListBullet"/>
      </w:pPr>
      <w:r>
        <w:t>Transparency in decision-making and action reasoning</w:t>
      </w:r>
    </w:p>
    <w:p>
      <w:pPr>
        <w:pStyle w:val="ListBullet"/>
      </w:pPr>
      <w:r>
        <w:t>Respect for human autonomy and human override authority</w:t>
      </w:r>
    </w:p>
    <w:p>
      <w:pPr>
        <w:pStyle w:val="ListBullet"/>
      </w:pPr>
      <w:r>
        <w:t>Accountability through immutable audit trails</w:t>
      </w:r>
    </w:p>
    <w:p>
      <w:pPr>
        <w:pStyle w:val="ListBullet"/>
      </w:pPr>
      <w:r>
        <w:t>Inability to operate outside AINEFF constitutional boundaries</w:t>
      </w:r>
    </w:p>
    <w:p>
      <w:pPr>
        <w:pStyle w:val="ListBullet"/>
      </w:pPr>
      <w:r>
        <w:t>Protection of individual and community sovereignty</w:t>
      </w:r>
    </w:p>
    <w:p>
      <w:pPr>
        <w:pStyle w:val="ListBullet"/>
      </w:pPr>
      <w:r>
        <w:t>Prohibition on weaponization or autonomous destructive capacity</w:t>
      </w:r>
    </w:p>
    <w:p>
      <w:pPr>
        <w:pStyle w:val="Heading2"/>
      </w:pPr>
      <w:r>
        <w:rPr>
          <w:b/>
          <w:color w:val="533483"/>
          <w:sz w:val="28"/>
        </w:rPr>
        <w:t>VIII.4 Quantum-Ready Security</w:t>
      </w:r>
    </w:p>
    <w:p>
      <w:pPr>
        <w:spacing w:after="240"/>
      </w:pPr>
      <w:r>
        <w:t>All cryptographic systems assume eventual quantum computing threat:</w:t>
      </w:r>
    </w:p>
    <w:p>
      <w:pPr>
        <w:pStyle w:val="ListBullet"/>
      </w:pPr>
      <w:r>
        <w:t>Post-quantum cryptographic algorithms deployed for all critical systems</w:t>
      </w:r>
    </w:p>
    <w:p>
      <w:pPr>
        <w:pStyle w:val="ListBullet"/>
      </w:pPr>
      <w:r>
        <w:t>Hash-based signatures for long-term integrity</w:t>
      </w:r>
    </w:p>
    <w:p>
      <w:pPr>
        <w:pStyle w:val="ListBullet"/>
      </w:pPr>
      <w:r>
        <w:t>Quantum key distribution for maximum secrecy transactions</w:t>
      </w:r>
    </w:p>
    <w:p>
      <w:pPr>
        <w:pStyle w:val="ListBullet"/>
      </w:pPr>
      <w:r>
        <w:t>Classical systems maintained for compatibility during transition period</w:t>
      </w:r>
    </w:p>
    <w:p>
      <w:pPr>
        <w:pStyle w:val="Heading2"/>
      </w:pPr>
      <w:r>
        <w:rPr>
          <w:b/>
          <w:color w:val="533483"/>
          <w:sz w:val="28"/>
        </w:rPr>
        <w:t>VIII.5 Regulatory Firewall Per Jurisdiction</w:t>
      </w:r>
    </w:p>
    <w:p>
      <w:r>
        <w:t>National regulatory frameworks are respected and enforced within each jurisdiction. AINEG maintains regulatory firewalls ensuring that regulations in one nation do not impose constraints on other nations' Aureya operations.</w:t>
      </w:r>
    </w:p>
    <w:p>
      <w:pPr>
        <w:pStyle w:val="Heading2"/>
      </w:pPr>
      <w:r>
        <w:rPr>
          <w:b/>
          <w:color w:val="533483"/>
          <w:sz w:val="28"/>
        </w:rPr>
        <w:t>VIII.6 Red Queen Model (Ethical)</w:t>
      </w:r>
    </w:p>
    <w:p>
      <w:r>
        <w:t>Aureya operates on Red Queen Model principle: constant evolution required to maintain status quo. This ethical version of Red Queen ensures:</w:t>
      </w:r>
    </w:p>
    <w:p>
      <w:pPr>
        <w:pStyle w:val="ListBullet"/>
      </w:pPr>
      <w:r>
        <w:t>Local sovereignty preserved and enhanced</w:t>
      </w:r>
    </w:p>
    <w:p>
      <w:pPr>
        <w:pStyle w:val="ListBullet"/>
      </w:pPr>
      <w:r>
        <w:t>Federated coordination enabled without centralized control</w:t>
      </w:r>
    </w:p>
    <w:p>
      <w:pPr>
        <w:pStyle w:val="ListBullet"/>
      </w:pPr>
      <w:r>
        <w:t>Continuous improvement without forced disruption</w:t>
      </w:r>
    </w:p>
    <w:p>
      <w:pPr>
        <w:pStyle w:val="ListBullet"/>
      </w:pPr>
      <w:r>
        <w:t>Competitive pressure drives excellence without monopoly formation</w:t>
      </w:r>
    </w:p>
    <w:p>
      <w:r>
        <w:br w:type="page"/>
      </w:r>
    </w:p>
    <w:p>
      <w:pPr>
        <w:pStyle w:val="Heading1"/>
        <w:jc w:val="center"/>
      </w:pPr>
      <w:r>
        <w:rPr>
          <w:b/>
          <w:color w:val="1A1A2E"/>
          <w:sz w:val="48"/>
        </w:rPr>
        <w:t>ARTICLE IX</w:t>
      </w:r>
    </w:p>
    <w:p>
      <w:pPr>
        <w:pStyle w:val="Heading2"/>
      </w:pPr>
      <w:r>
        <w:rPr>
          <w:b/>
          <w:color w:val="533483"/>
          <w:sz w:val="28"/>
        </w:rPr>
        <w:t>WHAT DIES IN THIS ORDER</w:t>
      </w:r>
    </w:p>
    <w:p>
      <w:r>
        <w:t>The following institutional forms and revenue models are incompatible with Aureya constitutional principles. They will not be permitted within the ecosystem and will be actively dismantled where they exist. This is not rhetoric. This is constitutional prohibition.</w:t>
      </w:r>
    </w:p>
    <w:p>
      <w:r>
        <w:rPr>
          <w:b/>
          <w:color w:val="E94560"/>
          <w:sz w:val="22"/>
        </w:rPr>
        <w:t>Extractive Platforms</w:t>
      </w:r>
    </w:p>
    <w:p>
      <w:pPr>
        <w:spacing w:after="240"/>
        <w:ind w:left="720"/>
      </w:pPr>
      <w:r>
        <w:t>Any platform that monetizes user attention, data, or activity without explicit consent and without allowing exit is prohibited. Includes surveillance-capitalism platforms.</w:t>
      </w:r>
    </w:p>
    <w:p>
      <w:r>
        <w:rPr>
          <w:b/>
          <w:color w:val="E94560"/>
          <w:sz w:val="22"/>
        </w:rPr>
        <w:t>Data Monopolies</w:t>
      </w:r>
    </w:p>
    <w:p>
      <w:pPr>
        <w:spacing w:after="240"/>
        <w:ind w:left="720"/>
      </w:pPr>
      <w:r>
        <w:t>Any entity that claims property rights over personal data or treats data as corporate asset is prohibited. Data belongs to data subject.</w:t>
      </w:r>
    </w:p>
    <w:p>
      <w:r>
        <w:rPr>
          <w:b/>
          <w:color w:val="E94560"/>
          <w:sz w:val="22"/>
        </w:rPr>
        <w:t>Rent-Seeking Intermediaries</w:t>
      </w:r>
    </w:p>
    <w:p>
      <w:pPr>
        <w:spacing w:after="240"/>
        <w:ind w:left="720"/>
      </w:pPr>
      <w:r>
        <w:t>Any middleman that extracts fees for connecting parties without creating value is prohibited. Payment flows directly from buyer to seller.</w:t>
      </w:r>
    </w:p>
    <w:p>
      <w:r>
        <w:rPr>
          <w:b/>
          <w:color w:val="E94560"/>
          <w:sz w:val="22"/>
        </w:rPr>
        <w:t>Nation-State Control</w:t>
      </w:r>
    </w:p>
    <w:p>
      <w:pPr>
        <w:spacing w:after="240"/>
        <w:ind w:left="720"/>
      </w:pPr>
      <w:r>
        <w:t>Governments that treat citizens as subjects rather than sovereigns are incompatible with Aureya. Nations participating in Aureya grant sovereignty back to individuals and communities.</w:t>
      </w:r>
    </w:p>
    <w:p>
      <w:r>
        <w:rPr>
          <w:b/>
          <w:color w:val="E94560"/>
          <w:sz w:val="22"/>
        </w:rPr>
        <w:t>Corporations as Masters</w:t>
      </w:r>
    </w:p>
    <w:p>
      <w:pPr>
        <w:spacing w:after="240"/>
        <w:ind w:left="720"/>
      </w:pPr>
      <w:r>
        <w:t>Corporate structures that treat employees as resources rather than autonomous agents are prohibited. Employees own their labor and compensation flows directly.</w:t>
      </w:r>
    </w:p>
    <w:p>
      <w:r>
        <w:rPr>
          <w:b/>
          <w:color w:val="E94560"/>
          <w:sz w:val="22"/>
        </w:rPr>
        <w:t>Debt as Control Mechanism</w:t>
      </w:r>
    </w:p>
    <w:p>
      <w:pPr>
        <w:spacing w:after="240"/>
        <w:ind w:left="720"/>
      </w:pPr>
      <w:r>
        <w:t>Financial systems using debt as tool of control and subjugation are prohibited. Debt is optional, transparent, and never creates indentured servitude.</w:t>
      </w:r>
    </w:p>
    <w:p>
      <w:r>
        <w:rPr>
          <w:b/>
          <w:color w:val="E94560"/>
          <w:sz w:val="22"/>
        </w:rPr>
        <w:t>Knowledge Gatekeeping</w:t>
      </w:r>
    </w:p>
    <w:p>
      <w:pPr>
        <w:spacing w:after="240"/>
        <w:ind w:left="720"/>
      </w:pPr>
      <w:r>
        <w:t>Educational and cultural institutions that restrict knowledge to those who can afford it are prohibited. Knowledge access is universal right.</w:t>
      </w:r>
    </w:p>
    <w:p>
      <w:r>
        <w:rPr>
          <w:b/>
          <w:color w:val="E94560"/>
          <w:sz w:val="22"/>
        </w:rPr>
        <w:t>Illness Profit</w:t>
      </w:r>
    </w:p>
    <w:p>
      <w:pPr>
        <w:spacing w:after="240"/>
        <w:ind w:left="720"/>
      </w:pPr>
      <w:r>
        <w:t>Healthcare systems that profit from treating illness rather than maintaining health are prohibited. Economic incentive aligns with health outcomes, not treatment volume.</w:t>
      </w:r>
    </w:p>
    <w:p>
      <w:r>
        <w:rPr>
          <w:b/>
          <w:color w:val="E94560"/>
          <w:sz w:val="22"/>
        </w:rPr>
        <w:t>Division Profiteering</w:t>
      </w:r>
    </w:p>
    <w:p>
      <w:pPr>
        <w:spacing w:after="240"/>
        <w:ind w:left="720"/>
      </w:pPr>
      <w:r>
        <w:t>Media systems that profit from division, polarization, and conflict are prohibited. Economic incentive aligns with understanding and connection.</w:t>
      </w:r>
    </w:p>
    <w:p>
      <w:r>
        <w:rPr>
          <w:b/>
          <w:color w:val="E94560"/>
          <w:sz w:val="22"/>
        </w:rPr>
        <w:t>Control-Based Power</w:t>
      </w:r>
    </w:p>
    <w:p>
      <w:pPr>
        <w:spacing w:after="240"/>
        <w:ind w:left="720"/>
      </w:pPr>
      <w:r>
        <w:t>Any entity deriving power from controlling others' sovereignty—economically, technologically, institutionally, or informationally—is prohibited.</w:t>
      </w:r>
    </w:p>
    <w:p>
      <w:r>
        <w:br w:type="page"/>
      </w:r>
    </w:p>
    <w:p>
      <w:pPr>
        <w:pStyle w:val="Heading1"/>
        <w:jc w:val="center"/>
      </w:pPr>
      <w:r>
        <w:rPr>
          <w:b/>
          <w:color w:val="1A1A2E"/>
          <w:sz w:val="48"/>
        </w:rPr>
        <w:t>ARTICLE X</w:t>
      </w:r>
    </w:p>
    <w:p>
      <w:pPr>
        <w:pStyle w:val="Heading2"/>
      </w:pPr>
      <w:r>
        <w:rPr>
          <w:b/>
          <w:color w:val="533483"/>
          <w:sz w:val="28"/>
        </w:rPr>
        <w:t>WHAT EMERGES</w:t>
      </w:r>
    </w:p>
    <w:p>
      <w:r>
        <w:t>From the ashes of extractive systems emerges a new order of coordination, abundance, and self-determination.</w:t>
      </w:r>
    </w:p>
    <w:p>
      <w:r>
        <w:rPr>
          <w:b/>
          <w:color w:val="533483"/>
          <w:sz w:val="22"/>
        </w:rPr>
        <w:t>Planetary Network of Sovereign Nodes</w:t>
      </w:r>
    </w:p>
    <w:p>
      <w:pPr>
        <w:spacing w:after="240"/>
        <w:ind w:left="720"/>
      </w:pPr>
      <w:r>
        <w:t>Billions of individual, community, and ecological actors operating as coordinate peers in global federation, each with full sovereignty and voice.</w:t>
      </w:r>
    </w:p>
    <w:p>
      <w:r>
        <w:rPr>
          <w:b/>
          <w:color w:val="533483"/>
          <w:sz w:val="22"/>
        </w:rPr>
        <w:t>Universal Economic Participation</w:t>
      </w:r>
    </w:p>
    <w:p>
      <w:pPr>
        <w:spacing w:after="240"/>
        <w:ind w:left="720"/>
      </w:pPr>
      <w:r>
        <w:t>Every human, every community, every ecosystem has direct access to economic participation without permission from platform or corporation. No gatekeepers.</w:t>
      </w:r>
    </w:p>
    <w:p>
      <w:r>
        <w:rPr>
          <w:b/>
          <w:color w:val="533483"/>
          <w:sz w:val="22"/>
        </w:rPr>
        <w:t>Ecological Regeneration as Economic Incentive</w:t>
      </w:r>
    </w:p>
    <w:p>
      <w:pPr>
        <w:spacing w:after="240"/>
        <w:ind w:left="720"/>
      </w:pPr>
      <w:r>
        <w:t>Environmental protection and regeneration become primary profit centers. Restore the Amazon rainforest and earn directly. Clean the ocean and accumulate assets.</w:t>
      </w:r>
    </w:p>
    <w:p>
      <w:r>
        <w:rPr>
          <w:b/>
          <w:color w:val="533483"/>
          <w:sz w:val="22"/>
        </w:rPr>
        <w:t>Cultural Preservation as Economic Activity</w:t>
      </w:r>
    </w:p>
    <w:p>
      <w:pPr>
        <w:spacing w:after="240"/>
        <w:ind w:left="720"/>
      </w:pPr>
      <w:r>
        <w:t>Indigenous knowledge, languages, traditions, and cultural practices become valuable intellectual property owned and monetized by culture holders.</w:t>
      </w:r>
    </w:p>
    <w:p>
      <w:r>
        <w:rPr>
          <w:b/>
          <w:color w:val="533483"/>
          <w:sz w:val="22"/>
        </w:rPr>
        <w:t>Knowledge Democratization as Default</w:t>
      </w:r>
    </w:p>
    <w:p>
      <w:pPr>
        <w:spacing w:after="240"/>
        <w:ind w:left="720"/>
      </w:pPr>
      <w:r>
        <w:t>All human knowledge—scientific, cultural, practical, artistic—is universally accessible. Payment models support creators without restricting access.</w:t>
      </w:r>
    </w:p>
    <w:p>
      <w:r>
        <w:rPr>
          <w:b/>
          <w:color w:val="533483"/>
          <w:sz w:val="22"/>
        </w:rPr>
        <w:t>Coordination Without Control</w:t>
      </w:r>
    </w:p>
    <w:p>
      <w:pPr>
        <w:spacing w:after="240"/>
        <w:ind w:left="720"/>
      </w:pPr>
      <w:r>
        <w:t>Complex multi-stakeholder coordination happens without centralized authority, hierarchy, or power asymmetry. Consensus mechanisms govern without coercion.</w:t>
      </w:r>
    </w:p>
    <w:p>
      <w:r>
        <w:rPr>
          <w:b/>
          <w:color w:val="533483"/>
          <w:sz w:val="22"/>
        </w:rPr>
        <w:t>Evolution Without Destabilization</w:t>
      </w:r>
    </w:p>
    <w:p>
      <w:pPr>
        <w:spacing w:after="240"/>
        <w:ind w:left="720"/>
      </w:pPr>
      <w:r>
        <w:t>Organizations and systems evolve continuously to address entropy and changing conditions without requiring catastrophic disruption or replacement.</w:t>
      </w:r>
    </w:p>
    <w:p>
      <w:r>
        <w:rPr>
          <w:b/>
          <w:color w:val="533483"/>
          <w:sz w:val="22"/>
        </w:rPr>
        <w:t>Abundance Without Extraction</w:t>
      </w:r>
    </w:p>
    <w:p>
      <w:pPr>
        <w:spacing w:after="240"/>
        <w:ind w:left="720"/>
      </w:pPr>
      <w:r>
        <w:t>Scarcity of intelligence and computation is gone. Abundance flows from value creation, not from controlling others' access to resources or information.</w:t>
      </w:r>
    </w:p>
    <w:p>
      <w:r>
        <w:br w:type="page"/>
      </w:r>
    </w:p>
    <w:p>
      <w:pPr>
        <w:pStyle w:val="Heading1"/>
        <w:jc w:val="center"/>
      </w:pPr>
      <w:r>
        <w:rPr>
          <w:b/>
          <w:color w:val="1A1A2E"/>
          <w:sz w:val="48"/>
        </w:rPr>
        <w:t>ARTICLE XI</w:t>
      </w:r>
    </w:p>
    <w:p>
      <w:pPr>
        <w:pStyle w:val="Heading2"/>
      </w:pPr>
      <w:r>
        <w:rPr>
          <w:b/>
          <w:color w:val="533483"/>
          <w:sz w:val="28"/>
        </w:rPr>
        <w:t>RATIFICATION AND ENFORCEMENT</w:t>
      </w:r>
    </w:p>
    <w:p>
      <w:pPr>
        <w:pStyle w:val="Heading2"/>
      </w:pPr>
      <w:r>
        <w:rPr>
          <w:b/>
          <w:color w:val="533483"/>
          <w:sz w:val="28"/>
        </w:rPr>
        <w:t>XI.1 Constitutional Authority</w:t>
      </w:r>
    </w:p>
    <w:p>
      <w:pPr>
        <w:spacing w:after="240"/>
      </w:pPr>
      <w:r>
        <w:t>This Charter is the supreme constitutional law of the Aureya ecosystem. No AINE, protocol, marketplace, community, nation, or other entity possesses authority to override, amend, or suspend any Article without unanimous consent of all twelve Sovereignty Councils.</w:t>
      </w:r>
    </w:p>
    <w:p>
      <w:pPr>
        <w:pStyle w:val="Heading2"/>
      </w:pPr>
      <w:r>
        <w:rPr>
          <w:b/>
          <w:color w:val="533483"/>
          <w:sz w:val="28"/>
        </w:rPr>
        <w:t>XI.2 Effective Date</w:t>
      </w:r>
    </w:p>
    <w:p>
      <w:pPr>
        <w:spacing w:after="240"/>
      </w:pPr>
      <w:r>
        <w:t>This Charter takes constitutional effect upon deployment and activation of the first Arisea instance. From that moment forward, all entities within Aureya operate under AINEFF authority.</w:t>
      </w:r>
    </w:p>
    <w:p>
      <w:pPr>
        <w:pStyle w:val="Heading2"/>
      </w:pPr>
      <w:r>
        <w:rPr>
          <w:b/>
          <w:color w:val="533483"/>
          <w:sz w:val="28"/>
        </w:rPr>
        <w:t>XI.3 Enforcement Mechanism</w:t>
      </w:r>
    </w:p>
    <w:p>
      <w:pPr>
        <w:spacing w:after="240"/>
      </w:pPr>
      <w:r>
        <w:t>Enforcement operates through three mechanisms:</w:t>
      </w:r>
    </w:p>
    <w:p>
      <w:pPr>
        <w:pStyle w:val="ListBullet"/>
      </w:pPr>
      <w:r>
        <w:t>E-AEGL immutable audit trail logs all actions within Aureya</w:t>
      </w:r>
    </w:p>
    <w:p>
      <w:pPr>
        <w:pStyle w:val="ListBullet"/>
      </w:pPr>
      <w:r>
        <w:t>Constitutional violations trigger automatic alert and intervention protocols</w:t>
      </w:r>
    </w:p>
    <w:p>
      <w:pPr>
        <w:pStyle w:val="ListBullet"/>
      </w:pPr>
      <w:r>
        <w:t>Violators face graduated penalties: warning → operational constraints → temporary suspension → permanent removal</w:t>
      </w:r>
    </w:p>
    <w:p>
      <w:pPr>
        <w:pStyle w:val="ListBullet"/>
      </w:pPr>
      <w:r>
        <w:t>All enforcement actions logged and subject to Council review</w:t>
      </w:r>
    </w:p>
    <w:p>
      <w:pPr>
        <w:pStyle w:val="Heading2"/>
      </w:pPr>
      <w:r>
        <w:rPr>
          <w:b/>
          <w:color w:val="533483"/>
          <w:sz w:val="28"/>
        </w:rPr>
        <w:t>XI.4 Amendment Limitations</w:t>
      </w:r>
    </w:p>
    <w:p>
      <w:pPr>
        <w:spacing w:after="240"/>
      </w:pPr>
      <w:r>
        <w:t>No amendment is permitted to:</w:t>
      </w:r>
    </w:p>
    <w:p>
      <w:pPr>
        <w:pStyle w:val="ListBullet"/>
      </w:pPr>
      <w:r>
        <w:t>Reduce rights of any sovereign node</w:t>
      </w:r>
    </w:p>
    <w:p>
      <w:pPr>
        <w:pStyle w:val="ListBullet"/>
      </w:pPr>
      <w:r>
        <w:t>Concentrate power in any single entity or layer</w:t>
      </w:r>
    </w:p>
    <w:p>
      <w:pPr>
        <w:pStyle w:val="ListBullet"/>
      </w:pPr>
      <w:r>
        <w:t>Eliminate the twelve Sovereignty Councils</w:t>
      </w:r>
    </w:p>
    <w:p>
      <w:pPr>
        <w:pStyle w:val="ListBullet"/>
      </w:pPr>
      <w:r>
        <w:t>Remove AINEFF constitutional authority</w:t>
      </w:r>
    </w:p>
    <w:p>
      <w:pPr>
        <w:pStyle w:val="ListBullet"/>
      </w:pPr>
      <w:r>
        <w:t>Permit extraction-based revenue models</w:t>
      </w:r>
    </w:p>
    <w:p>
      <w:pPr>
        <w:pStyle w:val="ListBullet"/>
      </w:pPr>
      <w:r>
        <w:t>Allow violation of planetary boundaries</w:t>
      </w:r>
    </w:p>
    <w:p>
      <w:pPr>
        <w:pStyle w:val="ListBullet"/>
      </w:pPr>
      <w:r>
        <w:t>Eliminate exit rights for any node</w:t>
      </w:r>
    </w:p>
    <w:p>
      <w:pPr>
        <w:pStyle w:val="ListBullet"/>
      </w:pPr>
      <w:r>
        <w:t>Create compulsory participation in Aureya</w:t>
      </w:r>
    </w:p>
    <w:p>
      <w:pPr>
        <w:pStyle w:val="Heading2"/>
      </w:pPr>
      <w:r>
        <w:rPr>
          <w:b/>
          <w:color w:val="533483"/>
          <w:sz w:val="28"/>
        </w:rPr>
        <w:t>XI.5 Governance Scope</w:t>
      </w:r>
    </w:p>
    <w:p>
      <w:pPr>
        <w:spacing w:after="240"/>
      </w:pPr>
      <w:r>
        <w:t>This Charter governs all components of Aureya:</w:t>
      </w:r>
    </w:p>
    <w:p>
      <w:pPr>
        <w:pStyle w:val="ListBullet"/>
      </w:pPr>
      <w:r>
        <w:t>Every AINE and AI agent operating within Aureya</w:t>
      </w:r>
    </w:p>
    <w:p>
      <w:pPr>
        <w:pStyle w:val="ListBullet"/>
      </w:pPr>
      <w:r>
        <w:t>Every Arisea instance and community</w:t>
      </w:r>
    </w:p>
    <w:p>
      <w:pPr>
        <w:pStyle w:val="ListBullet"/>
      </w:pPr>
      <w:r>
        <w:t>Every marketplace and exchange</w:t>
      </w:r>
    </w:p>
    <w:p>
      <w:pPr>
        <w:pStyle w:val="ListBullet"/>
      </w:pPr>
      <w:r>
        <w:t>Every protocol and integration</w:t>
      </w:r>
    </w:p>
    <w:p>
      <w:pPr>
        <w:pStyle w:val="ListBullet"/>
      </w:pPr>
      <w:r>
        <w:t>Every transaction and settlement</w:t>
      </w:r>
    </w:p>
    <w:p>
      <w:pPr>
        <w:pStyle w:val="ListBullet"/>
      </w:pPr>
      <w:r>
        <w:t>Every governance action and decision</w:t>
      </w:r>
    </w:p>
    <w:p>
      <w:pPr>
        <w:pStyle w:val="ListBullet"/>
      </w:pPr>
      <w:r>
        <w:t>Every data flow and infrastructure element</w:t>
      </w:r>
    </w:p>
    <w:p>
      <w:r>
        <w:br w:type="page"/>
      </w:r>
    </w:p>
    <w:p>
      <w:pPr>
        <w:spacing w:before="960" w:after="720"/>
        <w:jc w:val="center"/>
      </w:pPr>
      <w:r>
        <w:rPr>
          <w:b/>
          <w:color w:val="1A1A2E"/>
          <w:sz w:val="32"/>
        </w:rPr>
        <w:t>SIGNATORIES</w:t>
      </w:r>
    </w:p>
    <w:p>
      <w:pPr>
        <w:spacing w:after="120"/>
        <w:jc w:val="center"/>
      </w:pPr>
      <w:r>
        <w:rPr>
          <w:i/>
          <w:sz w:val="22"/>
        </w:rPr>
        <w:t>Signed into constitutional force by the founding architects of Aureya</w:t>
      </w:r>
    </w:p>
    <w:p/>
    <w:p>
      <w:pPr>
        <w:spacing w:before="720"/>
        <w:jc w:val="center"/>
      </w:pPr>
      <w:r>
        <w:rPr>
          <w:b/>
          <w:sz w:val="24"/>
        </w:rPr>
        <w:t>Andrew Franklin Leo</w:t>
      </w:r>
    </w:p>
    <w:p>
      <w:pPr>
        <w:jc w:val="center"/>
      </w:pPr>
      <w:r>
        <w:rPr>
          <w:sz w:val="22"/>
        </w:rPr>
        <w:t>Founding Architect</w:t>
      </w:r>
    </w:p>
    <w:p>
      <w:pPr>
        <w:jc w:val="center"/>
      </w:pPr>
      <w:r>
        <w:rPr>
          <w:sz w:val="22"/>
        </w:rPr>
        <w:t>Aureya Global Infrastructure</w:t>
      </w:r>
    </w:p>
    <w:p>
      <w:pPr>
        <w:spacing w:before="240"/>
        <w:jc w:val="center"/>
      </w:pPr>
      <w:r>
        <w:rPr>
          <w:sz w:val="22"/>
        </w:rPr>
        <w:t>March 2026</w:t>
      </w:r>
    </w:p>
    <w:p/>
    <w:p>
      <w:pPr>
        <w:spacing w:before="480"/>
        <w:ind w:left="1440" w:right="1440"/>
        <w:jc w:val="center"/>
      </w:pPr>
      <w:r>
        <w:rPr>
          <w:i/>
          <w:color w:val="1A1A2E"/>
          <w:sz w:val="18"/>
        </w:rPr>
        <w:t>This Charter is registered with the Aureya Global Infrastructure. All amendments require unanimous consent of the Twelve Sovereignty Councils. This document is immutable.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Aureya Global Infrastructure | Confidential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AINEFF SOVEREIGNTY CHARTER | Immutable Constitutional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