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1E46"/>
          <w:sz w:val="52"/>
        </w:rPr>
        <w:t>AINEFF SOVEREIGN DEPLOYMENT ARCHITECTURE</w:t>
      </w:r>
    </w:p>
    <w:p>
      <w:pPr>
        <w:jc w:val="center"/>
      </w:pPr>
      <w:r>
        <w:rPr>
          <w:i/>
          <w:sz w:val="32"/>
        </w:rPr>
        <w:t>Anti-Entropy Doctrine for 15 Power Audiences</w:t>
      </w:r>
    </w:p>
    <w:p/>
    <w:p>
      <w:pPr>
        <w:jc w:val="center"/>
      </w:pPr>
      <w:r>
        <w:rPr>
          <w:sz w:val="26"/>
        </w:rPr>
        <w:t>Sovereign-Grade Entropy Metabolism System</w:t>
      </w:r>
    </w:p>
    <w:p/>
    <w:p>
      <w:pPr>
        <w:jc w:val="center"/>
      </w:pPr>
      <w:r>
        <w:rPr>
          <w:i/>
          <w:color w:val="780000"/>
          <w:sz w:val="24"/>
        </w:rPr>
        <w:t>Enable each audience to metabolize disorder faster than it accumulates.</w:t>
      </w:r>
    </w:p>
    <w:p/>
    <w:p/>
    <w:p/>
    <w:p/>
    <w:p>
      <w:pPr>
        <w:jc w:val="center"/>
      </w:pPr>
      <w:r>
        <w:rPr>
          <w:b/>
          <w:sz w:val="24"/>
        </w:rPr>
        <w:t>FrankMax Digital</w:t>
        <w:br/>
        <w:t>AINEF Ecosystem</w:t>
        <w:br/>
        <w:t>Andrew Palupillai</w:t>
      </w:r>
    </w:p>
    <w:p/>
    <w:p>
      <w:pPr>
        <w:jc w:val="center"/>
      </w:pPr>
      <w:r>
        <w:rPr>
          <w:sz w:val="22"/>
        </w:rPr>
        <w:t>March 3, 2026</w:t>
      </w:r>
    </w:p>
    <w:p/>
    <w:p>
      <w:pPr>
        <w:jc w:val="center"/>
      </w:pPr>
      <w:r>
        <w:rPr>
          <w:i/>
          <w:sz w:val="20"/>
        </w:rPr>
        <w:t>43 Source Documents | 562,378 Lines | 15 Audiences | Zero Theater</w:t>
      </w:r>
    </w:p>
    <w:p>
      <w:r>
        <w:br w:type="page"/>
      </w:r>
    </w:p>
    <w:p>
      <w:pPr>
        <w:pStyle w:val="Heading1"/>
      </w:pPr>
      <w:r>
        <w:rPr>
          <w:color w:val="000000"/>
        </w:rPr>
        <w:t>TABLE OF CONTENTS</w:t>
      </w:r>
    </w:p>
    <w:p>
      <w:r>
        <w:rPr>
          <w:b/>
          <w:i w:val="0"/>
        </w:rPr>
        <w:t>SECTION I: Foundational Architecture</w:t>
      </w:r>
    </w:p>
    <w:p>
      <w:pPr>
        <w:pStyle w:val="ListBullet"/>
      </w:pPr>
      <w:r>
        <w:t>1. The Entropy Metabolism Thesis</w:t>
      </w:r>
    </w:p>
    <w:p>
      <w:pPr>
        <w:pStyle w:val="ListBullet"/>
      </w:pPr>
      <w:r>
        <w:t>2. AINEFF as Sovereign Infrastructure (Not Product)</w:t>
      </w:r>
    </w:p>
    <w:p>
      <w:pPr>
        <w:pStyle w:val="ListBullet"/>
      </w:pPr>
      <w:r>
        <w:t>3. The Thermodynamic System Model</w:t>
      </w:r>
    </w:p>
    <w:p>
      <w:pPr>
        <w:pStyle w:val="ListBullet"/>
      </w:pPr>
      <w:r>
        <w:t>4. Cross-Audience Deployment Logic</w:t>
      </w:r>
    </w:p>
    <w:p>
      <w:r>
        <w:rPr>
          <w:b/>
          <w:i w:val="0"/>
        </w:rPr>
        <w:t>SECTION II: Executive Sovereign Entropy Risk Scorecard</w:t>
      </w:r>
    </w:p>
    <w:p>
      <w:r>
        <w:rPr>
          <w:b/>
          <w:i w:val="0"/>
        </w:rPr>
        <w:t>SECTION III: Audience-by-Audience Deep Dive</w:t>
      </w:r>
    </w:p>
    <w:p>
      <w:pPr>
        <w:pStyle w:val="ListBullet"/>
      </w:pPr>
      <w:r>
        <w:t>Audience 1: Governments and Ministries</w:t>
      </w:r>
    </w:p>
    <w:p>
      <w:pPr>
        <w:pStyle w:val="ListBullet"/>
      </w:pPr>
      <w:r>
        <w:t>Audience 2: Defense / Security / Intelligence</w:t>
      </w:r>
    </w:p>
    <w:p>
      <w:pPr>
        <w:pStyle w:val="ListBullet"/>
      </w:pPr>
      <w:r>
        <w:t>Audience 3: National Critical Infrastructure</w:t>
      </w:r>
    </w:p>
    <w:p>
      <w:pPr>
        <w:pStyle w:val="ListBullet"/>
      </w:pPr>
      <w:r>
        <w:t>Audience 4: International Institutions</w:t>
      </w:r>
    </w:p>
    <w:p>
      <w:pPr>
        <w:pStyle w:val="ListBullet"/>
      </w:pPr>
      <w:r>
        <w:t>Audience 5: Dynasties and Royal Houses</w:t>
      </w:r>
    </w:p>
    <w:p>
      <w:pPr>
        <w:pStyle w:val="ListBullet"/>
      </w:pPr>
      <w:r>
        <w:t>Audience 6: Family Offices</w:t>
      </w:r>
    </w:p>
    <w:p>
      <w:pPr>
        <w:pStyle w:val="ListBullet"/>
      </w:pPr>
      <w:r>
        <w:t>Audience 7: Multinational Corporate Empires</w:t>
      </w:r>
    </w:p>
    <w:p>
      <w:pPr>
        <w:pStyle w:val="ListBullet"/>
      </w:pPr>
      <w:r>
        <w:t>Audience 8: Legacy Enterprises</w:t>
      </w:r>
    </w:p>
    <w:p>
      <w:pPr>
        <w:pStyle w:val="ListBullet"/>
      </w:pPr>
      <w:r>
        <w:t>Audience 9: Banks / Insurers / Financial Foundations</w:t>
      </w:r>
    </w:p>
    <w:p>
      <w:pPr>
        <w:pStyle w:val="ListBullet"/>
      </w:pPr>
      <w:r>
        <w:t>Audience 10: National Industry Bodies</w:t>
      </w:r>
    </w:p>
    <w:p>
      <w:pPr>
        <w:pStyle w:val="ListBullet"/>
      </w:pPr>
      <w:r>
        <w:t>Audience 11: Education / R&amp;D / Think Tanks</w:t>
      </w:r>
    </w:p>
    <w:p>
      <w:pPr>
        <w:pStyle w:val="ListBullet"/>
      </w:pPr>
      <w:r>
        <w:t>Audience 12: Consulting Firms and System Integrators</w:t>
      </w:r>
    </w:p>
    <w:p>
      <w:pPr>
        <w:pStyle w:val="ListBullet"/>
      </w:pPr>
      <w:r>
        <w:t>Audience 13: Investors / VCs / Syndicates</w:t>
      </w:r>
    </w:p>
    <w:p>
      <w:pPr>
        <w:pStyle w:val="ListBullet"/>
      </w:pPr>
      <w:r>
        <w:t>Audience 14: High-Power Founders and Operators</w:t>
      </w:r>
    </w:p>
    <w:p>
      <w:pPr>
        <w:pStyle w:val="ListBullet"/>
      </w:pPr>
      <w:r>
        <w:t>Audience 15: High-Risk Individuals</w:t>
      </w:r>
    </w:p>
    <w:p>
      <w:r>
        <w:rPr>
          <w:b/>
          <w:i w:val="0"/>
        </w:rPr>
        <w:t>SECTION IV: Cross-Audience Meta-Analysis</w:t>
      </w:r>
    </w:p>
    <w:p>
      <w:r>
        <w:rPr>
          <w:b/>
          <w:i w:val="0"/>
        </w:rPr>
        <w:t>SECTION V: AINEFF Deployment Blueprint</w:t>
      </w:r>
    </w:p>
    <w:p>
      <w:r>
        <w:rPr>
          <w:b/>
          <w:i w:val="0"/>
        </w:rPr>
        <w:t>SECTION VI: Adversarial Red-Team Critique</w:t>
      </w:r>
    </w:p>
    <w:p>
      <w:r>
        <w:rPr>
          <w:b/>
          <w:i w:val="0"/>
        </w:rPr>
        <w:t>SECTION VII: 90-Day Deployment Roadmap</w:t>
      </w:r>
    </w:p>
    <w:p>
      <w:r>
        <w:rPr>
          <w:b/>
          <w:i w:val="0"/>
        </w:rPr>
        <w:t>SECTION VIII: 3-Year Structural Sovereignty Architecture</w:t>
      </w:r>
    </w:p>
    <w:p>
      <w:r>
        <w:rPr>
          <w:b/>
          <w:i w:val="0"/>
        </w:rPr>
        <w:t>SECTION IX: Systemic Shock Simulation</w:t>
      </w:r>
    </w:p>
    <w:p>
      <w:r>
        <w:rPr>
          <w:b/>
          <w:i w:val="0"/>
        </w:rPr>
        <w:t>SECTION X: Notebook LLM Execution Protocol</w:t>
      </w:r>
    </w:p>
    <w:p>
      <w:r>
        <w:br w:type="page"/>
      </w:r>
    </w:p>
    <w:p>
      <w:pPr>
        <w:pStyle w:val="Heading1"/>
      </w:pPr>
      <w:r>
        <w:rPr>
          <w:color w:val="000000"/>
        </w:rPr>
        <w:t>SECTION I: FOUNDATIONAL ARCHITECTURE</w:t>
      </w:r>
    </w:p>
    <w:p>
      <w:pPr>
        <w:pStyle w:val="Heading2"/>
      </w:pPr>
      <w:r>
        <w:rPr>
          <w:color w:val="001E46"/>
        </w:rPr>
        <w:t>1. The Entropy Metabolism Thesis</w:t>
      </w:r>
    </w:p>
    <w:p>
      <w:r>
        <w:rPr>
          <w:b w:val="0"/>
          <w:i w:val="0"/>
        </w:rPr>
        <w:t>Every institution is a thermodynamic system. It receives energy inputs (capital, talent, legitimacy, information, political trust, network power), converts them into organized output (services, products, governance, coordination), and inevitably produces entropy (bureaucracy, corruption, incentive drift, cognitive overload, regulatory capture, fragmented data).</w:t>
      </w:r>
    </w:p>
    <w:p>
      <w:r>
        <w:rPr>
          <w:b/>
          <w:i w:val="0"/>
        </w:rPr>
        <w:t>The question is not whether entropy accumulates. It always does. The question is whether the institution metabolizes disorder faster than it accumulates.</w:t>
      </w:r>
    </w:p>
    <w:p>
      <w:r>
        <w:rPr>
          <w:b w:val="0"/>
          <w:i w:val="0"/>
        </w:rPr>
        <w:t>Institutions that fail this test do not collapse suddenly. They decay. Decision latency increases. Information distortion compounds. Incentive misalignment widens. Capital efficiency drops. And by the time visible failure appears, the structural damage is already irreversible.</w:t>
      </w:r>
    </w:p>
    <w:p>
      <w:r>
        <w:rPr>
          <w:b w:val="0"/>
          <w:i w:val="0"/>
        </w:rPr>
        <w:t>AINEFF is not a governance framework. It is not a consulting methodology. It is not a technology platform. It is an entropy metabolism system -- infrastructure that converts institutional disorder into structured, auditable, correctable state faster than political, economic, and operational forces can generate new disorder.</w:t>
      </w:r>
    </w:p>
    <w:p>
      <w:r>
        <w:rPr>
          <w:b w:val="0"/>
          <w:i/>
        </w:rPr>
        <w:t>This distinction matters because every audience in this document operates at a scale where traditional governance has already failed. Governments cannot coordinate across ministries. Defense agencies cannot trace AI decisions to liability bearers. Banks cannot audit algorithmic risk in real time. Family offices cannot prevent generational wealth decay. The failure is not competence. The failure is metabolic rate.</w:t>
      </w:r>
    </w:p>
    <w:p>
      <w:pPr>
        <w:pStyle w:val="Heading2"/>
      </w:pPr>
      <w:r>
        <w:rPr>
          <w:color w:val="001E46"/>
        </w:rPr>
        <w:t>2. AINEFF as Sovereign Infrastructure</w:t>
      </w:r>
    </w:p>
    <w:p>
      <w:r>
        <w:rPr>
          <w:b w:val="0"/>
          <w:i w:val="0"/>
        </w:rPr>
        <w:t>AINEFF is not a product to be sold. It is infrastructure to be installed. The distinction is critical:</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18"/>
              </w:rPr>
              <w:t>Product Thinking</w:t>
            </w:r>
          </w:p>
        </w:tc>
        <w:tc>
          <w:tcPr>
            <w:tcW w:type="dxa" w:w="4680"/>
          </w:tcPr>
          <w:p>
            <w:r>
              <w:rPr>
                <w:b/>
                <w:sz w:val="18"/>
              </w:rPr>
              <w:t>Infrastructure Thinking</w:t>
            </w:r>
          </w:p>
        </w:tc>
      </w:tr>
      <w:tr>
        <w:tc>
          <w:tcPr>
            <w:tcW w:type="dxa" w:w="4680"/>
          </w:tcPr>
          <w:p>
            <w:r>
              <w:rPr>
                <w:sz w:val="18"/>
              </w:rPr>
              <w:t>Sell features to buyers</w:t>
            </w:r>
          </w:p>
        </w:tc>
        <w:tc>
          <w:tcPr>
            <w:tcW w:type="dxa" w:w="4680"/>
          </w:tcPr>
          <w:p>
            <w:r>
              <w:rPr>
                <w:sz w:val="18"/>
              </w:rPr>
              <w:t>Install constraints on systems</w:t>
            </w:r>
          </w:p>
        </w:tc>
      </w:tr>
      <w:tr>
        <w:tc>
          <w:tcPr>
            <w:tcW w:type="dxa" w:w="4680"/>
          </w:tcPr>
          <w:p>
            <w:r>
              <w:rPr>
                <w:sz w:val="18"/>
              </w:rPr>
              <w:t>Compete on capability</w:t>
            </w:r>
          </w:p>
        </w:tc>
        <w:tc>
          <w:tcPr>
            <w:tcW w:type="dxa" w:w="4680"/>
          </w:tcPr>
          <w:p>
            <w:r>
              <w:rPr>
                <w:sz w:val="18"/>
              </w:rPr>
              <w:t>Compete on inevitability</w:t>
            </w:r>
          </w:p>
        </w:tc>
      </w:tr>
      <w:tr>
        <w:tc>
          <w:tcPr>
            <w:tcW w:type="dxa" w:w="4680"/>
          </w:tcPr>
          <w:p>
            <w:r>
              <w:rPr>
                <w:sz w:val="18"/>
              </w:rPr>
              <w:t>Revenue from adoption</w:t>
            </w:r>
          </w:p>
        </w:tc>
        <w:tc>
          <w:tcPr>
            <w:tcW w:type="dxa" w:w="4680"/>
          </w:tcPr>
          <w:p>
            <w:r>
              <w:rPr>
                <w:sz w:val="18"/>
              </w:rPr>
              <w:t>Revenue from dependency</w:t>
            </w:r>
          </w:p>
        </w:tc>
      </w:tr>
      <w:tr>
        <w:tc>
          <w:tcPr>
            <w:tcW w:type="dxa" w:w="4680"/>
          </w:tcPr>
          <w:p>
            <w:r>
              <w:rPr>
                <w:sz w:val="18"/>
              </w:rPr>
              <w:t>Churn when alternatives emerge</w:t>
            </w:r>
          </w:p>
        </w:tc>
        <w:tc>
          <w:tcPr>
            <w:tcW w:type="dxa" w:w="4680"/>
          </w:tcPr>
          <w:p>
            <w:r>
              <w:rPr>
                <w:sz w:val="18"/>
              </w:rPr>
              <w:t>Lock-in through regulatory integration</w:t>
            </w:r>
          </w:p>
        </w:tc>
      </w:tr>
      <w:tr>
        <w:tc>
          <w:tcPr>
            <w:tcW w:type="dxa" w:w="4680"/>
          </w:tcPr>
          <w:p>
            <w:r>
              <w:rPr>
                <w:sz w:val="18"/>
              </w:rPr>
              <w:t>Value from what it does</w:t>
            </w:r>
          </w:p>
        </w:tc>
        <w:tc>
          <w:tcPr>
            <w:tcW w:type="dxa" w:w="4680"/>
          </w:tcPr>
          <w:p>
            <w:r>
              <w:rPr>
                <w:sz w:val="18"/>
              </w:rPr>
              <w:t>Value from what it prevents</w:t>
            </w:r>
          </w:p>
        </w:tc>
      </w:tr>
    </w:tbl>
    <w:p/>
    <w:p>
      <w:r>
        <w:rPr>
          <w:b/>
          <w:i w:val="0"/>
        </w:rPr>
        <w:t>The 5 Structural Functions of AINEFF:</w:t>
      </w:r>
    </w:p>
    <w:p>
      <w:pPr>
        <w:pStyle w:val="ListBullet"/>
      </w:pPr>
      <w:r>
        <w:t>Sovereign AI-Native Enterprise Factory: Creates, governs, and terminates AI-native enterprises with mandatory mortality, bounded authority, and mechanical kill switches.</w:t>
      </w:r>
    </w:p>
    <w:p>
      <w:pPr>
        <w:pStyle w:val="ListBullet"/>
      </w:pPr>
      <w:r>
        <w:t>Systemic Entropy Reduction Engine: Converts institutional disorder (information asymmetry, incentive drift, accountability gaps) into structured, auditable state.</w:t>
      </w:r>
    </w:p>
    <w:p>
      <w:pPr>
        <w:pStyle w:val="ListBullet"/>
      </w:pPr>
      <w:r>
        <w:t>Governance and Capital Discipline Framework: Enforces PCI limits, authority decay, non-delegable decision registries, and automatic escalation triggers.</w:t>
      </w:r>
    </w:p>
    <w:p>
      <w:pPr>
        <w:pStyle w:val="ListBullet"/>
      </w:pPr>
      <w:r>
        <w:t>Structural Constraint Architecture: The atomic constraint -- no irreversible action without a named human liability bearer -- is not policy. It is infrastructure.</w:t>
      </w:r>
    </w:p>
    <w:p>
      <w:pPr>
        <w:pStyle w:val="ListBullet"/>
      </w:pPr>
      <w:r>
        <w:t>Multi-Entity Coordination Stabilizer: 35 canonical systems, 26 economic surfaces, and the ORF Protocol create coordination without centralization.</w:t>
      </w:r>
    </w:p>
    <w:p>
      <w:pPr>
        <w:pStyle w:val="Heading2"/>
      </w:pPr>
      <w:r>
        <w:rPr>
          <w:color w:val="001E46"/>
        </w:rPr>
        <w:t>3. The Thermodynamic System Model</w:t>
      </w:r>
    </w:p>
    <w:p>
      <w:r>
        <w:rPr>
          <w:b/>
          <w:i w:val="0"/>
        </w:rPr>
        <w:t>Each of the 15 audiences is modeled as a thermodynamic system with 6 components:</w:t>
      </w:r>
    </w:p>
    <w:p>
      <w:r>
        <w:rPr>
          <w:b/>
          <w:i w:val="0"/>
        </w:rPr>
        <w:t>Energy Inputs:</w:t>
      </w:r>
    </w:p>
    <w:p>
      <w:pPr>
        <w:pStyle w:val="ListBullet"/>
      </w:pPr>
      <w:r>
        <w:t>Capital: Financial resources available for deployment</w:t>
      </w:r>
    </w:p>
    <w:p>
      <w:pPr>
        <w:pStyle w:val="ListBullet"/>
      </w:pPr>
      <w:r>
        <w:t>Talent: Human capability and institutional knowledge</w:t>
      </w:r>
    </w:p>
    <w:p>
      <w:pPr>
        <w:pStyle w:val="ListBullet"/>
      </w:pPr>
      <w:r>
        <w:t>Legitimacy: Public trust, regulatory standing, political capital</w:t>
      </w:r>
    </w:p>
    <w:p>
      <w:pPr>
        <w:pStyle w:val="ListBullet"/>
      </w:pPr>
      <w:r>
        <w:t>Information: Decision-quality data and intelligence</w:t>
      </w:r>
    </w:p>
    <w:p>
      <w:pPr>
        <w:pStyle w:val="ListBullet"/>
      </w:pPr>
      <w:r>
        <w:t>Political Trust: Stakeholder confidence and mandate</w:t>
      </w:r>
    </w:p>
    <w:p>
      <w:pPr>
        <w:pStyle w:val="ListBullet"/>
      </w:pPr>
      <w:r>
        <w:t>Network Power: Relationships, alliances, and coordination capacity</w:t>
      </w:r>
    </w:p>
    <w:p>
      <w:r>
        <w:rPr>
          <w:b/>
          <w:i w:val="0"/>
        </w:rPr>
        <w:t>Entropy Sources:</w:t>
      </w:r>
    </w:p>
    <w:p>
      <w:pPr>
        <w:pStyle w:val="ListBullet"/>
      </w:pPr>
      <w:r>
        <w:t>Bureaucracy: Process accumulation without value creation</w:t>
      </w:r>
    </w:p>
    <w:p>
      <w:pPr>
        <w:pStyle w:val="ListBullet"/>
      </w:pPr>
      <w:r>
        <w:t>Corruption: Incentive misalignment exploited by individuals</w:t>
      </w:r>
    </w:p>
    <w:p>
      <w:pPr>
        <w:pStyle w:val="ListBullet"/>
      </w:pPr>
      <w:r>
        <w:t>Incentive Drift: Gradual disconnection between reward and value</w:t>
      </w:r>
    </w:p>
    <w:p>
      <w:pPr>
        <w:pStyle w:val="ListBullet"/>
      </w:pPr>
      <w:r>
        <w:t>Cognitive Overload: Decision-maker capacity exceeded by complexity</w:t>
      </w:r>
    </w:p>
    <w:p>
      <w:pPr>
        <w:pStyle w:val="ListBullet"/>
      </w:pPr>
      <w:r>
        <w:t>Regulatory Capture: Governance mechanisms co-opted by governed entities</w:t>
      </w:r>
    </w:p>
    <w:p>
      <w:pPr>
        <w:pStyle w:val="ListBullet"/>
      </w:pPr>
      <w:r>
        <w:t>Fragmented Data: Information silos preventing coordinated action</w:t>
      </w:r>
    </w:p>
    <w:p>
      <w:r>
        <w:rPr>
          <w:b/>
          <w:i w:val="0"/>
        </w:rPr>
        <w:t>Conversion Engines:</w:t>
      </w:r>
    </w:p>
    <w:p>
      <w:pPr>
        <w:pStyle w:val="ListBullet"/>
      </w:pPr>
      <w:r>
        <w:t>Innovation Loops: R&amp;D to deployment to feedback to iteration</w:t>
      </w:r>
    </w:p>
    <w:p>
      <w:pPr>
        <w:pStyle w:val="ListBullet"/>
      </w:pPr>
      <w:r>
        <w:t>Automation Layers: Removing human bottlenecks from routine decisions</w:t>
      </w:r>
    </w:p>
    <w:p>
      <w:pPr>
        <w:pStyle w:val="ListBullet"/>
      </w:pPr>
      <w:r>
        <w:t>Institutional Learning Cycles: Codifying failure into prevention</w:t>
      </w:r>
    </w:p>
    <w:p>
      <w:pPr>
        <w:pStyle w:val="ListBullet"/>
      </w:pPr>
      <w:r>
        <w:t>AI Augmentation: Extending human decision capacity without replacing accountability</w:t>
      </w:r>
    </w:p>
    <w:p>
      <w:pPr>
        <w:pStyle w:val="ListBullet"/>
      </w:pPr>
      <w:r>
        <w:t>Cross-Entity Coordination: AINEFF mechanical coordination replacing trust-based coordination</w:t>
      </w:r>
    </w:p>
    <w:p>
      <w:r>
        <w:rPr>
          <w:b/>
          <w:i w:val="0"/>
        </w:rPr>
        <w:t>Heat Sinks (Acceptable Entropy Zones):</w:t>
      </w:r>
    </w:p>
    <w:p>
      <w:pPr>
        <w:pStyle w:val="ListBullet"/>
      </w:pPr>
      <w:r>
        <w:t>Strategic Redundancy: Deliberate duplication for resilience</w:t>
      </w:r>
    </w:p>
    <w:p>
      <w:pPr>
        <w:pStyle w:val="ListBullet"/>
      </w:pPr>
      <w:r>
        <w:t>Controlled Experimentation: Sandboxed failure for learning</w:t>
      </w:r>
    </w:p>
    <w:p>
      <w:pPr>
        <w:pStyle w:val="ListBullet"/>
      </w:pPr>
      <w:r>
        <w:t>Diplomatic Friction Buffers: Intentional slowness in sensitive domains</w:t>
      </w:r>
    </w:p>
    <w:p>
      <w:pPr>
        <w:pStyle w:val="ListBullet"/>
      </w:pPr>
      <w:r>
        <w:t>Innovation Labs: Protected spaces where normal governance is relaxed</w:t>
      </w:r>
    </w:p>
    <w:p>
      <w:r>
        <w:rPr>
          <w:b/>
          <w:i w:val="0"/>
        </w:rPr>
        <w:t>Shutdown Triggers:</w:t>
      </w:r>
    </w:p>
    <w:p>
      <w:pPr>
        <w:pStyle w:val="ListBullet"/>
      </w:pPr>
      <w:r>
        <w:t>PCI breach above 45: Mandate liquidation within 30 days</w:t>
      </w:r>
    </w:p>
    <w:p>
      <w:pPr>
        <w:pStyle w:val="ListBullet"/>
      </w:pPr>
      <w:r>
        <w:t>Financial instability: Capital burn exceeding envelope by 200%</w:t>
      </w:r>
    </w:p>
    <w:p>
      <w:pPr>
        <w:pStyle w:val="ListBullet"/>
      </w:pPr>
      <w:r>
        <w:t>Security compromise: Unauthorized access to decision systems</w:t>
      </w:r>
    </w:p>
    <w:p>
      <w:pPr>
        <w:pStyle w:val="ListBullet"/>
      </w:pPr>
      <w:r>
        <w:t>Leadership corruption: Named liable officer conflict of interest</w:t>
      </w:r>
    </w:p>
    <w:p>
      <w:pPr>
        <w:pStyle w:val="ListBullet"/>
      </w:pPr>
      <w:r>
        <w:t>Decision latency breach: Average decision time exceeding 3x baseline</w:t>
      </w:r>
    </w:p>
    <w:p>
      <w:pPr>
        <w:pStyle w:val="Heading2"/>
      </w:pPr>
      <w:r>
        <w:rPr>
          <w:color w:val="001E46"/>
        </w:rPr>
        <w:t>4. Cross-Audience Deployment Logic</w:t>
      </w:r>
    </w:p>
    <w:p>
      <w:r>
        <w:rPr>
          <w:b w:val="0"/>
          <w:i w:val="0"/>
        </w:rPr>
        <w:t>AINEFF does not deploy the same way for governments and family offices. The entropy vectors differ. The accountability chains differ. The political constraints differ. But the metabolic requirement is identical: convert disorder into auditable state faster than it accumulates.</w:t>
      </w:r>
    </w:p>
    <w:p>
      <w:r>
        <w:rPr>
          <w:b/>
          <w:i w:val="0"/>
        </w:rPr>
        <w:t>Deployment varies across 4 dimensions:</w:t>
      </w:r>
    </w:p>
    <w:p>
      <w:pPr>
        <w:pStyle w:val="ListBullet"/>
      </w:pPr>
      <w:r>
        <w:t>Constraint Density: How many governance constraints the audience can absorb before operational paralysis (governments = high tolerance; founders = low tolerance)</w:t>
      </w:r>
    </w:p>
    <w:p>
      <w:pPr>
        <w:pStyle w:val="ListBullet"/>
      </w:pPr>
      <w:r>
        <w:t>Accountability Depth: How many layers of human liability the audience requires (defense = maximum; VCs = minimal)</w:t>
      </w:r>
    </w:p>
    <w:p>
      <w:pPr>
        <w:pStyle w:val="ListBullet"/>
      </w:pPr>
      <w:r>
        <w:t>Information Sovereignty: How much data stays within organizational boundaries (intelligence = absolute; think tanks = permeable)</w:t>
      </w:r>
    </w:p>
    <w:p>
      <w:pPr>
        <w:pStyle w:val="ListBullet"/>
      </w:pPr>
      <w:r>
        <w:t>Temporal Horizon: Whether the audience optimizes for quarterly returns or generational stability (VCs = quarters; dynasties = centuries)</w:t>
      </w:r>
    </w:p>
    <w:p>
      <w:r>
        <w:br w:type="page"/>
      </w:r>
    </w:p>
    <w:p>
      <w:pPr>
        <w:pStyle w:val="Heading1"/>
      </w:pPr>
      <w:r>
        <w:rPr>
          <w:color w:val="000000"/>
        </w:rPr>
        <w:t>SECTION II: EXECUTIVE SOVEREIGN ENTROPY RISK SCORECARD</w:t>
      </w:r>
    </w:p>
    <w:p>
      <w:r>
        <w:rPr>
          <w:b w:val="0"/>
          <w:i/>
        </w:rPr>
        <w:t>Entropy severity scored 1-10. Higher = faster decay. Metabolic urgency = how quickly AINEFF deployment must begin to prevent irreversible damage.</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r>
              <w:rPr>
                <w:b/>
                <w:sz w:val="18"/>
              </w:rPr>
              <w:t>Audience</w:t>
            </w:r>
          </w:p>
        </w:tc>
        <w:tc>
          <w:tcPr>
            <w:tcW w:type="dxa" w:w="1152"/>
          </w:tcPr>
          <w:p>
            <w:r>
              <w:rPr>
                <w:b/>
                <w:sz w:val="18"/>
              </w:rPr>
              <w:t>Entropy Severity</w:t>
            </w:r>
          </w:p>
        </w:tc>
        <w:tc>
          <w:tcPr>
            <w:tcW w:type="dxa" w:w="1152"/>
          </w:tcPr>
          <w:p>
            <w:r>
              <w:rPr>
                <w:b/>
                <w:sz w:val="18"/>
              </w:rPr>
              <w:t>Metabolic Urgency</w:t>
            </w:r>
          </w:p>
        </w:tc>
        <w:tc>
          <w:tcPr>
            <w:tcW w:type="dxa" w:w="2880"/>
          </w:tcPr>
          <w:p>
            <w:r>
              <w:rPr>
                <w:b/>
                <w:sz w:val="18"/>
              </w:rPr>
              <w:t>Primary Entropy Vector</w:t>
            </w:r>
          </w:p>
        </w:tc>
        <w:tc>
          <w:tcPr>
            <w:tcW w:type="dxa" w:w="2304"/>
          </w:tcPr>
          <w:p>
            <w:r>
              <w:rPr>
                <w:b/>
                <w:sz w:val="18"/>
              </w:rPr>
              <w:t>AINEFF Entry Point</w:t>
            </w:r>
          </w:p>
        </w:tc>
      </w:tr>
      <w:tr>
        <w:tc>
          <w:tcPr>
            <w:tcW w:type="dxa" w:w="1872"/>
          </w:tcPr>
          <w:p>
            <w:r>
              <w:rPr>
                <w:sz w:val="18"/>
              </w:rPr>
              <w:t>1. Governments</w:t>
            </w:r>
          </w:p>
        </w:tc>
        <w:tc>
          <w:tcPr>
            <w:tcW w:type="dxa" w:w="1152"/>
          </w:tcPr>
          <w:p>
            <w:r>
              <w:rPr>
                <w:sz w:val="18"/>
              </w:rPr>
              <w:t>9/10</w:t>
            </w:r>
          </w:p>
        </w:tc>
        <w:tc>
          <w:tcPr>
            <w:tcW w:type="dxa" w:w="1152"/>
          </w:tcPr>
          <w:p>
            <w:r>
              <w:rPr>
                <w:sz w:val="18"/>
              </w:rPr>
              <w:t>CRITICAL</w:t>
            </w:r>
          </w:p>
        </w:tc>
        <w:tc>
          <w:tcPr>
            <w:tcW w:type="dxa" w:w="2880"/>
          </w:tcPr>
          <w:p>
            <w:r>
              <w:rPr>
                <w:sz w:val="18"/>
              </w:rPr>
              <w:t>Bureaucratic paralysis + information fragmentation</w:t>
            </w:r>
          </w:p>
        </w:tc>
        <w:tc>
          <w:tcPr>
            <w:tcW w:type="dxa" w:w="2304"/>
          </w:tcPr>
          <w:p>
            <w:r>
              <w:rPr>
                <w:sz w:val="18"/>
              </w:rPr>
              <w:t>Governance Boundary Layer + Policy Ingestion</w:t>
            </w:r>
          </w:p>
        </w:tc>
      </w:tr>
      <w:tr>
        <w:tc>
          <w:tcPr>
            <w:tcW w:type="dxa" w:w="1872"/>
          </w:tcPr>
          <w:p>
            <w:r>
              <w:rPr>
                <w:sz w:val="18"/>
              </w:rPr>
              <w:t>2. Defense/Intel</w:t>
            </w:r>
          </w:p>
        </w:tc>
        <w:tc>
          <w:tcPr>
            <w:tcW w:type="dxa" w:w="1152"/>
          </w:tcPr>
          <w:p>
            <w:r>
              <w:rPr>
                <w:sz w:val="18"/>
              </w:rPr>
              <w:t>8/10</w:t>
            </w:r>
          </w:p>
        </w:tc>
        <w:tc>
          <w:tcPr>
            <w:tcW w:type="dxa" w:w="1152"/>
          </w:tcPr>
          <w:p>
            <w:r>
              <w:rPr>
                <w:sz w:val="18"/>
              </w:rPr>
              <w:t>CRITICAL</w:t>
            </w:r>
          </w:p>
        </w:tc>
        <w:tc>
          <w:tcPr>
            <w:tcW w:type="dxa" w:w="2880"/>
          </w:tcPr>
          <w:p>
            <w:r>
              <w:rPr>
                <w:sz w:val="18"/>
              </w:rPr>
              <w:t>Decision latency + accountability vacuum</w:t>
            </w:r>
          </w:p>
        </w:tc>
        <w:tc>
          <w:tcPr>
            <w:tcW w:type="dxa" w:w="2304"/>
          </w:tcPr>
          <w:p>
            <w:r>
              <w:rPr>
                <w:sz w:val="18"/>
              </w:rPr>
              <w:t>Named Liable Officer Registry + Audit Trace</w:t>
            </w:r>
          </w:p>
        </w:tc>
      </w:tr>
      <w:tr>
        <w:tc>
          <w:tcPr>
            <w:tcW w:type="dxa" w:w="1872"/>
          </w:tcPr>
          <w:p>
            <w:r>
              <w:rPr>
                <w:sz w:val="18"/>
              </w:rPr>
              <w:t>3. Critical Infra</w:t>
            </w:r>
          </w:p>
        </w:tc>
        <w:tc>
          <w:tcPr>
            <w:tcW w:type="dxa" w:w="1152"/>
          </w:tcPr>
          <w:p>
            <w:r>
              <w:rPr>
                <w:sz w:val="18"/>
              </w:rPr>
              <w:t>8/10</w:t>
            </w:r>
          </w:p>
        </w:tc>
        <w:tc>
          <w:tcPr>
            <w:tcW w:type="dxa" w:w="1152"/>
          </w:tcPr>
          <w:p>
            <w:r>
              <w:rPr>
                <w:sz w:val="18"/>
              </w:rPr>
              <w:t>CRITICAL</w:t>
            </w:r>
          </w:p>
        </w:tc>
        <w:tc>
          <w:tcPr>
            <w:tcW w:type="dxa" w:w="2880"/>
          </w:tcPr>
          <w:p>
            <w:r>
              <w:rPr>
                <w:sz w:val="18"/>
              </w:rPr>
              <w:t>Operational fragility + vendor lock-in</w:t>
            </w:r>
          </w:p>
        </w:tc>
        <w:tc>
          <w:tcPr>
            <w:tcW w:type="dxa" w:w="2304"/>
          </w:tcPr>
          <w:p>
            <w:r>
              <w:rPr>
                <w:sz w:val="18"/>
              </w:rPr>
              <w:t>Enhancement Layer + Resilience Stack</w:t>
            </w:r>
          </w:p>
        </w:tc>
      </w:tr>
      <w:tr>
        <w:tc>
          <w:tcPr>
            <w:tcW w:type="dxa" w:w="1872"/>
          </w:tcPr>
          <w:p>
            <w:r>
              <w:rPr>
                <w:sz w:val="18"/>
              </w:rPr>
              <w:t>4. Intl Institutions</w:t>
            </w:r>
          </w:p>
        </w:tc>
        <w:tc>
          <w:tcPr>
            <w:tcW w:type="dxa" w:w="1152"/>
          </w:tcPr>
          <w:p>
            <w:r>
              <w:rPr>
                <w:sz w:val="18"/>
              </w:rPr>
              <w:t>9/10</w:t>
            </w:r>
          </w:p>
        </w:tc>
        <w:tc>
          <w:tcPr>
            <w:tcW w:type="dxa" w:w="1152"/>
          </w:tcPr>
          <w:p>
            <w:r>
              <w:rPr>
                <w:sz w:val="18"/>
              </w:rPr>
              <w:t>HIGH</w:t>
            </w:r>
          </w:p>
        </w:tc>
        <w:tc>
          <w:tcPr>
            <w:tcW w:type="dxa" w:w="2880"/>
          </w:tcPr>
          <w:p>
            <w:r>
              <w:rPr>
                <w:sz w:val="18"/>
              </w:rPr>
              <w:t>Coordination collapse + mandate drift</w:t>
            </w:r>
          </w:p>
        </w:tc>
        <w:tc>
          <w:tcPr>
            <w:tcW w:type="dxa" w:w="2304"/>
          </w:tcPr>
          <w:p>
            <w:r>
              <w:rPr>
                <w:sz w:val="18"/>
              </w:rPr>
              <w:t>Jurisdiction Adapter + Semantic Closure</w:t>
            </w:r>
          </w:p>
        </w:tc>
      </w:tr>
      <w:tr>
        <w:tc>
          <w:tcPr>
            <w:tcW w:type="dxa" w:w="1872"/>
          </w:tcPr>
          <w:p>
            <w:r>
              <w:rPr>
                <w:sz w:val="18"/>
              </w:rPr>
              <w:t>5. Dynasties</w:t>
            </w:r>
          </w:p>
        </w:tc>
        <w:tc>
          <w:tcPr>
            <w:tcW w:type="dxa" w:w="1152"/>
          </w:tcPr>
          <w:p>
            <w:r>
              <w:rPr>
                <w:sz w:val="18"/>
              </w:rPr>
              <w:t>7/10</w:t>
            </w:r>
          </w:p>
        </w:tc>
        <w:tc>
          <w:tcPr>
            <w:tcW w:type="dxa" w:w="1152"/>
          </w:tcPr>
          <w:p>
            <w:r>
              <w:rPr>
                <w:sz w:val="18"/>
              </w:rPr>
              <w:t>HIGH</w:t>
            </w:r>
          </w:p>
        </w:tc>
        <w:tc>
          <w:tcPr>
            <w:tcW w:type="dxa" w:w="2880"/>
          </w:tcPr>
          <w:p>
            <w:r>
              <w:rPr>
                <w:sz w:val="18"/>
              </w:rPr>
              <w:t>Succession entropy + wealth dispersion</w:t>
            </w:r>
          </w:p>
        </w:tc>
        <w:tc>
          <w:tcPr>
            <w:tcW w:type="dxa" w:w="2304"/>
          </w:tcPr>
          <w:p>
            <w:r>
              <w:rPr>
                <w:sz w:val="18"/>
              </w:rPr>
              <w:t>Authority Decay + Non-Delegable Registry</w:t>
            </w:r>
          </w:p>
        </w:tc>
      </w:tr>
      <w:tr>
        <w:tc>
          <w:tcPr>
            <w:tcW w:type="dxa" w:w="1872"/>
          </w:tcPr>
          <w:p>
            <w:r>
              <w:rPr>
                <w:sz w:val="18"/>
              </w:rPr>
              <w:t>6. Family Offices</w:t>
            </w:r>
          </w:p>
        </w:tc>
        <w:tc>
          <w:tcPr>
            <w:tcW w:type="dxa" w:w="1152"/>
          </w:tcPr>
          <w:p>
            <w:r>
              <w:rPr>
                <w:sz w:val="18"/>
              </w:rPr>
              <w:t>6/10</w:t>
            </w:r>
          </w:p>
        </w:tc>
        <w:tc>
          <w:tcPr>
            <w:tcW w:type="dxa" w:w="1152"/>
          </w:tcPr>
          <w:p>
            <w:r>
              <w:rPr>
                <w:sz w:val="18"/>
              </w:rPr>
              <w:t>MODERATE</w:t>
            </w:r>
          </w:p>
        </w:tc>
        <w:tc>
          <w:tcPr>
            <w:tcW w:type="dxa" w:w="2880"/>
          </w:tcPr>
          <w:p>
            <w:r>
              <w:rPr>
                <w:sz w:val="18"/>
              </w:rPr>
              <w:t>Incentive drift + information asymmetry</w:t>
            </w:r>
          </w:p>
        </w:tc>
        <w:tc>
          <w:tcPr>
            <w:tcW w:type="dxa" w:w="2304"/>
          </w:tcPr>
          <w:p>
            <w:r>
              <w:rPr>
                <w:sz w:val="18"/>
              </w:rPr>
              <w:t>PCI Framework + Audit Schema</w:t>
            </w:r>
          </w:p>
        </w:tc>
      </w:tr>
      <w:tr>
        <w:tc>
          <w:tcPr>
            <w:tcW w:type="dxa" w:w="1872"/>
          </w:tcPr>
          <w:p>
            <w:r>
              <w:rPr>
                <w:sz w:val="18"/>
              </w:rPr>
              <w:t>7. MNC Empires</w:t>
            </w:r>
          </w:p>
        </w:tc>
        <w:tc>
          <w:tcPr>
            <w:tcW w:type="dxa" w:w="1152"/>
          </w:tcPr>
          <w:p>
            <w:r>
              <w:rPr>
                <w:sz w:val="18"/>
              </w:rPr>
              <w:t>8/10</w:t>
            </w:r>
          </w:p>
        </w:tc>
        <w:tc>
          <w:tcPr>
            <w:tcW w:type="dxa" w:w="1152"/>
          </w:tcPr>
          <w:p>
            <w:r>
              <w:rPr>
                <w:sz w:val="18"/>
              </w:rPr>
              <w:t>HIGH</w:t>
            </w:r>
          </w:p>
        </w:tc>
        <w:tc>
          <w:tcPr>
            <w:tcW w:type="dxa" w:w="2880"/>
          </w:tcPr>
          <w:p>
            <w:r>
              <w:rPr>
                <w:sz w:val="18"/>
              </w:rPr>
              <w:t>Complexity tax + coordination friction</w:t>
            </w:r>
          </w:p>
        </w:tc>
        <w:tc>
          <w:tcPr>
            <w:tcW w:type="dxa" w:w="2304"/>
          </w:tcPr>
          <w:p>
            <w:r>
              <w:rPr>
                <w:sz w:val="18"/>
              </w:rPr>
              <w:t>Enterprise Manufacturing + State Sync</w:t>
            </w:r>
          </w:p>
        </w:tc>
      </w:tr>
      <w:tr>
        <w:tc>
          <w:tcPr>
            <w:tcW w:type="dxa" w:w="1872"/>
          </w:tcPr>
          <w:p>
            <w:r>
              <w:rPr>
                <w:sz w:val="18"/>
              </w:rPr>
              <w:t>8. Legacy Enterprises</w:t>
            </w:r>
          </w:p>
        </w:tc>
        <w:tc>
          <w:tcPr>
            <w:tcW w:type="dxa" w:w="1152"/>
          </w:tcPr>
          <w:p>
            <w:r>
              <w:rPr>
                <w:sz w:val="18"/>
              </w:rPr>
              <w:t>9/10</w:t>
            </w:r>
          </w:p>
        </w:tc>
        <w:tc>
          <w:tcPr>
            <w:tcW w:type="dxa" w:w="1152"/>
          </w:tcPr>
          <w:p>
            <w:r>
              <w:rPr>
                <w:sz w:val="18"/>
              </w:rPr>
              <w:t>CRITICAL</w:t>
            </w:r>
          </w:p>
        </w:tc>
        <w:tc>
          <w:tcPr>
            <w:tcW w:type="dxa" w:w="2880"/>
          </w:tcPr>
          <w:p>
            <w:r>
              <w:rPr>
                <w:sz w:val="18"/>
              </w:rPr>
              <w:t>Technical debt + culture calcification</w:t>
            </w:r>
          </w:p>
        </w:tc>
        <w:tc>
          <w:tcPr>
            <w:tcW w:type="dxa" w:w="2304"/>
          </w:tcPr>
          <w:p>
            <w:r>
              <w:rPr>
                <w:sz w:val="18"/>
              </w:rPr>
              <w:t>Mortality Enforcement + Venture Cells</w:t>
            </w:r>
          </w:p>
        </w:tc>
      </w:tr>
      <w:tr>
        <w:tc>
          <w:tcPr>
            <w:tcW w:type="dxa" w:w="1872"/>
          </w:tcPr>
          <w:p>
            <w:r>
              <w:rPr>
                <w:sz w:val="18"/>
              </w:rPr>
              <w:t>9. Banks/Insurers</w:t>
            </w:r>
          </w:p>
        </w:tc>
        <w:tc>
          <w:tcPr>
            <w:tcW w:type="dxa" w:w="1152"/>
          </w:tcPr>
          <w:p>
            <w:r>
              <w:rPr>
                <w:sz w:val="18"/>
              </w:rPr>
              <w:t>8/10</w:t>
            </w:r>
          </w:p>
        </w:tc>
        <w:tc>
          <w:tcPr>
            <w:tcW w:type="dxa" w:w="1152"/>
          </w:tcPr>
          <w:p>
            <w:r>
              <w:rPr>
                <w:sz w:val="18"/>
              </w:rPr>
              <w:t>CRITICAL</w:t>
            </w:r>
          </w:p>
        </w:tc>
        <w:tc>
          <w:tcPr>
            <w:tcW w:type="dxa" w:w="2880"/>
          </w:tcPr>
          <w:p>
            <w:r>
              <w:rPr>
                <w:sz w:val="18"/>
              </w:rPr>
              <w:t>Regulatory capture + model opacity</w:t>
            </w:r>
          </w:p>
        </w:tc>
        <w:tc>
          <w:tcPr>
            <w:tcW w:type="dxa" w:w="2304"/>
          </w:tcPr>
          <w:p>
            <w:r>
              <w:rPr>
                <w:sz w:val="18"/>
              </w:rPr>
              <w:t>Evidence Custody + Compliance Mapper</w:t>
            </w:r>
          </w:p>
        </w:tc>
      </w:tr>
      <w:tr>
        <w:tc>
          <w:tcPr>
            <w:tcW w:type="dxa" w:w="1872"/>
          </w:tcPr>
          <w:p>
            <w:r>
              <w:rPr>
                <w:sz w:val="18"/>
              </w:rPr>
              <w:t>10. Industry Bodies</w:t>
            </w:r>
          </w:p>
        </w:tc>
        <w:tc>
          <w:tcPr>
            <w:tcW w:type="dxa" w:w="1152"/>
          </w:tcPr>
          <w:p>
            <w:r>
              <w:rPr>
                <w:sz w:val="18"/>
              </w:rPr>
              <w:t>7/10</w:t>
            </w:r>
          </w:p>
        </w:tc>
        <w:tc>
          <w:tcPr>
            <w:tcW w:type="dxa" w:w="1152"/>
          </w:tcPr>
          <w:p>
            <w:r>
              <w:rPr>
                <w:sz w:val="18"/>
              </w:rPr>
              <w:t>MODERATE</w:t>
            </w:r>
          </w:p>
        </w:tc>
        <w:tc>
          <w:tcPr>
            <w:tcW w:type="dxa" w:w="2880"/>
          </w:tcPr>
          <w:p>
            <w:r>
              <w:rPr>
                <w:sz w:val="18"/>
              </w:rPr>
              <w:t>Relevance decay + member divergence</w:t>
            </w:r>
          </w:p>
        </w:tc>
        <w:tc>
          <w:tcPr>
            <w:tcW w:type="dxa" w:w="2304"/>
          </w:tcPr>
          <w:p>
            <w:r>
              <w:rPr>
                <w:sz w:val="18"/>
              </w:rPr>
              <w:t>Semantic Vocabulary + Coordination Ledger</w:t>
            </w:r>
          </w:p>
        </w:tc>
      </w:tr>
      <w:tr>
        <w:tc>
          <w:tcPr>
            <w:tcW w:type="dxa" w:w="1872"/>
          </w:tcPr>
          <w:p>
            <w:r>
              <w:rPr>
                <w:sz w:val="18"/>
              </w:rPr>
              <w:t>11. Education/R&amp;D</w:t>
            </w:r>
          </w:p>
        </w:tc>
        <w:tc>
          <w:tcPr>
            <w:tcW w:type="dxa" w:w="1152"/>
          </w:tcPr>
          <w:p>
            <w:r>
              <w:rPr>
                <w:sz w:val="18"/>
              </w:rPr>
              <w:t>8/10</w:t>
            </w:r>
          </w:p>
        </w:tc>
        <w:tc>
          <w:tcPr>
            <w:tcW w:type="dxa" w:w="1152"/>
          </w:tcPr>
          <w:p>
            <w:r>
              <w:rPr>
                <w:sz w:val="18"/>
              </w:rPr>
              <w:t>HIGH</w:t>
            </w:r>
          </w:p>
        </w:tc>
        <w:tc>
          <w:tcPr>
            <w:tcW w:type="dxa" w:w="2880"/>
          </w:tcPr>
          <w:p>
            <w:r>
              <w:rPr>
                <w:sz w:val="18"/>
              </w:rPr>
              <w:t>Curriculum lag + funding fragmentation</w:t>
            </w:r>
          </w:p>
        </w:tc>
        <w:tc>
          <w:tcPr>
            <w:tcW w:type="dxa" w:w="2304"/>
          </w:tcPr>
          <w:p>
            <w:r>
              <w:rPr>
                <w:sz w:val="18"/>
              </w:rPr>
              <w:t>Levelupmax Pipeline + Knowledge Gov</w:t>
            </w:r>
          </w:p>
        </w:tc>
      </w:tr>
      <w:tr>
        <w:tc>
          <w:tcPr>
            <w:tcW w:type="dxa" w:w="1872"/>
          </w:tcPr>
          <w:p>
            <w:r>
              <w:rPr>
                <w:sz w:val="18"/>
              </w:rPr>
              <w:t>12. Consulting/SIs</w:t>
            </w:r>
          </w:p>
        </w:tc>
        <w:tc>
          <w:tcPr>
            <w:tcW w:type="dxa" w:w="1152"/>
          </w:tcPr>
          <w:p>
            <w:r>
              <w:rPr>
                <w:sz w:val="18"/>
              </w:rPr>
              <w:t>6/10</w:t>
            </w:r>
          </w:p>
        </w:tc>
        <w:tc>
          <w:tcPr>
            <w:tcW w:type="dxa" w:w="1152"/>
          </w:tcPr>
          <w:p>
            <w:r>
              <w:rPr>
                <w:sz w:val="18"/>
              </w:rPr>
              <w:t>MODERATE</w:t>
            </w:r>
          </w:p>
        </w:tc>
        <w:tc>
          <w:tcPr>
            <w:tcW w:type="dxa" w:w="2880"/>
          </w:tcPr>
          <w:p>
            <w:r>
              <w:rPr>
                <w:sz w:val="18"/>
              </w:rPr>
              <w:t>Methodology stagnation + talent churn</w:t>
            </w:r>
          </w:p>
        </w:tc>
        <w:tc>
          <w:tcPr>
            <w:tcW w:type="dxa" w:w="2304"/>
          </w:tcPr>
          <w:p>
            <w:r>
              <w:rPr>
                <w:sz w:val="18"/>
              </w:rPr>
              <w:t>Operator Guild + IP Stack Licensing</w:t>
            </w:r>
          </w:p>
        </w:tc>
      </w:tr>
      <w:tr>
        <w:tc>
          <w:tcPr>
            <w:tcW w:type="dxa" w:w="1872"/>
          </w:tcPr>
          <w:p>
            <w:r>
              <w:rPr>
                <w:sz w:val="18"/>
              </w:rPr>
              <w:t>13. Investors/VCs</w:t>
            </w:r>
          </w:p>
        </w:tc>
        <w:tc>
          <w:tcPr>
            <w:tcW w:type="dxa" w:w="1152"/>
          </w:tcPr>
          <w:p>
            <w:r>
              <w:rPr>
                <w:sz w:val="18"/>
              </w:rPr>
              <w:t>7/10</w:t>
            </w:r>
          </w:p>
        </w:tc>
        <w:tc>
          <w:tcPr>
            <w:tcW w:type="dxa" w:w="1152"/>
          </w:tcPr>
          <w:p>
            <w:r>
              <w:rPr>
                <w:sz w:val="18"/>
              </w:rPr>
              <w:t>HIGH</w:t>
            </w:r>
          </w:p>
        </w:tc>
        <w:tc>
          <w:tcPr>
            <w:tcW w:type="dxa" w:w="2880"/>
          </w:tcPr>
          <w:p>
            <w:r>
              <w:rPr>
                <w:sz w:val="18"/>
              </w:rPr>
              <w:t>Portfolio entropy + information distortion</w:t>
            </w:r>
          </w:p>
        </w:tc>
        <w:tc>
          <w:tcPr>
            <w:tcW w:type="dxa" w:w="2304"/>
          </w:tcPr>
          <w:p>
            <w:r>
              <w:rPr>
                <w:sz w:val="18"/>
              </w:rPr>
              <w:t>AINEG Signal Monitoring + Kill Triggers</w:t>
            </w:r>
          </w:p>
        </w:tc>
      </w:tr>
      <w:tr>
        <w:tc>
          <w:tcPr>
            <w:tcW w:type="dxa" w:w="1872"/>
          </w:tcPr>
          <w:p>
            <w:r>
              <w:rPr>
                <w:sz w:val="18"/>
              </w:rPr>
              <w:t>14. Founders</w:t>
            </w:r>
          </w:p>
        </w:tc>
        <w:tc>
          <w:tcPr>
            <w:tcW w:type="dxa" w:w="1152"/>
          </w:tcPr>
          <w:p>
            <w:r>
              <w:rPr>
                <w:sz w:val="18"/>
              </w:rPr>
              <w:t>7/10</w:t>
            </w:r>
          </w:p>
        </w:tc>
        <w:tc>
          <w:tcPr>
            <w:tcW w:type="dxa" w:w="1152"/>
          </w:tcPr>
          <w:p>
            <w:r>
              <w:rPr>
                <w:sz w:val="18"/>
              </w:rPr>
              <w:t>HIGH</w:t>
            </w:r>
          </w:p>
        </w:tc>
        <w:tc>
          <w:tcPr>
            <w:tcW w:type="dxa" w:w="2880"/>
          </w:tcPr>
          <w:p>
            <w:r>
              <w:rPr>
                <w:sz w:val="18"/>
              </w:rPr>
              <w:t>Execution drift + scale fragility</w:t>
            </w:r>
          </w:p>
        </w:tc>
        <w:tc>
          <w:tcPr>
            <w:tcW w:type="dxa" w:w="2304"/>
          </w:tcPr>
          <w:p>
            <w:r>
              <w:rPr>
                <w:sz w:val="18"/>
              </w:rPr>
              <w:t>Venture Cell Architecture + WGE Sprints</w:t>
            </w:r>
          </w:p>
        </w:tc>
      </w:tr>
      <w:tr>
        <w:tc>
          <w:tcPr>
            <w:tcW w:type="dxa" w:w="1872"/>
          </w:tcPr>
          <w:p>
            <w:r>
              <w:rPr>
                <w:sz w:val="18"/>
              </w:rPr>
              <w:t>15. High-Risk Indiv</w:t>
            </w:r>
          </w:p>
        </w:tc>
        <w:tc>
          <w:tcPr>
            <w:tcW w:type="dxa" w:w="1152"/>
          </w:tcPr>
          <w:p>
            <w:r>
              <w:rPr>
                <w:sz w:val="18"/>
              </w:rPr>
              <w:t>8/10</w:t>
            </w:r>
          </w:p>
        </w:tc>
        <w:tc>
          <w:tcPr>
            <w:tcW w:type="dxa" w:w="1152"/>
          </w:tcPr>
          <w:p>
            <w:r>
              <w:rPr>
                <w:sz w:val="18"/>
              </w:rPr>
              <w:t>CRITICAL</w:t>
            </w:r>
          </w:p>
        </w:tc>
        <w:tc>
          <w:tcPr>
            <w:tcW w:type="dxa" w:w="2880"/>
          </w:tcPr>
          <w:p>
            <w:r>
              <w:rPr>
                <w:sz w:val="18"/>
              </w:rPr>
              <w:t>Reputational contagion + legal exposure</w:t>
            </w:r>
          </w:p>
        </w:tc>
        <w:tc>
          <w:tcPr>
            <w:tcW w:type="dxa" w:w="2304"/>
          </w:tcPr>
          <w:p>
            <w:r>
              <w:rPr>
                <w:sz w:val="18"/>
              </w:rPr>
              <w:t>Evidence Custody + Dispute Routing</w:t>
            </w:r>
          </w:p>
        </w:tc>
      </w:tr>
    </w:tbl>
    <w:p/>
    <w:p>
      <w:r>
        <w:br w:type="page"/>
      </w:r>
    </w:p>
    <w:p>
      <w:pPr>
        <w:pStyle w:val="Heading1"/>
      </w:pPr>
      <w:r>
        <w:rPr>
          <w:color w:val="000000"/>
        </w:rPr>
        <w:t>SECTION III: AUDIENCE-BY-AUDIENCE DEEP DIVE</w:t>
      </w:r>
    </w:p>
    <w:p>
      <w:pPr>
        <w:pStyle w:val="Heading2"/>
      </w:pPr>
      <w:r>
        <w:rPr>
          <w:color w:val="001E46"/>
        </w:rPr>
        <w:t>Audience 1: Governments and Ministries</w:t>
      </w:r>
    </w:p>
    <w:p>
      <w:r>
        <w:rPr>
          <w:b w:val="0"/>
          <w:i/>
          <w:sz w:val="22"/>
        </w:rPr>
        <w:t>Sovereign Administrative Infrastructure</w:t>
      </w:r>
    </w:p>
    <w:p>
      <w:pPr>
        <w:pStyle w:val="Heading3"/>
      </w:pPr>
      <w:r>
        <w:rPr>
          <w:color w:val="00285A"/>
        </w:rPr>
        <w:t>1. Entropy Vector Map</w:t>
      </w:r>
    </w:p>
    <w:p>
      <w:r>
        <w:rPr>
          <w:b/>
          <w:i w:val="0"/>
        </w:rPr>
        <w:t>Strategy:</w:t>
      </w:r>
    </w:p>
    <w:p>
      <w:r>
        <w:rPr>
          <w:b w:val="0"/>
          <w:i w:val="0"/>
        </w:rPr>
        <w:t>Electoral cycle forcing short-term optimization. Policy commitments abandoned every 4-5 years. No institutional memory architecture. Strategy resets with each administration.</w:t>
      </w:r>
    </w:p>
    <w:p>
      <w:r>
        <w:rPr>
          <w:b/>
          <w:i w:val="0"/>
        </w:rPr>
        <w:t>Operations:</w:t>
      </w:r>
    </w:p>
    <w:p>
      <w:r>
        <w:rPr>
          <w:b w:val="0"/>
          <w:i w:val="0"/>
        </w:rPr>
        <w:t>Ministry silos operating as independent fiefdoms. Cross-ministry coordination requires political capital, not mechanical process. Procurement cycles of 18-36 months for technology that becomes obsolete in 12.</w:t>
      </w:r>
    </w:p>
    <w:p>
      <w:r>
        <w:rPr>
          <w:b/>
          <w:i w:val="0"/>
        </w:rPr>
        <w:t>Incentives:</w:t>
      </w:r>
    </w:p>
    <w:p>
      <w:r>
        <w:rPr>
          <w:b w:val="0"/>
          <w:i w:val="0"/>
        </w:rPr>
        <w:t>Civil servants rewarded for process compliance, not outcome delivery. Political appointees optimizing for visibility, not impact. Contractor incentives misaligned with public value.</w:t>
      </w:r>
    </w:p>
    <w:p>
      <w:r>
        <w:rPr>
          <w:b/>
          <w:i w:val="0"/>
        </w:rPr>
        <w:t>Information:</w:t>
      </w:r>
    </w:p>
    <w:p>
      <w:r>
        <w:rPr>
          <w:b w:val="0"/>
          <w:i w:val="0"/>
        </w:rPr>
        <w:t>Classified information silos preventing coordinated intelligence. Legacy IT systems unable to integrate across departments. Data collection without analysis infrastructure.</w:t>
      </w:r>
    </w:p>
    <w:p>
      <w:r>
        <w:rPr>
          <w:b/>
          <w:i w:val="0"/>
        </w:rPr>
        <w:t>Culture:</w:t>
      </w:r>
    </w:p>
    <w:p>
      <w:r>
        <w:rPr>
          <w:b w:val="0"/>
          <w:i w:val="0"/>
        </w:rPr>
        <w:t>Risk aversion as institutional default. Innovation punished (failure is career-ending). Hierarchy enforcing conformity over capability.</w:t>
      </w:r>
    </w:p>
    <w:p>
      <w:r>
        <w:rPr>
          <w:b/>
          <w:i w:val="0"/>
        </w:rPr>
        <w:t>Capital:</w:t>
      </w:r>
    </w:p>
    <w:p>
      <w:r>
        <w:rPr>
          <w:b w:val="0"/>
          <w:i w:val="0"/>
        </w:rPr>
        <w:t>Annual budget cycles preventing multi-year investment. Capital allocation driven by political priority, not impact analysis. Waste through duplication across ministries.</w:t>
      </w:r>
    </w:p>
    <w:p>
      <w:r>
        <w:rPr>
          <w:b/>
          <w:i w:val="0"/>
        </w:rPr>
        <w:t>Governance:</w:t>
      </w:r>
    </w:p>
    <w:p>
      <w:r>
        <w:rPr>
          <w:b w:val="0"/>
          <w:i w:val="0"/>
        </w:rPr>
        <w:t>Oversight bodies that audit process, not outcomes. Regulatory frameworks written for last generation of technology. Accountability diffused across committees.</w:t>
      </w:r>
    </w:p>
    <w:p>
      <w:pPr>
        <w:pStyle w:val="Heading3"/>
      </w:pPr>
      <w:r>
        <w:rPr>
          <w:color w:val="00285A"/>
        </w:rPr>
        <w:t>2. Early Entropy Signals</w:t>
      </w:r>
    </w:p>
    <w:p>
      <w:pPr>
        <w:pStyle w:val="ListBullet"/>
      </w:pPr>
      <w:r>
        <w:t>Decision latency exceeding 90 days for routine policy implementation</w:t>
      </w:r>
    </w:p>
    <w:p>
      <w:pPr>
        <w:pStyle w:val="ListBullet"/>
      </w:pPr>
      <w:r>
        <w:t>Inter-ministry data requests taking more than 30 days</w:t>
      </w:r>
    </w:p>
    <w:p>
      <w:pPr>
        <w:pStyle w:val="ListBullet"/>
      </w:pPr>
      <w:r>
        <w:t>Technology procurement cycles exceeding 24 months</w:t>
      </w:r>
    </w:p>
    <w:p>
      <w:pPr>
        <w:pStyle w:val="ListBullet"/>
      </w:pPr>
      <w:r>
        <w:t>Staff turnover above 20% in key technical roles</w:t>
      </w:r>
    </w:p>
    <w:p>
      <w:pPr>
        <w:pStyle w:val="ListBullet"/>
      </w:pPr>
      <w:r>
        <w:t>Citizen satisfaction scores declining 3+ consecutive quarters</w:t>
      </w:r>
    </w:p>
    <w:p>
      <w:pPr>
        <w:pStyle w:val="ListBullet"/>
      </w:pPr>
      <w:r>
        <w:t>Audit findings repeating across consecutive fiscal years</w:t>
      </w:r>
    </w:p>
    <w:p>
      <w:pPr>
        <w:pStyle w:val="Heading3"/>
      </w:pPr>
      <w:r>
        <w:rPr>
          <w:color w:val="00285A"/>
        </w:rPr>
        <w:t>3. 3-5 Year Decay Model</w:t>
      </w:r>
    </w:p>
    <w:p>
      <w:r>
        <w:rPr>
          <w:b/>
          <w:i w:val="0"/>
        </w:rPr>
        <w:t>Financial:</w:t>
      </w:r>
    </w:p>
    <w:p>
      <w:r>
        <w:rPr>
          <w:b w:val="0"/>
          <w:i w:val="0"/>
        </w:rPr>
        <w:t>USD 50B-USD 200B annually in G20 nations from bureaucratic inefficiency, duplicated systems, and failed IT projects. US federal IT spend: USD 100B+/year with 25%+ classified as legacy waste.</w:t>
      </w:r>
    </w:p>
    <w:p>
      <w:r>
        <w:rPr>
          <w:b/>
          <w:i w:val="0"/>
        </w:rPr>
        <w:t>Trust:</w:t>
      </w:r>
    </w:p>
    <w:p>
      <w:r>
        <w:rPr>
          <w:b w:val="0"/>
          <w:i w:val="0"/>
        </w:rPr>
        <w:t>Public trust in government at historic lows globally (20-35% in most democracies). Each percentage point of trust erosion correlates with 2-3% increase in compliance enforcement costs.</w:t>
      </w:r>
    </w:p>
    <w:p>
      <w:r>
        <w:rPr>
          <w:b/>
          <w:i w:val="0"/>
        </w:rPr>
        <w:t>Competitive:</w:t>
      </w:r>
    </w:p>
    <w:p>
      <w:r>
        <w:rPr>
          <w:b w:val="0"/>
          <w:i w:val="0"/>
        </w:rPr>
        <w:t>Nations with faster AI governance adoption (Singapore, UAE, Estonia) attracting 3-5x more AI investment than nations still debating frameworks.</w:t>
      </w:r>
    </w:p>
    <w:p>
      <w:r>
        <w:rPr>
          <w:b/>
          <w:i w:val="0"/>
        </w:rPr>
        <w:t>Security:</w:t>
      </w:r>
    </w:p>
    <w:p>
      <w:r>
        <w:rPr>
          <w:b w:val="0"/>
          <w:i w:val="0"/>
        </w:rPr>
        <w:t>Uncoordinated AI deployment across defense, intelligence, and civilian agencies creating attack surface multiplication. Shadow AI usage in government estimated at 40%+.</w:t>
      </w:r>
    </w:p>
    <w:p>
      <w:pPr>
        <w:pStyle w:val="Heading3"/>
      </w:pPr>
      <w:r>
        <w:rPr>
          <w:color w:val="00285A"/>
        </w:rPr>
        <w:t>4. AINEFF Deployment Architecture</w:t>
      </w:r>
    </w:p>
    <w:p>
      <w:r>
        <w:rPr>
          <w:b/>
          <w:i w:val="0"/>
        </w:rPr>
        <w:t>Structural Constraints:</w:t>
      </w:r>
    </w:p>
    <w:p>
      <w:pPr>
        <w:pStyle w:val="ListBullet"/>
      </w:pPr>
      <w:r>
        <w:t>AINEFF installs mandatory decision audit trails across all AI-touching ministries (ACTS system)</w:t>
      </w:r>
    </w:p>
    <w:p>
      <w:pPr>
        <w:pStyle w:val="ListBullet"/>
      </w:pPr>
      <w:r>
        <w:t>Policy Ingestion and Enforcement System (PIES) converts legislation into machine-executable constraints in real-time</w:t>
      </w:r>
    </w:p>
    <w:p>
      <w:pPr>
        <w:pStyle w:val="ListBullet"/>
      </w:pPr>
      <w:r>
        <w:t>Jurisdiction Adapter Layer (JAL) enables sub-national variation without framework fragmentation</w:t>
      </w:r>
    </w:p>
    <w:p>
      <w:pPr>
        <w:pStyle w:val="ListBullet"/>
      </w:pPr>
      <w:r>
        <w:t>Named Liable Officer Registry (NLO-R) eliminates committee-based accountability diffusion</w:t>
      </w:r>
    </w:p>
    <w:p>
      <w:r>
        <w:rPr>
          <w:b/>
          <w:i w:val="0"/>
        </w:rPr>
        <w:t>Governance Hardening:</w:t>
      </w:r>
    </w:p>
    <w:p>
      <w:pPr>
        <w:pStyle w:val="ListBullet"/>
      </w:pPr>
      <w:r>
        <w:t>Governance Boundary Layer (GBL) creates hard perimeters between ministry AI deployments</w:t>
      </w:r>
    </w:p>
    <w:p>
      <w:pPr>
        <w:pStyle w:val="ListBullet"/>
      </w:pPr>
      <w:r>
        <w:t>Human Oversight and Escalation System (HOES) mandates human ratification for irreversible government actions</w:t>
      </w:r>
    </w:p>
    <w:p>
      <w:pPr>
        <w:pStyle w:val="ListBullet"/>
      </w:pPr>
      <w:r>
        <w:t>Authority Decay System (ADS) forces periodic re-authorization of AI decision mandates</w:t>
      </w:r>
    </w:p>
    <w:p>
      <w:pPr>
        <w:pStyle w:val="ListBullet"/>
      </w:pPr>
      <w:r>
        <w:t>Regulatory Rate-Limiter System (RRLS) prevents AI deployment faster than regulatory capacity can absorb</w:t>
      </w:r>
    </w:p>
    <w:p>
      <w:r>
        <w:rPr>
          <w:b/>
          <w:i w:val="0"/>
        </w:rPr>
        <w:t>AI-Native Coordination Layers:</w:t>
      </w:r>
    </w:p>
    <w:p>
      <w:pPr>
        <w:pStyle w:val="ListBullet"/>
      </w:pPr>
      <w:r>
        <w:t>Cross-ministry state synchronization replacing inter-departmental meetings</w:t>
      </w:r>
    </w:p>
    <w:p>
      <w:pPr>
        <w:pStyle w:val="ListBullet"/>
      </w:pPr>
      <w:r>
        <w:t>Shared semantic vocabulary (CVSS) eliminating terminology conflicts between agencies</w:t>
      </w:r>
    </w:p>
    <w:p>
      <w:pPr>
        <w:pStyle w:val="ListBullet"/>
      </w:pPr>
      <w:r>
        <w:t>Mechanical escalation triggers replacing political escalation chains</w:t>
      </w:r>
    </w:p>
    <w:p>
      <w:r>
        <w:rPr>
          <w:b/>
          <w:i w:val="0"/>
        </w:rPr>
        <w:t>Incentive Alignment Redesign:</w:t>
      </w:r>
    </w:p>
    <w:p>
      <w:pPr>
        <w:pStyle w:val="ListBullet"/>
      </w:pPr>
      <w:r>
        <w:t>Outcome-based metrics replacing process compliance metrics for civil servants</w:t>
      </w:r>
    </w:p>
    <w:p>
      <w:pPr>
        <w:pStyle w:val="ListBullet"/>
      </w:pPr>
      <w:r>
        <w:t>PCI monitoring preventing any single ministry from accumulating disproportionate AI authority</w:t>
      </w:r>
    </w:p>
    <w:p>
      <w:pPr>
        <w:pStyle w:val="ListBullet"/>
      </w:pPr>
      <w:r>
        <w:t>Conflict-of-Interest Engine (COIE) detecting procurement conflicts automatically</w:t>
      </w:r>
    </w:p>
    <w:p>
      <w:pPr>
        <w:pStyle w:val="Heading3"/>
      </w:pPr>
      <w:r>
        <w:rPr>
          <w:color w:val="00285A"/>
        </w:rPr>
        <w:t>5. Accountability Design</w:t>
      </w:r>
    </w:p>
    <w:p>
      <w:r>
        <w:rPr>
          <w:b w:val="0"/>
          <w:i w:val="0"/>
        </w:rPr>
        <w:t>Single-Point Accountability: Minister of Digital/AI as Named Liable Officer for national AI governance. Per-ministry AI Governance Officers bound to AINEFF framework. Cross-ministry Coordination Officer reporting to Cabinet.</w:t>
      </w:r>
    </w:p>
    <w:p>
      <w:r>
        <w:rPr>
          <w:b w:val="0"/>
          <w:i w:val="0"/>
        </w:rPr>
        <w:t>Decision Rights: Classification of all AI-influenced decisions into 4 tiers: Routine (automated), Significant (officer approval), Critical (minister approval), Irreversible (cabinet ratification).</w:t>
      </w:r>
    </w:p>
    <w:p>
      <w:r>
        <w:rPr>
          <w:b w:val="0"/>
          <w:i w:val="0"/>
        </w:rPr>
        <w:t>Escalation Protocol: Automatic escalation from officer to minister when: decision affects more than 100K citizens, involves cross-border implications, or triggers PCI warning threshold.</w:t>
      </w:r>
    </w:p>
    <w:p>
      <w:r>
        <w:rPr>
          <w:b w:val="0"/>
          <w:i w:val="0"/>
        </w:rPr>
        <w:t>Ratification Layers: All AI policy changes require dual ratification: technical (AINEFF compliance validation) and political (legislative committee review).</w:t>
      </w:r>
    </w:p>
    <w:p>
      <w:pPr>
        <w:pStyle w:val="Heading3"/>
      </w:pPr>
      <w:r>
        <w:rPr>
          <w:color w:val="00285A"/>
        </w:rPr>
        <w:t>6. Entropy-Reduction Metrics</w:t>
      </w:r>
    </w:p>
    <w:p>
      <w:pPr>
        <w:pStyle w:val="ListBullet"/>
      </w:pPr>
      <w:r>
        <w:t>Decision latency: Target less than 30 days for routine policy, less than 90 for significant</w:t>
      </w:r>
    </w:p>
    <w:p>
      <w:pPr>
        <w:pStyle w:val="ListBullet"/>
      </w:pPr>
      <w:r>
        <w:t>Capital efficiency: AI governance cost per citizen below USD 5/year within 3 years</w:t>
      </w:r>
    </w:p>
    <w:p>
      <w:pPr>
        <w:pStyle w:val="ListBullet"/>
      </w:pPr>
      <w:r>
        <w:t>Complexity-to-value ratio: Reduce inter-ministry coordination steps by 60% in 24 months</w:t>
      </w:r>
    </w:p>
    <w:p>
      <w:pPr>
        <w:pStyle w:val="ListBullet"/>
      </w:pPr>
      <w:r>
        <w:t>Information distortion: Cross-ministry data discrepancy below 5% within 18 months</w:t>
      </w:r>
    </w:p>
    <w:p>
      <w:pPr>
        <w:pStyle w:val="ListBullet"/>
      </w:pPr>
      <w:r>
        <w:t>Incentive coherence: 80%+ of civil servant KPIs tied to measurable citizen outcomes</w:t>
      </w:r>
    </w:p>
    <w:p>
      <w:pPr>
        <w:pStyle w:val="Heading3"/>
      </w:pPr>
      <w:r>
        <w:rPr>
          <w:color w:val="00285A"/>
        </w:rPr>
        <w:t>Thermodynamic System Model</w:t>
      </w:r>
    </w:p>
    <w:p>
      <w:r>
        <w:rPr>
          <w:b w:val="0"/>
          <w:i w:val="0"/>
        </w:rPr>
        <w:t>Energy Inputs: Tax revenue (USD 1T-USD 5T for G20), political mandate (election cycles), institutional legitimacy (centuries of accumulated trust), policy expertise (career civil servants)</w:t>
      </w:r>
    </w:p>
    <w:p>
      <w:r>
        <w:rPr>
          <w:b w:val="0"/>
          <w:i w:val="0"/>
        </w:rPr>
        <w:t>Entropy Sources: Bureaucratic process accumulation (average government process grows 3% per year in steps), regulatory capture by technology vendors, information fragmentation across 15-50 ministries, cognitive overload on cabinet members (300+ decision items per month)</w:t>
      </w:r>
    </w:p>
    <w:p>
      <w:r>
        <w:rPr>
          <w:b w:val="0"/>
          <w:i w:val="0"/>
        </w:rPr>
        <w:t>Conversion Engines: AINEFF Policy Ingestion converting law to executable constraints. State synchronization replacing 80% of inter-ministry meetings. Mortality Enforcement preventing zombie programs from consuming budget.</w:t>
      </w:r>
    </w:p>
    <w:p>
      <w:r>
        <w:rPr>
          <w:b w:val="0"/>
          <w:i w:val="0"/>
        </w:rPr>
        <w:t>Heat Sinks: Diplomatic protocol buffers (intentional slowness in international negotiations). Democratic deliberation periods. Constitutional review processes.</w:t>
      </w:r>
    </w:p>
    <w:p>
      <w:r>
        <w:rPr>
          <w:b w:val="0"/>
          <w:i w:val="0"/>
        </w:rPr>
        <w:t>Shutdown Triggers: PCI breach by any ministry above 35 triggers mandatory capability redistribution. Decision latency above 5x baseline triggers governance review. Security breach triggers full AI system freeze pending audit.</w:t>
      </w:r>
    </w:p>
    <w:p>
      <w:pPr>
        <w:pStyle w:val="Heading3"/>
      </w:pPr>
      <w:r>
        <w:rPr>
          <w:color w:val="00285A"/>
        </w:rPr>
        <w:t>Pricing Architecture</w:t>
      </w:r>
    </w:p>
    <w:p>
      <w:r>
        <w:rPr>
          <w:b w:val="0"/>
          <w:i w:val="0"/>
        </w:rPr>
        <w:t>National framework licensing: USD 5M-USD 50M/year depending on GDP. Ministry-level deployment: USD 500K-USD 5M per ministry. Cross-ministry coordination layer: USD 2M-USD 20M/year. Total addressable per G20 nation: USD 25M-USD 200M/year.</w:t>
      </w:r>
    </w:p>
    <w:p>
      <w:r>
        <w:br w:type="page"/>
      </w:r>
    </w:p>
    <w:p>
      <w:pPr>
        <w:pStyle w:val="Heading2"/>
      </w:pPr>
      <w:r>
        <w:rPr>
          <w:color w:val="001E46"/>
        </w:rPr>
        <w:t>Audience 2: Defense / Security / Intelligence</w:t>
      </w:r>
    </w:p>
    <w:p>
      <w:r>
        <w:rPr>
          <w:b w:val="0"/>
          <w:i/>
          <w:sz w:val="22"/>
        </w:rPr>
        <w:t>Sovereign Security Infrastructure</w:t>
      </w:r>
    </w:p>
    <w:p>
      <w:pPr>
        <w:pStyle w:val="Heading3"/>
      </w:pPr>
      <w:r>
        <w:rPr>
          <w:color w:val="00285A"/>
        </w:rPr>
        <w:t>1. Entropy Vector Map</w:t>
      </w:r>
    </w:p>
    <w:p>
      <w:r>
        <w:rPr>
          <w:b/>
          <w:i w:val="0"/>
        </w:rPr>
        <w:t>Strategy:</w:t>
      </w:r>
    </w:p>
    <w:p>
      <w:r>
        <w:rPr>
          <w:b w:val="0"/>
          <w:i w:val="0"/>
        </w:rPr>
        <w:t>Threat landscape evolving faster than doctrinal adaptation. AI capabilities outpacing ethical and legal frameworks. Multi-domain warfare requiring coordination that hierarchical command structures cannot deliver.</w:t>
      </w:r>
    </w:p>
    <w:p>
      <w:r>
        <w:rPr>
          <w:b/>
          <w:i w:val="0"/>
        </w:rPr>
        <w:t>Operations:</w:t>
      </w:r>
    </w:p>
    <w:p>
      <w:r>
        <w:rPr>
          <w:b w:val="0"/>
          <w:i w:val="0"/>
        </w:rPr>
        <w:t>Classification barriers preventing cross-agency intelligence fusion. Legacy weapons systems incompatible with AI integration. Procurement timelines (5-15 years) mismatched with AI development cycles (6-18 months).</w:t>
      </w:r>
    </w:p>
    <w:p>
      <w:r>
        <w:rPr>
          <w:b/>
          <w:i w:val="0"/>
        </w:rPr>
        <w:t>Incentives:</w:t>
      </w:r>
    </w:p>
    <w:p>
      <w:r>
        <w:rPr>
          <w:b w:val="0"/>
          <w:i w:val="0"/>
        </w:rPr>
        <w:t>Rank-based promotion rewarding risk avoidance over innovation. Defense contractors incentivized to extend timelines, not deliver results. Intelligence agencies competing rather than coordinating.</w:t>
      </w:r>
    </w:p>
    <w:p>
      <w:r>
        <w:rPr>
          <w:b/>
          <w:i w:val="0"/>
        </w:rPr>
        <w:t>Information:</w:t>
      </w:r>
    </w:p>
    <w:p>
      <w:r>
        <w:rPr>
          <w:b w:val="0"/>
          <w:i w:val="0"/>
        </w:rPr>
        <w:t>Over-classification creating artificial information scarcity. SIGINT/HUMINT/OSINT fusion failures. AI-generated content flooding intelligence pipelines with noise.</w:t>
      </w:r>
    </w:p>
    <w:p>
      <w:r>
        <w:rPr>
          <w:b/>
          <w:i w:val="0"/>
        </w:rPr>
        <w:t>Culture:</w:t>
      </w:r>
    </w:p>
    <w:p>
      <w:r>
        <w:rPr>
          <w:b w:val="0"/>
          <w:i w:val="0"/>
        </w:rPr>
        <w:t>Institutional resistance to autonomous systems. Chain-of-command doctrine incompatible with AI decision speed. Secrecy culture preventing lessons learned from propagating.</w:t>
      </w:r>
    </w:p>
    <w:p>
      <w:r>
        <w:rPr>
          <w:b/>
          <w:i w:val="0"/>
        </w:rPr>
        <w:t>Capital:</w:t>
      </w:r>
    </w:p>
    <w:p>
      <w:r>
        <w:rPr>
          <w:b w:val="0"/>
          <w:i w:val="0"/>
        </w:rPr>
        <w:t>Defense budgets locked into legacy platforms (ships, aircraft, bases). Procurement bureaucracy consuming 30-40% of technology budgets in overhead. Multi-year budget cycles preventing rapid capability deployment.</w:t>
      </w:r>
    </w:p>
    <w:p>
      <w:r>
        <w:rPr>
          <w:b/>
          <w:i w:val="0"/>
        </w:rPr>
        <w:t>Governance:</w:t>
      </w:r>
    </w:p>
    <w:p>
      <w:r>
        <w:rPr>
          <w:b w:val="0"/>
          <w:i w:val="0"/>
        </w:rPr>
        <w:t>Laws of armed conflict not updated for AI-enabled warfare. Accountability for autonomous weapons decisions legally ambiguous. International treaty frameworks decades behind capability.</w:t>
      </w:r>
    </w:p>
    <w:p>
      <w:pPr>
        <w:pStyle w:val="Heading3"/>
      </w:pPr>
      <w:r>
        <w:rPr>
          <w:color w:val="00285A"/>
        </w:rPr>
        <w:t>2. Early Entropy Signals</w:t>
      </w:r>
    </w:p>
    <w:p>
      <w:pPr>
        <w:pStyle w:val="ListBullet"/>
      </w:pPr>
      <w:r>
        <w:t>OODA loop times increasing despite AI tool deployment</w:t>
      </w:r>
    </w:p>
    <w:p>
      <w:pPr>
        <w:pStyle w:val="ListBullet"/>
      </w:pPr>
      <w:r>
        <w:t>Classification backlogs exceeding 12-month review cycles</w:t>
      </w:r>
    </w:p>
    <w:p>
      <w:pPr>
        <w:pStyle w:val="ListBullet"/>
      </w:pPr>
      <w:r>
        <w:t>Friendly fire or intelligence failures traced to AI system opacity</w:t>
      </w:r>
    </w:p>
    <w:p>
      <w:pPr>
        <w:pStyle w:val="ListBullet"/>
      </w:pPr>
      <w:r>
        <w:t>Adversary AI capabilities advancing faster than defensive countermeasures</w:t>
      </w:r>
    </w:p>
    <w:p>
      <w:pPr>
        <w:pStyle w:val="ListBullet"/>
      </w:pPr>
      <w:r>
        <w:t>Recruitment of AI talent declining relative to private sector</w:t>
      </w:r>
    </w:p>
    <w:p>
      <w:pPr>
        <w:pStyle w:val="ListBullet"/>
      </w:pPr>
      <w:r>
        <w:t>Cross-agency intelligence sharing declining year-over-year</w:t>
      </w:r>
    </w:p>
    <w:p>
      <w:pPr>
        <w:pStyle w:val="Heading3"/>
      </w:pPr>
      <w:r>
        <w:rPr>
          <w:color w:val="00285A"/>
        </w:rPr>
        <w:t>3. 3-5 Year Decay Model</w:t>
      </w:r>
    </w:p>
    <w:p>
      <w:r>
        <w:rPr>
          <w:b/>
          <w:i w:val="0"/>
        </w:rPr>
        <w:t>Financial:</w:t>
      </w:r>
    </w:p>
    <w:p>
      <w:r>
        <w:rPr>
          <w:b w:val="0"/>
          <w:i w:val="0"/>
        </w:rPr>
        <w:t>USD 100B+ annually in NATO nations from procurement inefficiency, duplicated systems, and failed integration programs. Single failed defense AI program can cost USD 1B-USD 10B.</w:t>
      </w:r>
    </w:p>
    <w:p>
      <w:r>
        <w:rPr>
          <w:b/>
          <w:i w:val="0"/>
        </w:rPr>
        <w:t>Trust:</w:t>
      </w:r>
    </w:p>
    <w:p>
      <w:r>
        <w:rPr>
          <w:b w:val="0"/>
          <w:i w:val="0"/>
        </w:rPr>
        <w:t>Civilian trust in military AI eroding with each autonomous weapon controversy. Allied trust fractured by incompatible AI governance standards.</w:t>
      </w:r>
    </w:p>
    <w:p>
      <w:r>
        <w:rPr>
          <w:b/>
          <w:i w:val="0"/>
        </w:rPr>
        <w:t>Competitive:</w:t>
      </w:r>
    </w:p>
    <w:p>
      <w:r>
        <w:rPr>
          <w:b w:val="0"/>
          <w:i w:val="0"/>
        </w:rPr>
        <w:t>Nations deploying governed AI decision systems achieving 3-10x faster strategic adaptation. China and Russia investing heavily in military AI without Western governance constraints.</w:t>
      </w:r>
    </w:p>
    <w:p>
      <w:r>
        <w:rPr>
          <w:b/>
          <w:i w:val="0"/>
        </w:rPr>
        <w:t>Security:</w:t>
      </w:r>
    </w:p>
    <w:p>
      <w:r>
        <w:rPr>
          <w:b w:val="0"/>
          <w:i w:val="0"/>
        </w:rPr>
        <w:t>Ungoverned AI deployment creating systemic vulnerabilities: adversarial manipulation, cascade failures, untraced decision chains in lethal systems.</w:t>
      </w:r>
    </w:p>
    <w:p>
      <w:pPr>
        <w:pStyle w:val="Heading3"/>
      </w:pPr>
      <w:r>
        <w:rPr>
          <w:color w:val="00285A"/>
        </w:rPr>
        <w:t>4. AINEFF Deployment Architecture</w:t>
      </w:r>
    </w:p>
    <w:p>
      <w:r>
        <w:rPr>
          <w:b/>
          <w:i w:val="0"/>
        </w:rPr>
        <w:t>Structural Constraints:</w:t>
      </w:r>
    </w:p>
    <w:p>
      <w:pPr>
        <w:pStyle w:val="ListBullet"/>
      </w:pPr>
      <w:r>
        <w:t>Named Liable Officer Registry (NLO-R) binds every lethal AI decision to a specific human commander</w:t>
      </w:r>
    </w:p>
    <w:p>
      <w:pPr>
        <w:pStyle w:val="ListBullet"/>
      </w:pPr>
      <w:r>
        <w:t>Semantic Snapshot at Decision Time (SSDT) preserves exact intelligence context when engagement decisions are made</w:t>
      </w:r>
    </w:p>
    <w:p>
      <w:pPr>
        <w:pStyle w:val="ListBullet"/>
      </w:pPr>
      <w:r>
        <w:t>Evidence Custody System (ECS) creates court-martial-grade audit trails for all AI-influenced operations</w:t>
      </w:r>
    </w:p>
    <w:p>
      <w:pPr>
        <w:pStyle w:val="ListBullet"/>
      </w:pPr>
      <w:r>
        <w:t>Non-Delegable Authority Registry (NDAR) prevents AI systems from making decisions reserved for human commanders</w:t>
      </w:r>
    </w:p>
    <w:p>
      <w:r>
        <w:rPr>
          <w:b/>
          <w:i w:val="0"/>
        </w:rPr>
        <w:t>Governance Hardening:</w:t>
      </w:r>
    </w:p>
    <w:p>
      <w:pPr>
        <w:pStyle w:val="ListBullet"/>
      </w:pPr>
      <w:r>
        <w:t>Sovereign Emergency Interface (SEI) provides pre-negotiated override protocols for crisis scenarios</w:t>
      </w:r>
    </w:p>
    <w:p>
      <w:pPr>
        <w:pStyle w:val="ListBullet"/>
      </w:pPr>
      <w:r>
        <w:t>Systemic Harm Forecasting System (SHFS) models second and third-order effects of AI-enabled operations</w:t>
      </w:r>
    </w:p>
    <w:p>
      <w:pPr>
        <w:pStyle w:val="ListBullet"/>
      </w:pPr>
      <w:r>
        <w:t>Human Oversight and Escalation System (HOES) enforces human-in-the-loop for all lethal decisions</w:t>
      </w:r>
    </w:p>
    <w:p>
      <w:pPr>
        <w:pStyle w:val="ListBullet"/>
      </w:pPr>
      <w:r>
        <w:t>Authority Decay System (ADS) forces re-authorization of AI operational mandates every 72 hours in active operations</w:t>
      </w:r>
    </w:p>
    <w:p>
      <w:r>
        <w:rPr>
          <w:b/>
          <w:i w:val="0"/>
        </w:rPr>
        <w:t>AI-Native Coordination Layers:</w:t>
      </w:r>
    </w:p>
    <w:p>
      <w:pPr>
        <w:pStyle w:val="ListBullet"/>
      </w:pPr>
      <w:r>
        <w:t>Cross-domain state synchronization (land/sea/air/cyber/space) through AINEFF coordination protocol</w:t>
      </w:r>
    </w:p>
    <w:p>
      <w:pPr>
        <w:pStyle w:val="ListBullet"/>
      </w:pPr>
      <w:r>
        <w:t>Intelligence fusion layer with provenance tracking and source reliability scoring</w:t>
      </w:r>
    </w:p>
    <w:p>
      <w:pPr>
        <w:pStyle w:val="ListBullet"/>
      </w:pPr>
      <w:r>
        <w:t>Coalition interoperability through Canonical Export and Fork Protocol (CEFP)</w:t>
      </w:r>
    </w:p>
    <w:p>
      <w:r>
        <w:rPr>
          <w:b/>
          <w:i w:val="0"/>
        </w:rPr>
        <w:t>Incentive Alignment Redesign:</w:t>
      </w:r>
    </w:p>
    <w:p>
      <w:pPr>
        <w:pStyle w:val="ListBullet"/>
      </w:pPr>
      <w:r>
        <w:t>Operator effectiveness metrics replacing rank-based advancement for AI-adjacent roles</w:t>
      </w:r>
    </w:p>
    <w:p>
      <w:pPr>
        <w:pStyle w:val="ListBullet"/>
      </w:pPr>
      <w:r>
        <w:t>Contractor performance gates tied to interoperability, not proprietary lock-in</w:t>
      </w:r>
    </w:p>
    <w:p>
      <w:pPr>
        <w:pStyle w:val="ListBullet"/>
      </w:pPr>
      <w:r>
        <w:t>Intelligence sharing metrics rewarding fusion, not hoarding</w:t>
      </w:r>
    </w:p>
    <w:p>
      <w:pPr>
        <w:pStyle w:val="Heading3"/>
      </w:pPr>
      <w:r>
        <w:rPr>
          <w:color w:val="00285A"/>
        </w:rPr>
        <w:t>5. Accountability Design</w:t>
      </w:r>
    </w:p>
    <w:p>
      <w:r>
        <w:rPr>
          <w:b w:val="0"/>
          <w:i w:val="0"/>
        </w:rPr>
        <w:t>Single-Point Accountability: Theater Commander as Named Liable Officer for operational AI decisions. AI Ethics Officer per unit. Intelligence Fusion Director bound to source provenance requirements.</w:t>
      </w:r>
    </w:p>
    <w:p>
      <w:r>
        <w:rPr>
          <w:b w:val="0"/>
          <w:i w:val="0"/>
        </w:rPr>
        <w:t>Decision Rights: Tiered: Advisory (AI recommends, human decides), Supervised (AI acts, human monitors), Autonomous (AI acts within hard constraints, human audits). Lethal force NEVER autonomous.</w:t>
      </w:r>
    </w:p>
    <w:p>
      <w:r>
        <w:rPr>
          <w:b w:val="0"/>
          <w:i w:val="0"/>
        </w:rPr>
        <w:t>Escalation Protocol: Automatic escalation when: engagement involves civilians, crosses international boundaries, AI confidence below 95%, or intelligence sources conflict.</w:t>
      </w:r>
    </w:p>
    <w:p>
      <w:r>
        <w:rPr>
          <w:b w:val="0"/>
          <w:i w:val="0"/>
        </w:rPr>
        <w:t>Ratification Layers: All changes to AI Rules of Engagement require dual ratification: military (commander) and legal (JAG officer).</w:t>
      </w:r>
    </w:p>
    <w:p>
      <w:pPr>
        <w:pStyle w:val="Heading3"/>
      </w:pPr>
      <w:r>
        <w:rPr>
          <w:color w:val="00285A"/>
        </w:rPr>
        <w:t>6. Entropy-Reduction Metrics</w:t>
      </w:r>
    </w:p>
    <w:p>
      <w:pPr>
        <w:pStyle w:val="ListBullet"/>
      </w:pPr>
      <w:r>
        <w:t>OODA loop: Reduce decision cycle by 50% while maintaining full audit trail</w:t>
      </w:r>
    </w:p>
    <w:p>
      <w:pPr>
        <w:pStyle w:val="ListBullet"/>
      </w:pPr>
      <w:r>
        <w:t>Capital efficiency: AI governance overhead below 5% of operational AI budget</w:t>
      </w:r>
    </w:p>
    <w:p>
      <w:pPr>
        <w:pStyle w:val="ListBullet"/>
      </w:pPr>
      <w:r>
        <w:t>Accountability trace: 100% of AI-influenced decisions traceable to named officer within 60 seconds</w:t>
      </w:r>
    </w:p>
    <w:p>
      <w:pPr>
        <w:pStyle w:val="ListBullet"/>
      </w:pPr>
      <w:r>
        <w:t>Coalition interop: Cross-ally AI system integration time below 72 hours</w:t>
      </w:r>
    </w:p>
    <w:p>
      <w:pPr>
        <w:pStyle w:val="ListBullet"/>
      </w:pPr>
      <w:r>
        <w:t>Intelligence fusion: Cross-source integration latency below 4 hours</w:t>
      </w:r>
    </w:p>
    <w:p>
      <w:pPr>
        <w:pStyle w:val="Heading3"/>
      </w:pPr>
      <w:r>
        <w:rPr>
          <w:color w:val="00285A"/>
        </w:rPr>
        <w:t>Thermodynamic System Model</w:t>
      </w:r>
    </w:p>
    <w:p>
      <w:r>
        <w:rPr>
          <w:b w:val="0"/>
          <w:i w:val="0"/>
        </w:rPr>
        <w:t>Energy Inputs: Defense budget (USD 50B-USD 800B for NATO nations), political mandate (national security), institutional legitimacy (military tradition), intelligence networks (decades of development)</w:t>
      </w:r>
    </w:p>
    <w:p>
      <w:r>
        <w:rPr>
          <w:b w:val="0"/>
          <w:i w:val="0"/>
        </w:rPr>
        <w:t>Entropy Sources: Classification barriers preventing coordination, procurement bureaucracy consuming innovation budget, adversarial AI creating novel attack vectors, doctrine lag behind capability, inter-service rivalry</w:t>
      </w:r>
    </w:p>
    <w:p>
      <w:r>
        <w:rPr>
          <w:b w:val="0"/>
          <w:i w:val="0"/>
        </w:rPr>
        <w:t>Conversion Engines: AINEFF cross-domain coordination replacing service-specific stovepipes. NLO-R converting accountability vacuum into traceable decision chains. SSDT preserving decision context for after-action review and legal defense.</w:t>
      </w:r>
    </w:p>
    <w:p>
      <w:r>
        <w:rPr>
          <w:b w:val="0"/>
          <w:i w:val="0"/>
        </w:rPr>
        <w:t>Heat Sinks: Training and simulation environments (sandboxed failure). Controlled information release programs. Red team exercises.</w:t>
      </w:r>
    </w:p>
    <w:p>
      <w:r>
        <w:rPr>
          <w:b w:val="0"/>
          <w:i w:val="0"/>
        </w:rPr>
        <w:t>Shutdown Triggers: Any AI engagement resulting in civilian casualties triggers full system audit. Intelligence source compromise triggers immediate AI access revocation. Coalition partner governance breach triggers interoperability freeze.</w:t>
      </w:r>
    </w:p>
    <w:p>
      <w:pPr>
        <w:pStyle w:val="Heading3"/>
      </w:pPr>
      <w:r>
        <w:rPr>
          <w:color w:val="00285A"/>
        </w:rPr>
        <w:t>Pricing Architecture</w:t>
      </w:r>
    </w:p>
    <w:p>
      <w:r>
        <w:rPr>
          <w:b w:val="0"/>
          <w:i w:val="0"/>
        </w:rPr>
        <w:t>National defense AI governance: USD 10M-USD 100M/year. Per-service deployment: USD 5M-USD 50M. Coalition interoperability layer: USD 20M-USD 200M (shared). Intelligence fusion governance: USD 5M-USD 50M/year.</w:t>
      </w:r>
    </w:p>
    <w:p>
      <w:r>
        <w:br w:type="page"/>
      </w:r>
    </w:p>
    <w:p>
      <w:pPr>
        <w:pStyle w:val="Heading2"/>
      </w:pPr>
      <w:r>
        <w:rPr>
          <w:color w:val="001E46"/>
        </w:rPr>
        <w:t>Audience 3: National Critical Infrastructure</w:t>
      </w:r>
    </w:p>
    <w:p>
      <w:r>
        <w:rPr>
          <w:b w:val="0"/>
          <w:i/>
          <w:sz w:val="22"/>
        </w:rPr>
        <w:t>Operational Resilience Infrastructure</w:t>
      </w:r>
    </w:p>
    <w:p>
      <w:pPr>
        <w:pStyle w:val="Heading3"/>
      </w:pPr>
      <w:r>
        <w:rPr>
          <w:color w:val="00285A"/>
        </w:rPr>
        <w:t>1. Entropy Vector Map</w:t>
      </w:r>
    </w:p>
    <w:p>
      <w:r>
        <w:rPr>
          <w:b/>
          <w:i w:val="0"/>
        </w:rPr>
        <w:t>Strategy:</w:t>
      </w:r>
    </w:p>
    <w:p>
      <w:r>
        <w:rPr>
          <w:b w:val="0"/>
          <w:i w:val="0"/>
        </w:rPr>
        <w:t>Deferred maintenance creating hidden fragility. Electrification and AI demand exceeding grid capacity planning. Climate change invalidating 50-year infrastructure assumptions.</w:t>
      </w:r>
    </w:p>
    <w:p>
      <w:r>
        <w:rPr>
          <w:b/>
          <w:i w:val="0"/>
        </w:rPr>
        <w:t>Operations:</w:t>
      </w:r>
    </w:p>
    <w:p>
      <w:r>
        <w:rPr>
          <w:b w:val="0"/>
          <w:i w:val="0"/>
        </w:rPr>
        <w:t>SCADA/OT systems designed before cybersecurity existed. Workforce aging with 40%+ retirement eligibility in 5 years. Real-time monitoring gaps in 60%+ of critical systems.</w:t>
      </w:r>
    </w:p>
    <w:p>
      <w:r>
        <w:rPr>
          <w:b/>
          <w:i w:val="0"/>
        </w:rPr>
        <w:t>Incentives:</w:t>
      </w:r>
    </w:p>
    <w:p>
      <w:r>
        <w:rPr>
          <w:b w:val="0"/>
          <w:i w:val="0"/>
        </w:rPr>
        <w:t>Regulated utilities incentivized to minimize capex, not maximize resilience. Private operators optimizing for quarterly returns over long-term reliability. Insurance underpricing catastrophic risk.</w:t>
      </w:r>
    </w:p>
    <w:p>
      <w:r>
        <w:rPr>
          <w:b/>
          <w:i w:val="0"/>
        </w:rPr>
        <w:t>Information:</w:t>
      </w:r>
    </w:p>
    <w:p>
      <w:r>
        <w:rPr>
          <w:b w:val="0"/>
          <w:i w:val="0"/>
        </w:rPr>
        <w:t>Asset condition data fragmented across operators. No standardized risk reporting across infrastructure sectors. Cyber-physical threat intelligence not integrated with operational data.</w:t>
      </w:r>
    </w:p>
    <w:p>
      <w:r>
        <w:rPr>
          <w:b/>
          <w:i w:val="0"/>
        </w:rPr>
        <w:t>Culture:</w:t>
      </w:r>
    </w:p>
    <w:p>
      <w:r>
        <w:rPr>
          <w:b w:val="0"/>
          <w:i w:val="0"/>
        </w:rPr>
        <w:t>Engineering culture resistant to AI-augmented decision-making. Safety culture creating risk aversion that prevents necessary system upgrades. Siloed expertise preventing cross-sector learning.</w:t>
      </w:r>
    </w:p>
    <w:p>
      <w:r>
        <w:rPr>
          <w:b/>
          <w:i w:val="0"/>
        </w:rPr>
        <w:t>Capital:</w:t>
      </w:r>
    </w:p>
    <w:p>
      <w:r>
        <w:rPr>
          <w:b w:val="0"/>
          <w:i w:val="0"/>
        </w:rPr>
        <w:t>USD 4.6T US infrastructure gap (ASCE estimate). Grid interconnection queues exceeding 7 years. Private capital reluctant to fund long-payback resilience investments.</w:t>
      </w:r>
    </w:p>
    <w:p>
      <w:r>
        <w:rPr>
          <w:b/>
          <w:i w:val="0"/>
        </w:rPr>
        <w:t>Governance:</w:t>
      </w:r>
    </w:p>
    <w:p>
      <w:r>
        <w:rPr>
          <w:b w:val="0"/>
          <w:i w:val="0"/>
        </w:rPr>
        <w:t>Regulatory frameworks fragmented across federal/state/local jurisdictions. No unified AI governance standard for critical infrastructure. Liability for AI-caused infrastructure failures legally untested.</w:t>
      </w:r>
    </w:p>
    <w:p>
      <w:pPr>
        <w:pStyle w:val="Heading3"/>
      </w:pPr>
      <w:r>
        <w:rPr>
          <w:color w:val="00285A"/>
        </w:rPr>
        <w:t>2. Early Entropy Signals</w:t>
      </w:r>
    </w:p>
    <w:p>
      <w:pPr>
        <w:pStyle w:val="ListBullet"/>
      </w:pPr>
      <w:r>
        <w:t>Grid frequency deviations increasing in frequency and duration</w:t>
      </w:r>
    </w:p>
    <w:p>
      <w:pPr>
        <w:pStyle w:val="ListBullet"/>
      </w:pPr>
      <w:r>
        <w:t>Cybersecurity incidents at infrastructure operators up 40%+ year-over-year</w:t>
      </w:r>
    </w:p>
    <w:p>
      <w:pPr>
        <w:pStyle w:val="ListBullet"/>
      </w:pPr>
      <w:r>
        <w:t>Workforce vacancy rates in critical operations exceeding 15%</w:t>
      </w:r>
    </w:p>
    <w:p>
      <w:pPr>
        <w:pStyle w:val="ListBullet"/>
      </w:pPr>
      <w:r>
        <w:t>Insurance premiums for infrastructure operators rising 20%+ annually</w:t>
      </w:r>
    </w:p>
    <w:p>
      <w:pPr>
        <w:pStyle w:val="ListBullet"/>
      </w:pPr>
      <w:r>
        <w:t>Cross-sector cascade events (e.g., power outage causing telecom failure) increasing</w:t>
      </w:r>
    </w:p>
    <w:p>
      <w:pPr>
        <w:pStyle w:val="ListBullet"/>
      </w:pPr>
      <w:r>
        <w:t>AI system false positive rates in monitoring exceeding 10%</w:t>
      </w:r>
    </w:p>
    <w:p>
      <w:pPr>
        <w:pStyle w:val="Heading3"/>
      </w:pPr>
      <w:r>
        <w:rPr>
          <w:color w:val="00285A"/>
        </w:rPr>
        <w:t>3. 3-5 Year Decay Model</w:t>
      </w:r>
    </w:p>
    <w:p>
      <w:r>
        <w:rPr>
          <w:b/>
          <w:i w:val="0"/>
        </w:rPr>
        <w:t>Financial:</w:t>
      </w:r>
    </w:p>
    <w:p>
      <w:r>
        <w:rPr>
          <w:b w:val="0"/>
          <w:i w:val="0"/>
        </w:rPr>
        <w:t>Single major infrastructure failure: USD 1B-USD 50B (Colonial Pipeline: USD 4.4B total impact). Deferred maintenance accumulating at USD 500B+/year globally.</w:t>
      </w:r>
    </w:p>
    <w:p>
      <w:r>
        <w:rPr>
          <w:b/>
          <w:i w:val="0"/>
        </w:rPr>
        <w:t>Trust:</w:t>
      </w:r>
    </w:p>
    <w:p>
      <w:r>
        <w:rPr>
          <w:b w:val="0"/>
          <w:i w:val="0"/>
        </w:rPr>
        <w:t>Each infrastructure failure erodes public trust in government competence. Utilities facing customer defection to distributed generation/storage.</w:t>
      </w:r>
    </w:p>
    <w:p>
      <w:r>
        <w:rPr>
          <w:b/>
          <w:i w:val="0"/>
        </w:rPr>
        <w:t>Competitive:</w:t>
      </w:r>
    </w:p>
    <w:p>
      <w:r>
        <w:rPr>
          <w:b w:val="0"/>
          <w:i w:val="0"/>
        </w:rPr>
        <w:t>Nations with resilient, AI-governed infrastructure attracting 2-5x more datacenter and manufacturing investment.</w:t>
      </w:r>
    </w:p>
    <w:p>
      <w:r>
        <w:rPr>
          <w:b/>
          <w:i w:val="0"/>
        </w:rPr>
        <w:t>Security:</w:t>
      </w:r>
    </w:p>
    <w:p>
      <w:r>
        <w:rPr>
          <w:b w:val="0"/>
          <w:i w:val="0"/>
        </w:rPr>
        <w:t>Critical infrastructure as primary cyber-warfare target. AI-enabled attacks on SCADA systems increasing 300%+ since 2023.</w:t>
      </w:r>
    </w:p>
    <w:p>
      <w:pPr>
        <w:pStyle w:val="Heading3"/>
      </w:pPr>
      <w:r>
        <w:rPr>
          <w:color w:val="00285A"/>
        </w:rPr>
        <w:t>4. AINEFF Deployment Architecture</w:t>
      </w:r>
    </w:p>
    <w:p>
      <w:r>
        <w:rPr>
          <w:b/>
          <w:i w:val="0"/>
        </w:rPr>
        <w:t>Structural Constraints:</w:t>
      </w:r>
    </w:p>
    <w:p>
      <w:pPr>
        <w:pStyle w:val="ListBullet"/>
      </w:pPr>
      <w:r>
        <w:t>Enhancement Layer Tier 1 (Foundational Safety) deployed across all SCADA/OT-connected AI systems</w:t>
      </w:r>
    </w:p>
    <w:p>
      <w:pPr>
        <w:pStyle w:val="ListBullet"/>
      </w:pPr>
      <w:r>
        <w:t>Error Containment System isolates failures to prevent cascade effects</w:t>
      </w:r>
    </w:p>
    <w:p>
      <w:pPr>
        <w:pStyle w:val="ListBullet"/>
      </w:pPr>
      <w:r>
        <w:t>Rate Limiting Controller prevents AI-driven infrastructure overload</w:t>
      </w:r>
    </w:p>
    <w:p>
      <w:pPr>
        <w:pStyle w:val="ListBullet"/>
      </w:pPr>
      <w:r>
        <w:t>Fallback and Graceful Degradation maintains minimum service during AI system failures</w:t>
      </w:r>
    </w:p>
    <w:p>
      <w:r>
        <w:rPr>
          <w:b/>
          <w:i w:val="0"/>
        </w:rPr>
        <w:t>Governance Hardening:</w:t>
      </w:r>
    </w:p>
    <w:p>
      <w:pPr>
        <w:pStyle w:val="ListBullet"/>
      </w:pPr>
      <w:r>
        <w:t>Vendor Independence Monitor (Enhancement Tier 4) prevents single-vendor lock-in for critical systems</w:t>
      </w:r>
    </w:p>
    <w:p>
      <w:pPr>
        <w:pStyle w:val="ListBullet"/>
      </w:pPr>
      <w:r>
        <w:t>Supply Chain Integrity Checker validates AI component provenance</w:t>
      </w:r>
    </w:p>
    <w:p>
      <w:pPr>
        <w:pStyle w:val="ListBullet"/>
      </w:pPr>
      <w:r>
        <w:t>Cross-Border Transfer Controller governs data flows for multi-national infrastructure operators</w:t>
      </w:r>
    </w:p>
    <w:p>
      <w:pPr>
        <w:pStyle w:val="ListBullet"/>
      </w:pPr>
      <w:r>
        <w:t>Disaster Recovery Orchestrator provides automated failover for AI-governed systems</w:t>
      </w:r>
    </w:p>
    <w:p>
      <w:r>
        <w:rPr>
          <w:b/>
          <w:i w:val="0"/>
        </w:rPr>
        <w:t>AI-Native Coordination Layers:</w:t>
      </w:r>
    </w:p>
    <w:p>
      <w:pPr>
        <w:pStyle w:val="ListBullet"/>
      </w:pPr>
      <w:r>
        <w:t>Cross-sector state synchronization (power + telecom + water + transport)</w:t>
      </w:r>
    </w:p>
    <w:p>
      <w:pPr>
        <w:pStyle w:val="ListBullet"/>
      </w:pPr>
      <w:r>
        <w:t>Real-time risk scoring with automatic operator escalation</w:t>
      </w:r>
    </w:p>
    <w:p>
      <w:pPr>
        <w:pStyle w:val="ListBullet"/>
      </w:pPr>
      <w:r>
        <w:t>Federated analytics across operators without centralizing sensitive operational data</w:t>
      </w:r>
    </w:p>
    <w:p>
      <w:r>
        <w:rPr>
          <w:b/>
          <w:i w:val="0"/>
        </w:rPr>
        <w:t>Incentive Alignment Redesign:</w:t>
      </w:r>
    </w:p>
    <w:p>
      <w:pPr>
        <w:pStyle w:val="ListBullet"/>
      </w:pPr>
      <w:r>
        <w:t>Resilience metrics embedded in regulatory rate cases for utilities</w:t>
      </w:r>
    </w:p>
    <w:p>
      <w:pPr>
        <w:pStyle w:val="ListBullet"/>
      </w:pPr>
      <w:r>
        <w:t>Insurance premium reduction tied to AINEFF governance adoption</w:t>
      </w:r>
    </w:p>
    <w:p>
      <w:pPr>
        <w:pStyle w:val="ListBullet"/>
      </w:pPr>
      <w:r>
        <w:t>Cross-sector coordination bonuses for operators sharing threat intelligence</w:t>
      </w:r>
    </w:p>
    <w:p>
      <w:pPr>
        <w:pStyle w:val="Heading3"/>
      </w:pPr>
      <w:r>
        <w:rPr>
          <w:color w:val="00285A"/>
        </w:rPr>
        <w:t>5. Accountability Design</w:t>
      </w:r>
    </w:p>
    <w:p>
      <w:r>
        <w:rPr>
          <w:b w:val="0"/>
          <w:i w:val="0"/>
        </w:rPr>
        <w:t>Single-Point Accountability: Chief Resilience Officer per infrastructure operator as Named Liable Officer. Sector Coordination Officers for cross-infrastructure dependencies. National Infrastructure AI Governance Authority.</w:t>
      </w:r>
    </w:p>
    <w:p>
      <w:r>
        <w:rPr>
          <w:b w:val="0"/>
          <w:i w:val="0"/>
        </w:rPr>
        <w:t>Decision Rights: Operational: automated within safety constraints. Significant: operator approval. Critical: regulator notification. Emergency: pre-authorized response with immediate human review.</w:t>
      </w:r>
    </w:p>
    <w:p>
      <w:r>
        <w:rPr>
          <w:b w:val="0"/>
          <w:i w:val="0"/>
        </w:rPr>
        <w:t>Escalation Protocol: Automatic when: system operates outside design parameters, cascading failure detected across sectors, cyber intrusion confirmed, or public safety threshold breached.</w:t>
      </w:r>
    </w:p>
    <w:p>
      <w:r>
        <w:rPr>
          <w:b w:val="0"/>
          <w:i w:val="0"/>
        </w:rPr>
        <w:t>Ratification Layers: All AI system changes in critical infrastructure require dual ratification: technical (engineering review) and regulatory (safety authority approval).</w:t>
      </w:r>
    </w:p>
    <w:p>
      <w:pPr>
        <w:pStyle w:val="Heading3"/>
      </w:pPr>
      <w:r>
        <w:rPr>
          <w:color w:val="00285A"/>
        </w:rPr>
        <w:t>6. Entropy-Reduction Metrics</w:t>
      </w:r>
    </w:p>
    <w:p>
      <w:pPr>
        <w:pStyle w:val="ListBullet"/>
      </w:pPr>
      <w:r>
        <w:t>Mean Time to Detect anomaly: below 30 seconds for AI-monitored systems</w:t>
      </w:r>
    </w:p>
    <w:p>
      <w:pPr>
        <w:pStyle w:val="ListBullet"/>
      </w:pPr>
      <w:r>
        <w:t>Cascade prevention: zero cross-sector cascade events caused by AI system failures</w:t>
      </w:r>
    </w:p>
    <w:p>
      <w:pPr>
        <w:pStyle w:val="ListBullet"/>
      </w:pPr>
      <w:r>
        <w:t>Workforce augmentation: 40% reduction in routine monitoring tasks, redeployed to critical analysis</w:t>
      </w:r>
    </w:p>
    <w:p>
      <w:pPr>
        <w:pStyle w:val="ListBullet"/>
      </w:pPr>
      <w:r>
        <w:t>Resilience score: infrastructure uptime above 99.99% for AI-governed systems</w:t>
      </w:r>
    </w:p>
    <w:p>
      <w:pPr>
        <w:pStyle w:val="ListBullet"/>
      </w:pPr>
      <w:r>
        <w:t>Vendor independence: no single AI vendor representing more than 30% of critical infrastructure AI</w:t>
      </w:r>
    </w:p>
    <w:p>
      <w:pPr>
        <w:pStyle w:val="Heading3"/>
      </w:pPr>
      <w:r>
        <w:rPr>
          <w:color w:val="00285A"/>
        </w:rPr>
        <w:t>Thermodynamic System Model</w:t>
      </w:r>
    </w:p>
    <w:p>
      <w:r>
        <w:rPr>
          <w:b w:val="0"/>
          <w:i w:val="0"/>
        </w:rPr>
        <w:t>Energy Inputs: Regulated revenue streams (USD 100B+/year US utilities alone), essential service mandate, physical asset base (USD 10T+ replacement value), workforce expertise</w:t>
      </w:r>
    </w:p>
    <w:p>
      <w:r>
        <w:rPr>
          <w:b w:val="0"/>
          <w:i w:val="0"/>
        </w:rPr>
        <w:t>Entropy Sources: Aging workforce (knowledge loss), deferred maintenance (hidden fragility), cyber threats (attack surface expansion), regulatory fragmentation (compliance overhead), climate change (design assumption invalidation)</w:t>
      </w:r>
    </w:p>
    <w:p>
      <w:r>
        <w:rPr>
          <w:b w:val="0"/>
          <w:i w:val="0"/>
        </w:rPr>
        <w:t>Conversion Engines: AINEFF Enhancement Layer converting manual monitoring to AI-augmented surveillance. Cross-sector coordination replacing isolated incident response. Predictive maintenance replacing reactive repair.</w:t>
      </w:r>
    </w:p>
    <w:p>
      <w:r>
        <w:rPr>
          <w:b w:val="0"/>
          <w:i w:val="0"/>
        </w:rPr>
        <w:t>Heat Sinks: Planned maintenance windows. Backup generation capacity. Geographic redundancy. Emergency mutual aid agreements.</w:t>
      </w:r>
    </w:p>
    <w:p>
      <w:r>
        <w:rPr>
          <w:b w:val="0"/>
          <w:i w:val="0"/>
        </w:rPr>
        <w:t>Shutdown Triggers: Any AI-caused service disruption affecting 100K+ people triggers immediate AI system isolation. Cybersecurity breach triggers full AI disconnection pending forensic review. Safety system override by AI triggers permanent human-only mode for that subsystem.</w:t>
      </w:r>
    </w:p>
    <w:p>
      <w:pPr>
        <w:pStyle w:val="Heading3"/>
      </w:pPr>
      <w:r>
        <w:rPr>
          <w:color w:val="00285A"/>
        </w:rPr>
        <w:t>Pricing Architecture</w:t>
      </w:r>
    </w:p>
    <w:p>
      <w:r>
        <w:rPr>
          <w:b w:val="0"/>
          <w:i w:val="0"/>
        </w:rPr>
        <w:t>Per-operator governance deployment: USD 500K-USD 5M. Sector coordination layer: USD 5M-USD 20M. National resilience dashboard: USD 2M-USD 10M/year. Total per G20 nation: USD 50M-USD 200M/year.</w:t>
      </w:r>
    </w:p>
    <w:p>
      <w:r>
        <w:br w:type="page"/>
      </w:r>
    </w:p>
    <w:p>
      <w:pPr>
        <w:pStyle w:val="Heading2"/>
      </w:pPr>
      <w:r>
        <w:rPr>
          <w:color w:val="001E46"/>
        </w:rPr>
        <w:t>Audience 4: International Institutions (UN / EU / AU / GCC / ASEAN)</w:t>
      </w:r>
    </w:p>
    <w:p>
      <w:r>
        <w:rPr>
          <w:b w:val="0"/>
          <w:i/>
          <w:sz w:val="22"/>
        </w:rPr>
        <w:t>Multi-Lateral Coordination Infrastructure</w:t>
      </w:r>
    </w:p>
    <w:p>
      <w:pPr>
        <w:pStyle w:val="Heading3"/>
      </w:pPr>
      <w:r>
        <w:rPr>
          <w:color w:val="00285A"/>
        </w:rPr>
        <w:t>1. Primary Entropy Vector</w:t>
      </w:r>
    </w:p>
    <w:p>
      <w:r>
        <w:rPr>
          <w:b w:val="0"/>
          <w:i w:val="0"/>
        </w:rPr>
        <w:t>Mandate creep without execution capacity</w:t>
      </w:r>
    </w:p>
    <w:p>
      <w:pPr>
        <w:pStyle w:val="Heading3"/>
      </w:pPr>
      <w:r>
        <w:rPr>
          <w:color w:val="00285A"/>
        </w:rPr>
        <w:t>2. Decay Model</w:t>
      </w:r>
    </w:p>
    <w:p>
      <w:r>
        <w:rPr>
          <w:b w:val="0"/>
          <w:i w:val="0"/>
        </w:rPr>
        <w:t>Coordination collapse across 100+ member states with competing interests</w:t>
      </w:r>
    </w:p>
    <w:p>
      <w:pPr>
        <w:pStyle w:val="Heading3"/>
      </w:pPr>
      <w:r>
        <w:rPr>
          <w:color w:val="00285A"/>
        </w:rPr>
        <w:t>3. Financial Impact</w:t>
      </w:r>
    </w:p>
    <w:p>
      <w:r>
        <w:rPr>
          <w:b w:val="0"/>
          <w:i w:val="0"/>
        </w:rPr>
        <w:t>USD 500M-USD 2B annually in coordination overhead across major institutions. Treaty compliance monitoring consuming 30%+ of operational budgets.</w:t>
      </w:r>
    </w:p>
    <w:p>
      <w:pPr>
        <w:pStyle w:val="Heading3"/>
      </w:pPr>
      <w:r>
        <w:rPr>
          <w:color w:val="00285A"/>
        </w:rPr>
        <w:t>4. AINEFF Deployment Architecture</w:t>
      </w:r>
    </w:p>
    <w:p>
      <w:r>
        <w:rPr>
          <w:b w:val="0"/>
          <w:i w:val="0"/>
        </w:rPr>
        <w:t>Jurisdiction Adapter Layer harmonizes governance across legal systems. Semantic Closure System prevents meaning inflation in multi-lingual policy. Canonical Export Protocol enables framework interoperability.</w:t>
      </w:r>
    </w:p>
    <w:p>
      <w:pPr>
        <w:pStyle w:val="Heading3"/>
      </w:pPr>
      <w:r>
        <w:rPr>
          <w:color w:val="00285A"/>
        </w:rPr>
        <w:t>5. Accountability Design</w:t>
      </w:r>
    </w:p>
    <w:p>
      <w:r>
        <w:rPr>
          <w:b w:val="0"/>
          <w:i w:val="0"/>
        </w:rPr>
        <w:t>Secretary-General as framework steward. Per-department AI Governance Officers. Member state liaison officers bound to AINEFF reporting.</w:t>
      </w:r>
    </w:p>
    <w:p>
      <w:pPr>
        <w:pStyle w:val="Heading3"/>
      </w:pPr>
      <w:r>
        <w:rPr>
          <w:color w:val="00285A"/>
        </w:rPr>
        <w:t>6. Pricing Architecture</w:t>
      </w:r>
    </w:p>
    <w:p>
      <w:r>
        <w:rPr>
          <w:b w:val="0"/>
          <w:i w:val="0"/>
        </w:rPr>
        <w:t>Framework licensing: USD 2M-USD 20M/year per institution. Member state deployment: USD 500K-USD 5M each. Cross-institutional coordination: USD 5M-USD 50M/year.</w:t>
      </w:r>
    </w:p>
    <w:p>
      <w:r>
        <w:br w:type="page"/>
      </w:r>
    </w:p>
    <w:p>
      <w:pPr>
        <w:pStyle w:val="Heading2"/>
      </w:pPr>
      <w:r>
        <w:rPr>
          <w:color w:val="001E46"/>
        </w:rPr>
        <w:t>Audience 5: Dynasties and Royal Houses</w:t>
      </w:r>
    </w:p>
    <w:p>
      <w:r>
        <w:rPr>
          <w:b w:val="0"/>
          <w:i/>
          <w:sz w:val="22"/>
        </w:rPr>
        <w:t>Generational Sovereignty Infrastructure</w:t>
      </w:r>
    </w:p>
    <w:p>
      <w:pPr>
        <w:pStyle w:val="Heading3"/>
      </w:pPr>
      <w:r>
        <w:rPr>
          <w:color w:val="00285A"/>
        </w:rPr>
        <w:t>1. Primary Entropy Vector</w:t>
      </w:r>
    </w:p>
    <w:p>
      <w:r>
        <w:rPr>
          <w:b w:val="0"/>
          <w:i w:val="0"/>
        </w:rPr>
        <w:t>Succession entropy and intergenerational wealth/power dispersion</w:t>
      </w:r>
    </w:p>
    <w:p>
      <w:pPr>
        <w:pStyle w:val="Heading3"/>
      </w:pPr>
      <w:r>
        <w:rPr>
          <w:color w:val="00285A"/>
        </w:rPr>
        <w:t>2. Decay Model</w:t>
      </w:r>
    </w:p>
    <w:p>
      <w:r>
        <w:rPr>
          <w:b w:val="0"/>
          <w:i w:val="0"/>
        </w:rPr>
        <w:t>Average dynasty wealth half-life: 3 generations. Power concentration in aging patriarchs creating single-point-of-failure.</w:t>
      </w:r>
    </w:p>
    <w:p>
      <w:pPr>
        <w:pStyle w:val="Heading3"/>
      </w:pPr>
      <w:r>
        <w:rPr>
          <w:color w:val="00285A"/>
        </w:rPr>
        <w:t>3. Financial Impact</w:t>
      </w:r>
    </w:p>
    <w:p>
      <w:r>
        <w:rPr>
          <w:b w:val="0"/>
          <w:i w:val="0"/>
        </w:rPr>
        <w:t>Average high-net-worth family loses 70% of wealth by second generation, 90% by third. Succession disputes cost USD 100M-USD 1B+ in legal fees and lost opportunities.</w:t>
      </w:r>
    </w:p>
    <w:p>
      <w:pPr>
        <w:pStyle w:val="Heading3"/>
      </w:pPr>
      <w:r>
        <w:rPr>
          <w:color w:val="00285A"/>
        </w:rPr>
        <w:t>4. AINEFF Deployment Architecture</w:t>
      </w:r>
    </w:p>
    <w:p>
      <w:r>
        <w:rPr>
          <w:b w:val="0"/>
          <w:i w:val="0"/>
        </w:rPr>
        <w:t>Authority Decay System forces periodic re-authorization of family governance mandates. Non-Delegable Authority Registry identifies decisions that must remain with principal family members. PCI monitoring prevents any branch from accumulating disproportionate control.</w:t>
      </w:r>
    </w:p>
    <w:p>
      <w:pPr>
        <w:pStyle w:val="Heading3"/>
      </w:pPr>
      <w:r>
        <w:rPr>
          <w:color w:val="00285A"/>
        </w:rPr>
        <w:t>5. Accountability Design</w:t>
      </w:r>
    </w:p>
    <w:p>
      <w:r>
        <w:rPr>
          <w:b w:val="0"/>
          <w:i w:val="0"/>
        </w:rPr>
        <w:t>Family patriarch/matriarch as Constitutional Authority. Next-generation Governance Board. External Stewardship Officer as independent accountability anchor.</w:t>
      </w:r>
    </w:p>
    <w:p>
      <w:pPr>
        <w:pStyle w:val="Heading3"/>
      </w:pPr>
      <w:r>
        <w:rPr>
          <w:color w:val="00285A"/>
        </w:rPr>
        <w:t>6. Pricing Architecture</w:t>
      </w:r>
    </w:p>
    <w:p>
      <w:r>
        <w:rPr>
          <w:b w:val="0"/>
          <w:i w:val="0"/>
        </w:rPr>
        <w:t>Family governance framework: USD 500K-USD 5M initial deployment. Annual governance operations: USD 200K-USD 2M. Succession planning architecture: USD 1M-USD 10M per transition.</w:t>
      </w:r>
    </w:p>
    <w:p>
      <w:r>
        <w:br w:type="page"/>
      </w:r>
    </w:p>
    <w:p>
      <w:pPr>
        <w:pStyle w:val="Heading2"/>
      </w:pPr>
      <w:r>
        <w:rPr>
          <w:color w:val="001E46"/>
        </w:rPr>
        <w:t>Audience 6: Family Offices</w:t>
      </w:r>
    </w:p>
    <w:p>
      <w:r>
        <w:rPr>
          <w:b w:val="0"/>
          <w:i/>
          <w:sz w:val="22"/>
        </w:rPr>
        <w:t>Capital Preservation Infrastructure</w:t>
      </w:r>
    </w:p>
    <w:p>
      <w:pPr>
        <w:pStyle w:val="Heading3"/>
      </w:pPr>
      <w:r>
        <w:rPr>
          <w:color w:val="00285A"/>
        </w:rPr>
        <w:t>1. Primary Entropy Vector</w:t>
      </w:r>
    </w:p>
    <w:p>
      <w:r>
        <w:rPr>
          <w:b w:val="0"/>
          <w:i w:val="0"/>
        </w:rPr>
        <w:t>Investment drift and information asymmetry with external managers</w:t>
      </w:r>
    </w:p>
    <w:p>
      <w:pPr>
        <w:pStyle w:val="Heading3"/>
      </w:pPr>
      <w:r>
        <w:rPr>
          <w:color w:val="00285A"/>
        </w:rPr>
        <w:t>2. Decay Model</w:t>
      </w:r>
    </w:p>
    <w:p>
      <w:r>
        <w:rPr>
          <w:b w:val="0"/>
          <w:i w:val="0"/>
        </w:rPr>
        <w:t>Average family office pays 2-3% in total fees while receiving generic allocation advice. 60%+ lack real-time portfolio governance.</w:t>
      </w:r>
    </w:p>
    <w:p>
      <w:pPr>
        <w:pStyle w:val="Heading3"/>
      </w:pPr>
      <w:r>
        <w:rPr>
          <w:color w:val="00285A"/>
        </w:rPr>
        <w:t>3. Financial Impact</w:t>
      </w:r>
    </w:p>
    <w:p>
      <w:r>
        <w:rPr>
          <w:b w:val="0"/>
          <w:i w:val="0"/>
        </w:rPr>
        <w:t>Family offices with less than USD 500M AUM losing 1-3% annually to information asymmetry. Average allocation review cycle: 90 days (vs. market-moving events every 48 hours).</w:t>
      </w:r>
    </w:p>
    <w:p>
      <w:pPr>
        <w:pStyle w:val="Heading3"/>
      </w:pPr>
      <w:r>
        <w:rPr>
          <w:color w:val="00285A"/>
        </w:rPr>
        <w:t>4. AINEFF Deployment Architecture</w:t>
      </w:r>
    </w:p>
    <w:p>
      <w:r>
        <w:rPr>
          <w:b w:val="0"/>
          <w:i w:val="0"/>
        </w:rPr>
        <w:t>AINEG portfolio monitoring provides real-time risk visibility. Conflict-of-Interest Engine detects advisor conflicts automatically. Audit and Causal Trace System creates investment-grade decision documentation.</w:t>
      </w:r>
    </w:p>
    <w:p>
      <w:pPr>
        <w:pStyle w:val="Heading3"/>
      </w:pPr>
      <w:r>
        <w:rPr>
          <w:color w:val="00285A"/>
        </w:rPr>
        <w:t>5. Accountability Design</w:t>
      </w:r>
    </w:p>
    <w:p>
      <w:r>
        <w:rPr>
          <w:b w:val="0"/>
          <w:i w:val="0"/>
        </w:rPr>
        <w:t>Chief Investment Officer as Named Liable Officer. External advisor bound to AINEFF reporting. Family principal retains non-delegable authority over asset class changes above 10% of portfolio.</w:t>
      </w:r>
    </w:p>
    <w:p>
      <w:pPr>
        <w:pStyle w:val="Heading3"/>
      </w:pPr>
      <w:r>
        <w:rPr>
          <w:color w:val="00285A"/>
        </w:rPr>
        <w:t>6. Pricing Architecture</w:t>
      </w:r>
    </w:p>
    <w:p>
      <w:r>
        <w:rPr>
          <w:b w:val="0"/>
          <w:i w:val="0"/>
        </w:rPr>
        <w:t>Portfolio governance platform: USD 100K-USD 500K/year. Risk monitoring: USD 50K-USD 250K/year. Decision architecture consulting: USD 200K-USD 1M per engagement.</w:t>
      </w:r>
    </w:p>
    <w:p>
      <w:r>
        <w:br w:type="page"/>
      </w:r>
    </w:p>
    <w:p>
      <w:pPr>
        <w:pStyle w:val="Heading2"/>
      </w:pPr>
      <w:r>
        <w:rPr>
          <w:color w:val="001E46"/>
        </w:rPr>
        <w:t>Audience 7: Multinational Corporate Empires</w:t>
      </w:r>
    </w:p>
    <w:p>
      <w:r>
        <w:rPr>
          <w:b w:val="0"/>
          <w:i/>
          <w:sz w:val="22"/>
        </w:rPr>
        <w:t>Enterprise Coordination Infrastructure</w:t>
      </w:r>
    </w:p>
    <w:p>
      <w:pPr>
        <w:pStyle w:val="Heading3"/>
      </w:pPr>
      <w:r>
        <w:rPr>
          <w:color w:val="00285A"/>
        </w:rPr>
        <w:t>1. Primary Entropy Vector</w:t>
      </w:r>
    </w:p>
    <w:p>
      <w:r>
        <w:rPr>
          <w:b w:val="0"/>
          <w:i w:val="0"/>
        </w:rPr>
        <w:t>Complexity tax -- coordination cost growing faster than revenue across 50-100+ country operations</w:t>
      </w:r>
    </w:p>
    <w:p>
      <w:pPr>
        <w:pStyle w:val="Heading3"/>
      </w:pPr>
      <w:r>
        <w:rPr>
          <w:color w:val="00285A"/>
        </w:rPr>
        <w:t>2. Decay Model</w:t>
      </w:r>
    </w:p>
    <w:p>
      <w:r>
        <w:rPr>
          <w:b w:val="0"/>
          <w:i w:val="0"/>
        </w:rPr>
        <w:t>Average Fortune 500 company spends 15-25% of management time on internal coordination. Cross-subsidiary information latency: 2-6 weeks.</w:t>
      </w:r>
    </w:p>
    <w:p>
      <w:pPr>
        <w:pStyle w:val="Heading3"/>
      </w:pPr>
      <w:r>
        <w:rPr>
          <w:color w:val="00285A"/>
        </w:rPr>
        <w:t>3. Financial Impact</w:t>
      </w:r>
    </w:p>
    <w:p>
      <w:r>
        <w:rPr>
          <w:b w:val="0"/>
          <w:i w:val="0"/>
        </w:rPr>
        <w:t>Complexity tax: USD 500M-USD 5B annually for Fortune 100 companies. Failed digital transformation programs: USD 1B+ average cost. Cross-subsidiary coordination overhead: 15-25% of management capacity.</w:t>
      </w:r>
    </w:p>
    <w:p>
      <w:pPr>
        <w:pStyle w:val="Heading3"/>
      </w:pPr>
      <w:r>
        <w:rPr>
          <w:color w:val="00285A"/>
        </w:rPr>
        <w:t>4. AINEFF Deployment Architecture</w:t>
      </w:r>
    </w:p>
    <w:p>
      <w:r>
        <w:rPr>
          <w:b w:val="0"/>
          <w:i w:val="0"/>
        </w:rPr>
        <w:t>Enterprise Manufacturing System creates governed subsidiaries with bounded mandates. State synchronization replaces 80% of cross-unit coordination meetings. Mortality Enforcement prevents zombie divisions from consuming resources.</w:t>
      </w:r>
    </w:p>
    <w:p>
      <w:pPr>
        <w:pStyle w:val="Heading3"/>
      </w:pPr>
      <w:r>
        <w:rPr>
          <w:color w:val="00285A"/>
        </w:rPr>
        <w:t>5. Accountability Design</w:t>
      </w:r>
    </w:p>
    <w:p>
      <w:r>
        <w:rPr>
          <w:b w:val="0"/>
          <w:i w:val="0"/>
        </w:rPr>
        <w:t>Group CEO as Constitutional Authority. Business Unit Presidents as Named Liable Officers. Group AI Governance Officer reporting to Board.</w:t>
      </w:r>
    </w:p>
    <w:p>
      <w:pPr>
        <w:pStyle w:val="Heading3"/>
      </w:pPr>
      <w:r>
        <w:rPr>
          <w:color w:val="00285A"/>
        </w:rPr>
        <w:t>6. Pricing Architecture</w:t>
      </w:r>
    </w:p>
    <w:p>
      <w:r>
        <w:rPr>
          <w:b w:val="0"/>
          <w:i w:val="0"/>
        </w:rPr>
        <w:t>Enterprise framework: USD 2M-USD 20M initial deployment. Per-subsidiary governance: USD 200K-USD 2M. Cross-enterprise coordination layer: USD 1M-USD 10M/year.</w:t>
      </w:r>
    </w:p>
    <w:p>
      <w:r>
        <w:br w:type="page"/>
      </w:r>
    </w:p>
    <w:p>
      <w:pPr>
        <w:pStyle w:val="Heading2"/>
      </w:pPr>
      <w:r>
        <w:rPr>
          <w:color w:val="001E46"/>
        </w:rPr>
        <w:t>Audience 8: Legacy Enterprises</w:t>
      </w:r>
    </w:p>
    <w:p>
      <w:r>
        <w:rPr>
          <w:b w:val="0"/>
          <w:i/>
          <w:sz w:val="22"/>
        </w:rPr>
        <w:t>Institutional Renewal Infrastructure</w:t>
      </w:r>
    </w:p>
    <w:p>
      <w:pPr>
        <w:pStyle w:val="Heading3"/>
      </w:pPr>
      <w:r>
        <w:rPr>
          <w:color w:val="00285A"/>
        </w:rPr>
        <w:t>1. Primary Entropy Vector</w:t>
      </w:r>
    </w:p>
    <w:p>
      <w:r>
        <w:rPr>
          <w:b w:val="0"/>
          <w:i w:val="0"/>
        </w:rPr>
        <w:t>Technical debt compounding while market shifts accelerate -- culture calcification preventing adaptation</w:t>
      </w:r>
    </w:p>
    <w:p>
      <w:pPr>
        <w:pStyle w:val="Heading3"/>
      </w:pPr>
      <w:r>
        <w:rPr>
          <w:color w:val="00285A"/>
        </w:rPr>
        <w:t>2. Decay Model</w:t>
      </w:r>
    </w:p>
    <w:p>
      <w:r>
        <w:rPr>
          <w:b w:val="0"/>
          <w:i w:val="0"/>
        </w:rPr>
        <w:t>Average legacy enterprise technical debt: USD 500M-USD 5B. Cultural resistance to AI adoption: 60%+ of transformation programs fail.</w:t>
      </w:r>
    </w:p>
    <w:p>
      <w:pPr>
        <w:pStyle w:val="Heading3"/>
      </w:pPr>
      <w:r>
        <w:rPr>
          <w:color w:val="00285A"/>
        </w:rPr>
        <w:t>3. Financial Impact</w:t>
      </w:r>
    </w:p>
    <w:p>
      <w:r>
        <w:rPr>
          <w:b w:val="0"/>
          <w:i w:val="0"/>
        </w:rPr>
        <w:t>Average failed enterprise AI program: USD 50M-USD 500M. Opportunity cost of delayed AI adoption: 5-15% annual revenue erosion. Technical debt servicing: 20-40% of IT budget.</w:t>
      </w:r>
    </w:p>
    <w:p>
      <w:pPr>
        <w:pStyle w:val="Heading3"/>
      </w:pPr>
      <w:r>
        <w:rPr>
          <w:color w:val="00285A"/>
        </w:rPr>
        <w:t>4. AINEFF Deployment Architecture</w:t>
      </w:r>
    </w:p>
    <w:p>
      <w:r>
        <w:rPr>
          <w:b w:val="0"/>
          <w:i w:val="0"/>
        </w:rPr>
        <w:t>Venture Cell architecture allows legacy enterprises to spawn governed AI-native units without contaminating core operations. WGE sprints prove ROI within 90 days before full commitment. Mortality Enforcement kills failed initiatives before they become budget zombies.</w:t>
      </w:r>
    </w:p>
    <w:p>
      <w:pPr>
        <w:pStyle w:val="Heading3"/>
      </w:pPr>
      <w:r>
        <w:rPr>
          <w:color w:val="00285A"/>
        </w:rPr>
        <w:t>5. Accountability Design</w:t>
      </w:r>
    </w:p>
    <w:p>
      <w:r>
        <w:rPr>
          <w:b w:val="0"/>
          <w:i w:val="0"/>
        </w:rPr>
        <w:t>CEO as transformation sponsor. Chief AI Officer as Named Liable Officer. Business Unit VPs as venture cell governors.</w:t>
      </w:r>
    </w:p>
    <w:p>
      <w:pPr>
        <w:pStyle w:val="Heading3"/>
      </w:pPr>
      <w:r>
        <w:rPr>
          <w:color w:val="00285A"/>
        </w:rPr>
        <w:t>6. Pricing Architecture</w:t>
      </w:r>
    </w:p>
    <w:p>
      <w:r>
        <w:rPr>
          <w:b w:val="0"/>
          <w:i w:val="0"/>
        </w:rPr>
        <w:t>Transformation architecture: USD 1M-USD 10M. Per-venture-cell deployment: USD 200K-USD 1M. WGE sprint programs: USD 80K-USD 110K per sprint.</w:t>
      </w:r>
    </w:p>
    <w:p>
      <w:r>
        <w:br w:type="page"/>
      </w:r>
    </w:p>
    <w:p>
      <w:pPr>
        <w:pStyle w:val="Heading2"/>
      </w:pPr>
      <w:r>
        <w:rPr>
          <w:color w:val="001E46"/>
        </w:rPr>
        <w:t>Audience 9: Banks / Insurers / Financial Foundations</w:t>
      </w:r>
    </w:p>
    <w:p>
      <w:r>
        <w:rPr>
          <w:b w:val="0"/>
          <w:i/>
          <w:sz w:val="22"/>
        </w:rPr>
        <w:t>Financial Integrity Infrastructure</w:t>
      </w:r>
    </w:p>
    <w:p>
      <w:pPr>
        <w:pStyle w:val="Heading3"/>
      </w:pPr>
      <w:r>
        <w:rPr>
          <w:color w:val="00285A"/>
        </w:rPr>
        <w:t>1. Primary Entropy Vector</w:t>
      </w:r>
    </w:p>
    <w:p>
      <w:r>
        <w:rPr>
          <w:b w:val="0"/>
          <w:i w:val="0"/>
        </w:rPr>
        <w:t>Regulatory capture creating compliance theater while actual AI risk grows unchecked. Model opacity hiding systemic risk accumulation.</w:t>
      </w:r>
    </w:p>
    <w:p>
      <w:pPr>
        <w:pStyle w:val="Heading3"/>
      </w:pPr>
      <w:r>
        <w:rPr>
          <w:color w:val="00285A"/>
        </w:rPr>
        <w:t>2. Decay Model</w:t>
      </w:r>
    </w:p>
    <w:p>
      <w:r>
        <w:rPr>
          <w:b w:val="0"/>
          <w:i w:val="0"/>
        </w:rPr>
        <w:t>Banks spending USD 100B+ annually on compliance globally, with 30%+ going to manual processes that AI could govern. Algorithmic trading decisions made in microseconds with audit trails measured in days.</w:t>
      </w:r>
    </w:p>
    <w:p>
      <w:pPr>
        <w:pStyle w:val="Heading3"/>
      </w:pPr>
      <w:r>
        <w:rPr>
          <w:color w:val="00285A"/>
        </w:rPr>
        <w:t>3. Financial Impact</w:t>
      </w:r>
    </w:p>
    <w:p>
      <w:r>
        <w:rPr>
          <w:b w:val="0"/>
          <w:i w:val="0"/>
        </w:rPr>
        <w:t>Regulatory fines for AI governance failures: USD 100M-USD 10B per institution. Insurance model risk losses: USD 1B-USD 50B from undetected algorithmic errors. Compliance cost growth: 15-20% annually.</w:t>
      </w:r>
    </w:p>
    <w:p>
      <w:pPr>
        <w:pStyle w:val="Heading3"/>
      </w:pPr>
      <w:r>
        <w:rPr>
          <w:color w:val="00285A"/>
        </w:rPr>
        <w:t>4. AINEFF Deployment Architecture</w:t>
      </w:r>
    </w:p>
    <w:p>
      <w:r>
        <w:rPr>
          <w:b w:val="0"/>
          <w:i w:val="0"/>
        </w:rPr>
        <w:t>Evidence Custody System creates real-time, court-grade audit trails for all AI-influenced financial decisions. Compliance Mapper automatically translates AINEFF governance to jurisdiction-specific requirements. PCI Framework prevents algorithmic concentration risk.</w:t>
      </w:r>
    </w:p>
    <w:p>
      <w:pPr>
        <w:pStyle w:val="Heading3"/>
      </w:pPr>
      <w:r>
        <w:rPr>
          <w:color w:val="00285A"/>
        </w:rPr>
        <w:t>5. Accountability Design</w:t>
      </w:r>
    </w:p>
    <w:p>
      <w:r>
        <w:rPr>
          <w:b w:val="0"/>
          <w:i w:val="0"/>
        </w:rPr>
        <w:t>Chief Risk Officer as Named Liable Officer for AI governance. Per-product AI Risk Officers. Regulatory Liaison Officer bound to AINEFF reporting.</w:t>
      </w:r>
    </w:p>
    <w:p>
      <w:pPr>
        <w:pStyle w:val="Heading3"/>
      </w:pPr>
      <w:r>
        <w:rPr>
          <w:color w:val="00285A"/>
        </w:rPr>
        <w:t>6. Pricing Architecture</w:t>
      </w:r>
    </w:p>
    <w:p>
      <w:r>
        <w:rPr>
          <w:b w:val="0"/>
          <w:i w:val="0"/>
        </w:rPr>
        <w:t>Enterprise financial governance: USD 5M-USD 50M initial. Per-jurisdiction compliance layer: USD 500K-USD 5M. Real-time audit infrastructure: USD 2M-USD 20M/year.</w:t>
      </w:r>
    </w:p>
    <w:p>
      <w:r>
        <w:br w:type="page"/>
      </w:r>
    </w:p>
    <w:p>
      <w:pPr>
        <w:pStyle w:val="Heading2"/>
      </w:pPr>
      <w:r>
        <w:rPr>
          <w:color w:val="001E46"/>
        </w:rPr>
        <w:t>Audience 10: National Industry Bodies</w:t>
      </w:r>
    </w:p>
    <w:p>
      <w:r>
        <w:rPr>
          <w:b w:val="0"/>
          <w:i/>
          <w:sz w:val="22"/>
        </w:rPr>
        <w:t>Sector Coordination Infrastructure</w:t>
      </w:r>
    </w:p>
    <w:p>
      <w:pPr>
        <w:pStyle w:val="Heading3"/>
      </w:pPr>
      <w:r>
        <w:rPr>
          <w:color w:val="00285A"/>
        </w:rPr>
        <w:t>1. Primary Entropy Vector</w:t>
      </w:r>
    </w:p>
    <w:p>
      <w:r>
        <w:rPr>
          <w:b w:val="0"/>
          <w:i w:val="0"/>
        </w:rPr>
        <w:t>Relevance decay as members digitize faster than the body can standardize. Member divergence creating coordination collapse.</w:t>
      </w:r>
    </w:p>
    <w:p>
      <w:pPr>
        <w:pStyle w:val="Heading3"/>
      </w:pPr>
      <w:r>
        <w:rPr>
          <w:color w:val="00285A"/>
        </w:rPr>
        <w:t>2. Decay Model</w:t>
      </w:r>
    </w:p>
    <w:p>
      <w:r>
        <w:rPr>
          <w:b w:val="0"/>
          <w:i w:val="0"/>
        </w:rPr>
        <w:t>Industry associations losing member engagement at 5-10% annually. Standard-setting cycles of 3-5 years vs. technology cycles of 6-18 months.</w:t>
      </w:r>
    </w:p>
    <w:p>
      <w:pPr>
        <w:pStyle w:val="Heading3"/>
      </w:pPr>
      <w:r>
        <w:rPr>
          <w:color w:val="00285A"/>
        </w:rPr>
        <w:t>3. Financial Impact</w:t>
      </w:r>
    </w:p>
    <w:p>
      <w:r>
        <w:rPr>
          <w:b w:val="0"/>
          <w:i w:val="0"/>
        </w:rPr>
        <w:t>Industry body irrelevance cost: USD 100M-USD 1B in fragmented standards per sector. Standard compliance overhead: 5-10% of member revenue.</w:t>
      </w:r>
    </w:p>
    <w:p>
      <w:pPr>
        <w:pStyle w:val="Heading3"/>
      </w:pPr>
      <w:r>
        <w:rPr>
          <w:color w:val="00285A"/>
        </w:rPr>
        <w:t>4. AINEFF Deployment Architecture</w:t>
      </w:r>
    </w:p>
    <w:p>
      <w:r>
        <w:rPr>
          <w:b w:val="0"/>
          <w:i w:val="0"/>
        </w:rPr>
        <w:t>Canonical Vocabulary and Semantics System creates shared terminology across members. Human Coordination Ledger tracks member commitments and compliance. Regulatory Rate-Limiter System prevents over-regulation that stifles innovation.</w:t>
      </w:r>
    </w:p>
    <w:p>
      <w:pPr>
        <w:pStyle w:val="Heading3"/>
      </w:pPr>
      <w:r>
        <w:rPr>
          <w:color w:val="00285A"/>
        </w:rPr>
        <w:t>5. Accountability Design</w:t>
      </w:r>
    </w:p>
    <w:p>
      <w:r>
        <w:rPr>
          <w:b w:val="0"/>
          <w:i w:val="0"/>
        </w:rPr>
        <w:t>Industry body CEO as framework steward. Sector-specific Governance Committees. Member liaison officers bound to AINEFF reporting.</w:t>
      </w:r>
    </w:p>
    <w:p>
      <w:pPr>
        <w:pStyle w:val="Heading3"/>
      </w:pPr>
      <w:r>
        <w:rPr>
          <w:color w:val="00285A"/>
        </w:rPr>
        <w:t>6. Pricing Architecture</w:t>
      </w:r>
    </w:p>
    <w:p>
      <w:r>
        <w:rPr>
          <w:b w:val="0"/>
          <w:i w:val="0"/>
        </w:rPr>
        <w:t>Sector framework: USD 500K-USD 5M. Member coordination layer: USD 100K-USD 500K per member. Standards governance platform: USD 200K-USD 2M/year.</w:t>
      </w:r>
    </w:p>
    <w:p>
      <w:r>
        <w:br w:type="page"/>
      </w:r>
    </w:p>
    <w:p>
      <w:pPr>
        <w:pStyle w:val="Heading2"/>
      </w:pPr>
      <w:r>
        <w:rPr>
          <w:color w:val="001E46"/>
        </w:rPr>
        <w:t>Audience 11: Education / R&amp;D / Think Tanks</w:t>
      </w:r>
    </w:p>
    <w:p>
      <w:r>
        <w:rPr>
          <w:b w:val="0"/>
          <w:i/>
          <w:sz w:val="22"/>
        </w:rPr>
        <w:t>Knowledge Infrastructure</w:t>
      </w:r>
    </w:p>
    <w:p>
      <w:pPr>
        <w:pStyle w:val="Heading3"/>
      </w:pPr>
      <w:r>
        <w:rPr>
          <w:color w:val="00285A"/>
        </w:rPr>
        <w:t>1. Primary Entropy Vector</w:t>
      </w:r>
    </w:p>
    <w:p>
      <w:r>
        <w:rPr>
          <w:b w:val="0"/>
          <w:i w:val="0"/>
        </w:rPr>
        <w:t>Curriculum obsolescence cycle now shorter than degree completion time. Research funding fragmentation preventing breakthrough coordination. 400+ education-to-job pipeline barriers.</w:t>
      </w:r>
    </w:p>
    <w:p>
      <w:pPr>
        <w:pStyle w:val="Heading3"/>
      </w:pPr>
      <w:r>
        <w:rPr>
          <w:color w:val="00285A"/>
        </w:rPr>
        <w:t>2. Decay Model</w:t>
      </w:r>
    </w:p>
    <w:p>
      <w:r>
        <w:rPr>
          <w:b w:val="0"/>
          <w:i w:val="0"/>
        </w:rPr>
        <w:t>Average university curriculum update: 5-7 years. AI skill half-life: 18 months. Research duplication rate: 30%+.</w:t>
      </w:r>
    </w:p>
    <w:p>
      <w:pPr>
        <w:pStyle w:val="Heading3"/>
      </w:pPr>
      <w:r>
        <w:rPr>
          <w:color w:val="00285A"/>
        </w:rPr>
        <w:t>3. Financial Impact</w:t>
      </w:r>
    </w:p>
    <w:p>
      <w:r>
        <w:rPr>
          <w:b w:val="0"/>
          <w:i w:val="0"/>
        </w:rPr>
        <w:t>Curriculum lag cost: USD 50B+ annually in mismatched graduate skills. Research duplication: USD 20B+/year in wasted funding. Student debt for outdated education: USD 1.7T US alone.</w:t>
      </w:r>
    </w:p>
    <w:p>
      <w:pPr>
        <w:pStyle w:val="Heading3"/>
      </w:pPr>
      <w:r>
        <w:rPr>
          <w:color w:val="00285A"/>
        </w:rPr>
        <w:t>4. AINEFF Deployment Architecture</w:t>
      </w:r>
    </w:p>
    <w:p>
      <w:r>
        <w:rPr>
          <w:b w:val="0"/>
          <w:i w:val="0"/>
        </w:rPr>
        <w:t>Levelupmax training tracks provide AI-current operator education bypassing 5-year curriculum lag. Knowledge Governance Layer manages research asset depreciation. Cross-institutional coordination through AINEFF state synchronization.</w:t>
      </w:r>
    </w:p>
    <w:p>
      <w:pPr>
        <w:pStyle w:val="Heading3"/>
      </w:pPr>
      <w:r>
        <w:rPr>
          <w:color w:val="00285A"/>
        </w:rPr>
        <w:t>5. Accountability Design</w:t>
      </w:r>
    </w:p>
    <w:p>
      <w:r>
        <w:rPr>
          <w:b w:val="0"/>
          <w:i w:val="0"/>
        </w:rPr>
        <w:t>University President as framework steward. Department AI Governance Officers. Research Ethics Board with AINEFF compliance mandate.</w:t>
      </w:r>
    </w:p>
    <w:p>
      <w:pPr>
        <w:pStyle w:val="Heading3"/>
      </w:pPr>
      <w:r>
        <w:rPr>
          <w:color w:val="00285A"/>
        </w:rPr>
        <w:t>6. Pricing Architecture</w:t>
      </w:r>
    </w:p>
    <w:p>
      <w:r>
        <w:rPr>
          <w:b w:val="0"/>
          <w:i w:val="0"/>
        </w:rPr>
        <w:t>Institutional framework: USD 200K-USD 2M. Levelupmax integration: USD 100K-USD 500K per track. Research governance platform: USD 100K-USD 1M/year.</w:t>
      </w:r>
    </w:p>
    <w:p>
      <w:r>
        <w:br w:type="page"/>
      </w:r>
    </w:p>
    <w:p>
      <w:pPr>
        <w:pStyle w:val="Heading2"/>
      </w:pPr>
      <w:r>
        <w:rPr>
          <w:color w:val="001E46"/>
        </w:rPr>
        <w:t>Audience 12: Consulting Firms and System Integrators</w:t>
      </w:r>
    </w:p>
    <w:p>
      <w:r>
        <w:rPr>
          <w:b w:val="0"/>
          <w:i/>
          <w:sz w:val="22"/>
        </w:rPr>
        <w:t>Advisory Infrastructure</w:t>
      </w:r>
    </w:p>
    <w:p>
      <w:pPr>
        <w:pStyle w:val="Heading3"/>
      </w:pPr>
      <w:r>
        <w:rPr>
          <w:color w:val="00285A"/>
        </w:rPr>
        <w:t>1. Primary Entropy Vector</w:t>
      </w:r>
    </w:p>
    <w:p>
      <w:r>
        <w:rPr>
          <w:b w:val="0"/>
          <w:i w:val="0"/>
        </w:rPr>
        <w:t>Methodology stagnation while client problems evolve. Talent churn destroying institutional knowledge. Partners competing instead of coordinating.</w:t>
      </w:r>
    </w:p>
    <w:p>
      <w:pPr>
        <w:pStyle w:val="Heading3"/>
      </w:pPr>
      <w:r>
        <w:rPr>
          <w:color w:val="00285A"/>
        </w:rPr>
        <w:t>2. Decay Model</w:t>
      </w:r>
    </w:p>
    <w:p>
      <w:r>
        <w:rPr>
          <w:b w:val="0"/>
          <w:i w:val="0"/>
        </w:rPr>
        <w:t>Big 4 consultant utilization rates declining. Client AI literacy increasing, reducing premium for generic advice. Delivery methodology update cycles: 2-3 years vs. client need cycles: 3-6 months.</w:t>
      </w:r>
    </w:p>
    <w:p>
      <w:pPr>
        <w:pStyle w:val="Heading3"/>
      </w:pPr>
      <w:r>
        <w:rPr>
          <w:color w:val="00285A"/>
        </w:rPr>
        <w:t>3. Financial Impact</w:t>
      </w:r>
    </w:p>
    <w:p>
      <w:r>
        <w:rPr>
          <w:b w:val="0"/>
          <w:i w:val="0"/>
        </w:rPr>
        <w:t>Average consulting engagement margin erosion: 5-10% annually as AI commoditizes basic advisory. Talent acquisition cost: USD 50K-USD 200K per senior hire. Knowledge loss from turnover: unquantified but catastrophic.</w:t>
      </w:r>
    </w:p>
    <w:p>
      <w:pPr>
        <w:pStyle w:val="Heading3"/>
      </w:pPr>
      <w:r>
        <w:rPr>
          <w:color w:val="00285A"/>
        </w:rPr>
        <w:t>4. AINEFF Deployment Architecture</w:t>
      </w:r>
    </w:p>
    <w:p>
      <w:r>
        <w:rPr>
          <w:b w:val="0"/>
          <w:i w:val="0"/>
        </w:rPr>
        <w:t>Operator Guild model provides certified, governed AI operators for client deployment. UniVenture IP stacks provide pre-built solutions reducing delivery time by 60-80%. AINEFF framework licensing gives consulting firms a differentiated governance product.</w:t>
      </w:r>
    </w:p>
    <w:p>
      <w:pPr>
        <w:pStyle w:val="Heading3"/>
      </w:pPr>
      <w:r>
        <w:rPr>
          <w:color w:val="00285A"/>
        </w:rPr>
        <w:t>5. Accountability Design</w:t>
      </w:r>
    </w:p>
    <w:p>
      <w:r>
        <w:rPr>
          <w:b w:val="0"/>
          <w:i w:val="0"/>
        </w:rPr>
        <w:t>Managing Partner as framework steward. Practice Leaders as Named Liable Officers for client deployments. Quality Assurance Officer with AINEFF compliance mandate.</w:t>
      </w:r>
    </w:p>
    <w:p>
      <w:pPr>
        <w:pStyle w:val="Heading3"/>
      </w:pPr>
      <w:r>
        <w:rPr>
          <w:color w:val="00285A"/>
        </w:rPr>
        <w:t>6. Pricing Architecture</w:t>
      </w:r>
    </w:p>
    <w:p>
      <w:r>
        <w:rPr>
          <w:b w:val="0"/>
          <w:i w:val="0"/>
        </w:rPr>
        <w:t>Partner firm licensing: USD 500K-USD 5M/year. Per-engagement governance overlay: USD 50K-USD 250K. Operator training and certification: USD 100K-USD 500K per cohort.</w:t>
      </w:r>
    </w:p>
    <w:p>
      <w:r>
        <w:br w:type="page"/>
      </w:r>
    </w:p>
    <w:p>
      <w:pPr>
        <w:pStyle w:val="Heading2"/>
      </w:pPr>
      <w:r>
        <w:rPr>
          <w:color w:val="001E46"/>
        </w:rPr>
        <w:t>Audience 13: Investors / VCs / Syndicates</w:t>
      </w:r>
    </w:p>
    <w:p>
      <w:r>
        <w:rPr>
          <w:b w:val="0"/>
          <w:i/>
          <w:sz w:val="22"/>
        </w:rPr>
        <w:t>Portfolio Intelligence Infrastructure</w:t>
      </w:r>
    </w:p>
    <w:p>
      <w:pPr>
        <w:pStyle w:val="Heading3"/>
      </w:pPr>
      <w:r>
        <w:rPr>
          <w:color w:val="00285A"/>
        </w:rPr>
        <w:t>1. Primary Entropy Vector</w:t>
      </w:r>
    </w:p>
    <w:p>
      <w:r>
        <w:rPr>
          <w:b w:val="0"/>
          <w:i w:val="0"/>
        </w:rPr>
        <w:t>Portfolio entropy -- too many investments with too little governance. Information distortion from founders and co-investors. Herd behavior creating correlated risk.</w:t>
      </w:r>
    </w:p>
    <w:p>
      <w:pPr>
        <w:pStyle w:val="Heading3"/>
      </w:pPr>
      <w:r>
        <w:rPr>
          <w:color w:val="00285A"/>
        </w:rPr>
        <w:t>2. Decay Model</w:t>
      </w:r>
    </w:p>
    <w:p>
      <w:r>
        <w:rPr>
          <w:b w:val="0"/>
          <w:i w:val="0"/>
        </w:rPr>
        <w:t>Average VC fund: 20-40 portfolio companies with 2-3 partners providing governance. Due diligence consuming 30%+ of partner time. Post-investment monitoring: sporadic at best.</w:t>
      </w:r>
    </w:p>
    <w:p>
      <w:pPr>
        <w:pStyle w:val="Heading3"/>
      </w:pPr>
      <w:r>
        <w:rPr>
          <w:color w:val="00285A"/>
        </w:rPr>
        <w:t>3. Financial Impact</w:t>
      </w:r>
    </w:p>
    <w:p>
      <w:r>
        <w:rPr>
          <w:b w:val="0"/>
          <w:i w:val="0"/>
        </w:rPr>
        <w:t>Average VC fund zombie company rate: 30-40% of portfolio. Capital locked in failing companies: USD 500M-USD 5B per fund vintage. Information asymmetry cost: 2-5% of fund returns.</w:t>
      </w:r>
    </w:p>
    <w:p>
      <w:pPr>
        <w:pStyle w:val="Heading3"/>
      </w:pPr>
      <w:r>
        <w:rPr>
          <w:color w:val="00285A"/>
        </w:rPr>
        <w:t>4. AINEFF Deployment Architecture</w:t>
      </w:r>
    </w:p>
    <w:p>
      <w:r>
        <w:rPr>
          <w:b w:val="0"/>
          <w:i w:val="0"/>
        </w:rPr>
        <w:t>AINEG signal monitoring provides real-time portfolio health across all investments. Venture cell architecture with built-in kill triggers prevents zombie companies from consuming follow-on capital. PCI framework prevents portfolio concentration risk.</w:t>
      </w:r>
    </w:p>
    <w:p>
      <w:pPr>
        <w:pStyle w:val="Heading3"/>
      </w:pPr>
      <w:r>
        <w:rPr>
          <w:color w:val="00285A"/>
        </w:rPr>
        <w:t>5. Accountability Design</w:t>
      </w:r>
    </w:p>
    <w:p>
      <w:r>
        <w:rPr>
          <w:b w:val="0"/>
          <w:i w:val="0"/>
        </w:rPr>
        <w:t>General Partner as Named Liable Officer for fund governance. Portfolio Monitoring Officer. LP Reporting Officer with AINEFF compliance mandate.</w:t>
      </w:r>
    </w:p>
    <w:p>
      <w:pPr>
        <w:pStyle w:val="Heading3"/>
      </w:pPr>
      <w:r>
        <w:rPr>
          <w:color w:val="00285A"/>
        </w:rPr>
        <w:t>6. Pricing Architecture</w:t>
      </w:r>
    </w:p>
    <w:p>
      <w:r>
        <w:rPr>
          <w:b w:val="0"/>
          <w:i w:val="0"/>
        </w:rPr>
        <w:t>Fund governance platform: USD 200K-USD 1M/year. Portfolio monitoring: USD 100K-USD 500K/year. Due diligence enhancement: USD 50K-USD 200K per deal.</w:t>
      </w:r>
    </w:p>
    <w:p>
      <w:r>
        <w:br w:type="page"/>
      </w:r>
    </w:p>
    <w:p>
      <w:pPr>
        <w:pStyle w:val="Heading2"/>
      </w:pPr>
      <w:r>
        <w:rPr>
          <w:color w:val="001E46"/>
        </w:rPr>
        <w:t>Audience 14: High-Power Founders and Operators</w:t>
      </w:r>
    </w:p>
    <w:p>
      <w:r>
        <w:rPr>
          <w:b w:val="0"/>
          <w:i/>
          <w:sz w:val="22"/>
        </w:rPr>
        <w:t>Execution Discipline Infrastructure</w:t>
      </w:r>
    </w:p>
    <w:p>
      <w:pPr>
        <w:pStyle w:val="Heading3"/>
      </w:pPr>
      <w:r>
        <w:rPr>
          <w:color w:val="00285A"/>
        </w:rPr>
        <w:t>1. Primary Entropy Vector</w:t>
      </w:r>
    </w:p>
    <w:p>
      <w:r>
        <w:rPr>
          <w:b w:val="0"/>
          <w:i w:val="0"/>
        </w:rPr>
        <w:t>Execution drift as organizations scale beyond founder cognitive capacity. Scale fragility creating single-point-of-failure at the founder.</w:t>
      </w:r>
    </w:p>
    <w:p>
      <w:pPr>
        <w:pStyle w:val="Heading3"/>
      </w:pPr>
      <w:r>
        <w:rPr>
          <w:color w:val="00285A"/>
        </w:rPr>
        <w:t>2. Decay Model</w:t>
      </w:r>
    </w:p>
    <w:p>
      <w:r>
        <w:rPr>
          <w:b w:val="0"/>
          <w:i w:val="0"/>
        </w:rPr>
        <w:t>Average founder effective decision capacity: 15-20 critical decisions per week. Companies scaling past 100 employees see 40% increase in decision latency.</w:t>
      </w:r>
    </w:p>
    <w:p>
      <w:pPr>
        <w:pStyle w:val="Heading3"/>
      </w:pPr>
      <w:r>
        <w:rPr>
          <w:color w:val="00285A"/>
        </w:rPr>
        <w:t>3. Financial Impact</w:t>
      </w:r>
    </w:p>
    <w:p>
      <w:r>
        <w:rPr>
          <w:b w:val="0"/>
          <w:i w:val="0"/>
        </w:rPr>
        <w:t>Founder burnout cost: USD 10M-USD 100M+ in enterprise value destruction per incident. Scale failure rate: 60%+ of companies that reach USD 10M ARR fail to reach USD 50M.</w:t>
      </w:r>
    </w:p>
    <w:p>
      <w:pPr>
        <w:pStyle w:val="Heading3"/>
      </w:pPr>
      <w:r>
        <w:rPr>
          <w:color w:val="00285A"/>
        </w:rPr>
        <w:t>4. AINEFF Deployment Architecture</w:t>
      </w:r>
    </w:p>
    <w:p>
      <w:r>
        <w:rPr>
          <w:b w:val="0"/>
          <w:i w:val="0"/>
        </w:rPr>
        <w:t>WGE sprint architecture provides 90-day proof units with hard kill criteria. Venture cell model distributes execution across governed operators. Authority Decay System forces founders to delegate with accountability rather than micromanage.</w:t>
      </w:r>
    </w:p>
    <w:p>
      <w:pPr>
        <w:pStyle w:val="Heading3"/>
      </w:pPr>
      <w:r>
        <w:rPr>
          <w:color w:val="00285A"/>
        </w:rPr>
        <w:t>5. Accountability Design</w:t>
      </w:r>
    </w:p>
    <w:p>
      <w:r>
        <w:rPr>
          <w:b w:val="0"/>
          <w:i w:val="0"/>
        </w:rPr>
        <w:t>Founder as Constitutional Authority. COO as Named Liable Officer for operations. VP-level officers as venture cell governors.</w:t>
      </w:r>
    </w:p>
    <w:p>
      <w:pPr>
        <w:pStyle w:val="Heading3"/>
      </w:pPr>
      <w:r>
        <w:rPr>
          <w:color w:val="00285A"/>
        </w:rPr>
        <w:t>6. Pricing Architecture</w:t>
      </w:r>
    </w:p>
    <w:p>
      <w:r>
        <w:rPr>
          <w:b w:val="0"/>
          <w:i w:val="0"/>
        </w:rPr>
        <w:t>Founder governance architecture: USD 100K-USD 500K. WGE sprint programs: USD 80K-USD 110K per sprint. Scale architecture consulting: USD 200K-USD 1M.</w:t>
      </w:r>
    </w:p>
    <w:p>
      <w:r>
        <w:br w:type="page"/>
      </w:r>
    </w:p>
    <w:p>
      <w:pPr>
        <w:pStyle w:val="Heading2"/>
      </w:pPr>
      <w:r>
        <w:rPr>
          <w:color w:val="001E46"/>
        </w:rPr>
        <w:t>Audience 15: High-Risk Individuals</w:t>
      </w:r>
    </w:p>
    <w:p>
      <w:r>
        <w:rPr>
          <w:b w:val="0"/>
          <w:i/>
          <w:sz w:val="22"/>
        </w:rPr>
        <w:t>Personal Sovereignty Infrastructure</w:t>
      </w:r>
    </w:p>
    <w:p>
      <w:pPr>
        <w:pStyle w:val="Heading3"/>
      </w:pPr>
      <w:r>
        <w:rPr>
          <w:color w:val="00285A"/>
        </w:rPr>
        <w:t>1. Primary Entropy Vector</w:t>
      </w:r>
    </w:p>
    <w:p>
      <w:r>
        <w:rPr>
          <w:b w:val="0"/>
          <w:i w:val="0"/>
        </w:rPr>
        <w:t>Reputational contagion from AI-adjacent decisions. Legal exposure from ungoverned AI usage. Privacy erosion from data proliferation.</w:t>
      </w:r>
    </w:p>
    <w:p>
      <w:pPr>
        <w:pStyle w:val="Heading3"/>
      </w:pPr>
      <w:r>
        <w:rPr>
          <w:color w:val="00285A"/>
        </w:rPr>
        <w:t>2. Decay Model</w:t>
      </w:r>
    </w:p>
    <w:p>
      <w:r>
        <w:rPr>
          <w:b w:val="0"/>
          <w:i w:val="0"/>
        </w:rPr>
        <w:t>High-profile individuals face 10-100x amplification of any AI governance failure. Single AI-related controversy can destroy USD 100M+ in personal brand value.</w:t>
      </w:r>
    </w:p>
    <w:p>
      <w:pPr>
        <w:pStyle w:val="Heading3"/>
      </w:pPr>
      <w:r>
        <w:rPr>
          <w:color w:val="00285A"/>
        </w:rPr>
        <w:t>3. Financial Impact</w:t>
      </w:r>
    </w:p>
    <w:p>
      <w:r>
        <w:rPr>
          <w:b w:val="0"/>
          <w:i w:val="0"/>
        </w:rPr>
        <w:t>Average reputation crisis cost for high-net-worth individuals: USD 10M-USD 500M. Legal defense for AI-related disputes: USD 1M-USD 50M. Insurance premium increases from ungoverned AI exposure: 200-500%.</w:t>
      </w:r>
    </w:p>
    <w:p>
      <w:pPr>
        <w:pStyle w:val="Heading3"/>
      </w:pPr>
      <w:r>
        <w:rPr>
          <w:color w:val="00285A"/>
        </w:rPr>
        <w:t>4. AINEFF Deployment Architecture</w:t>
      </w:r>
    </w:p>
    <w:p>
      <w:r>
        <w:rPr>
          <w:b w:val="0"/>
          <w:i w:val="0"/>
        </w:rPr>
        <w:t>Evidence Custody System provides court-grade documentation of all AI-governed decisions. Dispute Routing Map provides pre-negotiated resolution pathways. Reputation and Standing Ledger maintains credentialed governance history.</w:t>
      </w:r>
    </w:p>
    <w:p>
      <w:pPr>
        <w:pStyle w:val="Heading3"/>
      </w:pPr>
      <w:r>
        <w:rPr>
          <w:color w:val="00285A"/>
        </w:rPr>
        <w:t>5. Accountability Design</w:t>
      </w:r>
    </w:p>
    <w:p>
      <w:r>
        <w:rPr>
          <w:b w:val="0"/>
          <w:i w:val="0"/>
        </w:rPr>
        <w:t>Individual as sole Named Liable Officer. Trusted Advisor as governance steward. Legal counsel with AINEFF compliance mandate.</w:t>
      </w:r>
    </w:p>
    <w:p>
      <w:pPr>
        <w:pStyle w:val="Heading3"/>
      </w:pPr>
      <w:r>
        <w:rPr>
          <w:color w:val="00285A"/>
        </w:rPr>
        <w:t>6. Pricing Architecture</w:t>
      </w:r>
    </w:p>
    <w:p>
      <w:r>
        <w:rPr>
          <w:b w:val="0"/>
          <w:i w:val="0"/>
        </w:rPr>
        <w:t>Personal governance framework: USD 50K-USD 500K initial. Ongoing monitoring and compliance: USD 25K-USD 200K/year. Crisis response architecture: USD 100K-USD 1M retainer.</w:t>
      </w:r>
    </w:p>
    <w:p>
      <w:r>
        <w:br w:type="page"/>
      </w:r>
    </w:p>
    <w:p>
      <w:pPr>
        <w:pStyle w:val="Heading1"/>
      </w:pPr>
      <w:r>
        <w:rPr>
          <w:color w:val="000000"/>
        </w:rPr>
        <w:t>SECTION IV: CROSS-AUDIENCE META-ANALYSIS</w:t>
      </w:r>
    </w:p>
    <w:p>
      <w:pPr>
        <w:pStyle w:val="Heading2"/>
      </w:pPr>
      <w:r>
        <w:rPr>
          <w:color w:val="001E46"/>
        </w:rPr>
        <w:t>1. Shared Entropy Patterns Across Power Classes</w:t>
      </w:r>
    </w:p>
    <w:p>
      <w:r>
        <w:rPr>
          <w:b/>
          <w:i w:val="0"/>
        </w:rPr>
        <w:t>After analyzing all 15 audiences, 7 entropy patterns appear universally:</w:t>
      </w:r>
    </w:p>
    <w:p>
      <w:r>
        <w:rPr>
          <w:b/>
          <w:i w:val="0"/>
        </w:rPr>
        <w:t>Decision Latency Accumulation</w:t>
      </w:r>
    </w:p>
    <w:p>
      <w:r>
        <w:rPr>
          <w:b w:val="0"/>
          <w:i w:val="0"/>
        </w:rPr>
        <w:t>Every audience shows increasing time-to-decision as AI complexity grows. Governments average 90+ days for policy decisions. Banks measure audit trails in days for microsecond trades. Founders hit cognitive walls at 100+ employees. The universal problem is not speed of AI but speed of accountability.</w:t>
      </w:r>
    </w:p>
    <w:p>
      <w:r>
        <w:rPr>
          <w:b/>
          <w:i w:val="0"/>
        </w:rPr>
        <w:t>Information Fragmentation</w:t>
      </w:r>
    </w:p>
    <w:p>
      <w:r>
        <w:rPr>
          <w:b w:val="0"/>
          <w:i w:val="0"/>
        </w:rPr>
        <w:t>All 15 audiences suffer from data siloed across organizational boundaries. Ministries cannot share across departments. Intelligence agencies compete instead of fusing. Banks cannot see portfolio-level risk. Infrastructure operators cannot coordinate across sectors. This is not a technology problem. It is a governance problem.</w:t>
      </w:r>
    </w:p>
    <w:p>
      <w:r>
        <w:rPr>
          <w:b/>
          <w:i w:val="0"/>
        </w:rPr>
        <w:t>Incentive Drift</w:t>
      </w:r>
    </w:p>
    <w:p>
      <w:r>
        <w:rPr>
          <w:b w:val="0"/>
          <w:i w:val="0"/>
        </w:rPr>
        <w:t>Misalignment between reward structures and organizational objectives appears in every audience. Civil servants rewarded for process. Defense contractors for timeline extension. Consultants for billable hours. VCs for deployment speed over governance quality. AINEFF corrects this through mechanical incentive alignment -- PCI scoring, outcome-based metrics, and automatic kill triggers.</w:t>
      </w:r>
    </w:p>
    <w:p>
      <w:r>
        <w:rPr>
          <w:b/>
          <w:i w:val="0"/>
        </w:rPr>
        <w:t>Accountability Diffusion</w:t>
      </w:r>
    </w:p>
    <w:p>
      <w:r>
        <w:rPr>
          <w:b w:val="0"/>
          <w:i w:val="0"/>
        </w:rPr>
        <w:t>Committee-based governance dilutes accountability to the point of meaninglessness across all audiences. The atomic constraint (single human liability bearer) directly addresses this universal failure.</w:t>
      </w:r>
    </w:p>
    <w:p>
      <w:r>
        <w:rPr>
          <w:b/>
          <w:i w:val="0"/>
        </w:rPr>
        <w:t>Regulatory Lag</w:t>
      </w:r>
    </w:p>
    <w:p>
      <w:r>
        <w:rPr>
          <w:b w:val="0"/>
          <w:i w:val="0"/>
        </w:rPr>
        <w:t>Every audience operates under regulatory frameworks designed for the previous technology generation. The gap between AI capability and regulatory capacity is widening at 2-3 years per year.</w:t>
      </w:r>
    </w:p>
    <w:p>
      <w:r>
        <w:rPr>
          <w:b/>
          <w:i w:val="0"/>
        </w:rPr>
        <w:t>Talent Entropy</w:t>
      </w:r>
    </w:p>
    <w:p>
      <w:r>
        <w:rPr>
          <w:b w:val="0"/>
          <w:i w:val="0"/>
        </w:rPr>
        <w:t>All audiences face the same talent crisis: insufficient governance-aware AI operators. Levelupmax addresses this directly with 10 specialized tracks, but the pipeline must scale 10x to meet cross-audience demand.</w:t>
      </w:r>
    </w:p>
    <w:p>
      <w:r>
        <w:rPr>
          <w:b/>
          <w:i w:val="0"/>
        </w:rPr>
        <w:t>Complexity Tax</w:t>
      </w:r>
    </w:p>
    <w:p>
      <w:r>
        <w:rPr>
          <w:b w:val="0"/>
          <w:i w:val="0"/>
        </w:rPr>
        <w:t>Coordination cost grows non-linearly with organizational complexity. Every audience beyond individual founders pays 15-40% of operational capacity in coordination overhead. AINEFF mechanical coordination (state synchronization, escalation triggers, PCI monitoring) directly reduces this tax.</w:t>
      </w:r>
    </w:p>
    <w:p>
      <w:pPr>
        <w:pStyle w:val="Heading2"/>
      </w:pPr>
      <w:r>
        <w:rPr>
          <w:color w:val="001E46"/>
        </w:rPr>
        <w:t>2. Unique Sovereign Risk Patterns</w:t>
      </w:r>
    </w:p>
    <w:tbl>
      <w:tblPr>
        <w:tblStyle w:val="LightGrid-Accent1"/>
        <w:tblW w:type="auto" w:w="0"/>
        <w:jc w:val="left"/>
        <w:tblLook w:firstColumn="1" w:firstRow="1" w:lastColumn="0" w:lastRow="0" w:noHBand="0" w:noVBand="1" w:val="04A0"/>
      </w:tblPr>
      <w:tblGrid>
        <w:gridCol w:w="3120"/>
        <w:gridCol w:w="3120"/>
        <w:gridCol w:w="3120"/>
      </w:tblGrid>
      <w:tr>
        <w:tc>
          <w:tcPr>
            <w:tcW w:type="dxa" w:w="1872"/>
          </w:tcPr>
          <w:p>
            <w:r>
              <w:rPr>
                <w:b/>
                <w:sz w:val="18"/>
              </w:rPr>
              <w:t>Audience</w:t>
            </w:r>
          </w:p>
        </w:tc>
        <w:tc>
          <w:tcPr>
            <w:tcW w:type="dxa" w:w="2160"/>
          </w:tcPr>
          <w:p>
            <w:r>
              <w:rPr>
                <w:b/>
                <w:sz w:val="18"/>
              </w:rPr>
              <w:t>Unique Risk</w:t>
            </w:r>
          </w:p>
        </w:tc>
        <w:tc>
          <w:tcPr>
            <w:tcW w:type="dxa" w:w="5328"/>
          </w:tcPr>
          <w:p>
            <w:r>
              <w:rPr>
                <w:b/>
                <w:sz w:val="18"/>
              </w:rPr>
              <w:t>Why AINEFF Must Adapt</w:t>
            </w:r>
          </w:p>
        </w:tc>
      </w:tr>
      <w:tr>
        <w:tc>
          <w:tcPr>
            <w:tcW w:type="dxa" w:w="1872"/>
          </w:tcPr>
          <w:p>
            <w:r>
              <w:rPr>
                <w:sz w:val="18"/>
              </w:rPr>
              <w:t>Governments</w:t>
            </w:r>
          </w:p>
        </w:tc>
        <w:tc>
          <w:tcPr>
            <w:tcW w:type="dxa" w:w="2160"/>
          </w:tcPr>
          <w:p>
            <w:r>
              <w:rPr>
                <w:sz w:val="18"/>
              </w:rPr>
              <w:t>Electoral cycle reset</w:t>
            </w:r>
          </w:p>
        </w:tc>
        <w:tc>
          <w:tcPr>
            <w:tcW w:type="dxa" w:w="5328"/>
          </w:tcPr>
          <w:p>
            <w:r>
              <w:rPr>
                <w:sz w:val="18"/>
              </w:rPr>
              <w:t>Framework must survive administration changes -- constitutional, not political</w:t>
            </w:r>
          </w:p>
        </w:tc>
      </w:tr>
      <w:tr>
        <w:tc>
          <w:tcPr>
            <w:tcW w:type="dxa" w:w="1872"/>
          </w:tcPr>
          <w:p>
            <w:r>
              <w:rPr>
                <w:sz w:val="18"/>
              </w:rPr>
              <w:t>Defense</w:t>
            </w:r>
          </w:p>
        </w:tc>
        <w:tc>
          <w:tcPr>
            <w:tcW w:type="dxa" w:w="2160"/>
          </w:tcPr>
          <w:p>
            <w:r>
              <w:rPr>
                <w:sz w:val="18"/>
              </w:rPr>
              <w:t>Lethal decision speed</w:t>
            </w:r>
          </w:p>
        </w:tc>
        <w:tc>
          <w:tcPr>
            <w:tcW w:type="dxa" w:w="5328"/>
          </w:tcPr>
          <w:p>
            <w:r>
              <w:rPr>
                <w:sz w:val="18"/>
              </w:rPr>
              <w:t>Governance cannot add latency to life-or-death decisions</w:t>
            </w:r>
          </w:p>
        </w:tc>
      </w:tr>
      <w:tr>
        <w:tc>
          <w:tcPr>
            <w:tcW w:type="dxa" w:w="1872"/>
          </w:tcPr>
          <w:p>
            <w:r>
              <w:rPr>
                <w:sz w:val="18"/>
              </w:rPr>
              <w:t>Critical Infra</w:t>
            </w:r>
          </w:p>
        </w:tc>
        <w:tc>
          <w:tcPr>
            <w:tcW w:type="dxa" w:w="2160"/>
          </w:tcPr>
          <w:p>
            <w:r>
              <w:rPr>
                <w:sz w:val="18"/>
              </w:rPr>
              <w:t>Cascade failure</w:t>
            </w:r>
          </w:p>
        </w:tc>
        <w:tc>
          <w:tcPr>
            <w:tcW w:type="dxa" w:w="5328"/>
          </w:tcPr>
          <w:p>
            <w:r>
              <w:rPr>
                <w:sz w:val="18"/>
              </w:rPr>
              <w:t>Single AI error can trigger cross-sector collapse</w:t>
            </w:r>
          </w:p>
        </w:tc>
      </w:tr>
      <w:tr>
        <w:tc>
          <w:tcPr>
            <w:tcW w:type="dxa" w:w="1872"/>
          </w:tcPr>
          <w:p>
            <w:r>
              <w:rPr>
                <w:sz w:val="18"/>
              </w:rPr>
              <w:t>Intl Institutions</w:t>
            </w:r>
          </w:p>
        </w:tc>
        <w:tc>
          <w:tcPr>
            <w:tcW w:type="dxa" w:w="2160"/>
          </w:tcPr>
          <w:p>
            <w:r>
              <w:rPr>
                <w:sz w:val="18"/>
              </w:rPr>
              <w:t>Sovereignty conflicts</w:t>
            </w:r>
          </w:p>
        </w:tc>
        <w:tc>
          <w:tcPr>
            <w:tcW w:type="dxa" w:w="5328"/>
          </w:tcPr>
          <w:p>
            <w:r>
              <w:rPr>
                <w:sz w:val="18"/>
              </w:rPr>
              <w:t>Member states will reject framework that appears to reduce sovereignty</w:t>
            </w:r>
          </w:p>
        </w:tc>
      </w:tr>
      <w:tr>
        <w:tc>
          <w:tcPr>
            <w:tcW w:type="dxa" w:w="1872"/>
          </w:tcPr>
          <w:p>
            <w:r>
              <w:rPr>
                <w:sz w:val="18"/>
              </w:rPr>
              <w:t>Dynasties</w:t>
            </w:r>
          </w:p>
        </w:tc>
        <w:tc>
          <w:tcPr>
            <w:tcW w:type="dxa" w:w="2160"/>
          </w:tcPr>
          <w:p>
            <w:r>
              <w:rPr>
                <w:sz w:val="18"/>
              </w:rPr>
              <w:t>Succession trauma</w:t>
            </w:r>
          </w:p>
        </w:tc>
        <w:tc>
          <w:tcPr>
            <w:tcW w:type="dxa" w:w="5328"/>
          </w:tcPr>
          <w:p>
            <w:r>
              <w:rPr>
                <w:sz w:val="18"/>
              </w:rPr>
              <w:t>Governance must transfer across generations without founder dependency</w:t>
            </w:r>
          </w:p>
        </w:tc>
      </w:tr>
      <w:tr>
        <w:tc>
          <w:tcPr>
            <w:tcW w:type="dxa" w:w="1872"/>
          </w:tcPr>
          <w:p>
            <w:r>
              <w:rPr>
                <w:sz w:val="18"/>
              </w:rPr>
              <w:t>Family Offices</w:t>
            </w:r>
          </w:p>
        </w:tc>
        <w:tc>
          <w:tcPr>
            <w:tcW w:type="dxa" w:w="2160"/>
          </w:tcPr>
          <w:p>
            <w:r>
              <w:rPr>
                <w:sz w:val="18"/>
              </w:rPr>
              <w:t>Privacy absolutism</w:t>
            </w:r>
          </w:p>
        </w:tc>
        <w:tc>
          <w:tcPr>
            <w:tcW w:type="dxa" w:w="5328"/>
          </w:tcPr>
          <w:p>
            <w:r>
              <w:rPr>
                <w:sz w:val="18"/>
              </w:rPr>
              <w:t>No data can leave the family boundary under any circumstances</w:t>
            </w:r>
          </w:p>
        </w:tc>
      </w:tr>
      <w:tr>
        <w:tc>
          <w:tcPr>
            <w:tcW w:type="dxa" w:w="1872"/>
          </w:tcPr>
          <w:p>
            <w:r>
              <w:rPr>
                <w:sz w:val="18"/>
              </w:rPr>
              <w:t>MNC Empires</w:t>
            </w:r>
          </w:p>
        </w:tc>
        <w:tc>
          <w:tcPr>
            <w:tcW w:type="dxa" w:w="2160"/>
          </w:tcPr>
          <w:p>
            <w:r>
              <w:rPr>
                <w:sz w:val="18"/>
              </w:rPr>
              <w:t>Anti-trust risk</w:t>
            </w:r>
          </w:p>
        </w:tc>
        <w:tc>
          <w:tcPr>
            <w:tcW w:type="dxa" w:w="5328"/>
          </w:tcPr>
          <w:p>
            <w:r>
              <w:rPr>
                <w:sz w:val="18"/>
              </w:rPr>
              <w:t>Cross-subsidiary coordination must not trigger competition authority concerns</w:t>
            </w:r>
          </w:p>
        </w:tc>
      </w:tr>
      <w:tr>
        <w:tc>
          <w:tcPr>
            <w:tcW w:type="dxa" w:w="1872"/>
          </w:tcPr>
          <w:p>
            <w:r>
              <w:rPr>
                <w:sz w:val="18"/>
              </w:rPr>
              <w:t>Legacy Enterprises</w:t>
            </w:r>
          </w:p>
        </w:tc>
        <w:tc>
          <w:tcPr>
            <w:tcW w:type="dxa" w:w="2160"/>
          </w:tcPr>
          <w:p>
            <w:r>
              <w:rPr>
                <w:sz w:val="18"/>
              </w:rPr>
              <w:t>Culture immune response</w:t>
            </w:r>
          </w:p>
        </w:tc>
        <w:tc>
          <w:tcPr>
            <w:tcW w:type="dxa" w:w="5328"/>
          </w:tcPr>
          <w:p>
            <w:r>
              <w:rPr>
                <w:sz w:val="18"/>
              </w:rPr>
              <w:t>Existing workforce will resist governance perceived as replacing their judgment</w:t>
            </w:r>
          </w:p>
        </w:tc>
      </w:tr>
      <w:tr>
        <w:tc>
          <w:tcPr>
            <w:tcW w:type="dxa" w:w="1872"/>
          </w:tcPr>
          <w:p>
            <w:r>
              <w:rPr>
                <w:sz w:val="18"/>
              </w:rPr>
              <w:t>Banks/Insurers</w:t>
            </w:r>
          </w:p>
        </w:tc>
        <w:tc>
          <w:tcPr>
            <w:tcW w:type="dxa" w:w="2160"/>
          </w:tcPr>
          <w:p>
            <w:r>
              <w:rPr>
                <w:sz w:val="18"/>
              </w:rPr>
              <w:t>Systemic risk contribution</w:t>
            </w:r>
          </w:p>
        </w:tc>
        <w:tc>
          <w:tcPr>
            <w:tcW w:type="dxa" w:w="5328"/>
          </w:tcPr>
          <w:p>
            <w:r>
              <w:rPr>
                <w:sz w:val="18"/>
              </w:rPr>
              <w:t>Single institution failure can trigger sector-wide contagion</w:t>
            </w:r>
          </w:p>
        </w:tc>
      </w:tr>
      <w:tr>
        <w:tc>
          <w:tcPr>
            <w:tcW w:type="dxa" w:w="1872"/>
          </w:tcPr>
          <w:p>
            <w:r>
              <w:rPr>
                <w:sz w:val="18"/>
              </w:rPr>
              <w:t>Industry Bodies</w:t>
            </w:r>
          </w:p>
        </w:tc>
        <w:tc>
          <w:tcPr>
            <w:tcW w:type="dxa" w:w="2160"/>
          </w:tcPr>
          <w:p>
            <w:r>
              <w:rPr>
                <w:sz w:val="18"/>
              </w:rPr>
              <w:t>Lowest common denominator</w:t>
            </w:r>
          </w:p>
        </w:tc>
        <w:tc>
          <w:tcPr>
            <w:tcW w:type="dxa" w:w="5328"/>
          </w:tcPr>
          <w:p>
            <w:r>
              <w:rPr>
                <w:sz w:val="18"/>
              </w:rPr>
              <w:t>Standards must satisfy diverse members without becoming meaningless</w:t>
            </w:r>
          </w:p>
        </w:tc>
      </w:tr>
      <w:tr>
        <w:tc>
          <w:tcPr>
            <w:tcW w:type="dxa" w:w="1872"/>
          </w:tcPr>
          <w:p>
            <w:r>
              <w:rPr>
                <w:sz w:val="18"/>
              </w:rPr>
              <w:t>Education</w:t>
            </w:r>
          </w:p>
        </w:tc>
        <w:tc>
          <w:tcPr>
            <w:tcW w:type="dxa" w:w="2160"/>
          </w:tcPr>
          <w:p>
            <w:r>
              <w:rPr>
                <w:sz w:val="18"/>
              </w:rPr>
              <w:t>Academic freedom tension</w:t>
            </w:r>
          </w:p>
        </w:tc>
        <w:tc>
          <w:tcPr>
            <w:tcW w:type="dxa" w:w="5328"/>
          </w:tcPr>
          <w:p>
            <w:r>
              <w:rPr>
                <w:sz w:val="18"/>
              </w:rPr>
              <w:t>Governance cannot be perceived as constraining research independence</w:t>
            </w:r>
          </w:p>
        </w:tc>
      </w:tr>
      <w:tr>
        <w:tc>
          <w:tcPr>
            <w:tcW w:type="dxa" w:w="1872"/>
          </w:tcPr>
          <w:p>
            <w:r>
              <w:rPr>
                <w:sz w:val="18"/>
              </w:rPr>
              <w:t>Consulting/SIs</w:t>
            </w:r>
          </w:p>
        </w:tc>
        <w:tc>
          <w:tcPr>
            <w:tcW w:type="dxa" w:w="2160"/>
          </w:tcPr>
          <w:p>
            <w:r>
              <w:rPr>
                <w:sz w:val="18"/>
              </w:rPr>
              <w:t>Client confidentiality</w:t>
            </w:r>
          </w:p>
        </w:tc>
        <w:tc>
          <w:tcPr>
            <w:tcW w:type="dxa" w:w="5328"/>
          </w:tcPr>
          <w:p>
            <w:r>
              <w:rPr>
                <w:sz w:val="18"/>
              </w:rPr>
              <w:t>Governance data from one engagement must never inform another</w:t>
            </w:r>
          </w:p>
        </w:tc>
      </w:tr>
      <w:tr>
        <w:tc>
          <w:tcPr>
            <w:tcW w:type="dxa" w:w="1872"/>
          </w:tcPr>
          <w:p>
            <w:r>
              <w:rPr>
                <w:sz w:val="18"/>
              </w:rPr>
              <w:t>Investors</w:t>
            </w:r>
          </w:p>
        </w:tc>
        <w:tc>
          <w:tcPr>
            <w:tcW w:type="dxa" w:w="2160"/>
          </w:tcPr>
          <w:p>
            <w:r>
              <w:rPr>
                <w:sz w:val="18"/>
              </w:rPr>
              <w:t>Information asymmetry incentives</w:t>
            </w:r>
          </w:p>
        </w:tc>
        <w:tc>
          <w:tcPr>
            <w:tcW w:type="dxa" w:w="5328"/>
          </w:tcPr>
          <w:p>
            <w:r>
              <w:rPr>
                <w:sz w:val="18"/>
              </w:rPr>
              <w:t>Founders and co-investors are incentivized to distort information</w:t>
            </w:r>
          </w:p>
        </w:tc>
      </w:tr>
      <w:tr>
        <w:tc>
          <w:tcPr>
            <w:tcW w:type="dxa" w:w="1872"/>
          </w:tcPr>
          <w:p>
            <w:r>
              <w:rPr>
                <w:sz w:val="18"/>
              </w:rPr>
              <w:t>Founders</w:t>
            </w:r>
          </w:p>
        </w:tc>
        <w:tc>
          <w:tcPr>
            <w:tcW w:type="dxa" w:w="2160"/>
          </w:tcPr>
          <w:p>
            <w:r>
              <w:rPr>
                <w:sz w:val="18"/>
              </w:rPr>
              <w:t>Ego override</w:t>
            </w:r>
          </w:p>
        </w:tc>
        <w:tc>
          <w:tcPr>
            <w:tcW w:type="dxa" w:w="5328"/>
          </w:tcPr>
          <w:p>
            <w:r>
              <w:rPr>
                <w:sz w:val="18"/>
              </w:rPr>
              <w:t>Founder authority must be constrained without destroying entrepreneurial drive</w:t>
            </w:r>
          </w:p>
        </w:tc>
      </w:tr>
      <w:tr>
        <w:tc>
          <w:tcPr>
            <w:tcW w:type="dxa" w:w="1872"/>
          </w:tcPr>
          <w:p>
            <w:r>
              <w:rPr>
                <w:sz w:val="18"/>
              </w:rPr>
              <w:t>High-Risk Individuals</w:t>
            </w:r>
          </w:p>
        </w:tc>
        <w:tc>
          <w:tcPr>
            <w:tcW w:type="dxa" w:w="2160"/>
          </w:tcPr>
          <w:p>
            <w:r>
              <w:rPr>
                <w:sz w:val="18"/>
              </w:rPr>
              <w:t>Adversarial targeting</w:t>
            </w:r>
          </w:p>
        </w:tc>
        <w:tc>
          <w:tcPr>
            <w:tcW w:type="dxa" w:w="5328"/>
          </w:tcPr>
          <w:p>
            <w:r>
              <w:rPr>
                <w:sz w:val="18"/>
              </w:rPr>
              <w:t>Governance framework itself becomes attack surface for adversaries</w:t>
            </w:r>
          </w:p>
        </w:tc>
      </w:tr>
    </w:tbl>
    <w:p/>
    <w:p>
      <w:pPr>
        <w:pStyle w:val="Heading2"/>
      </w:pPr>
      <w:r>
        <w:rPr>
          <w:color w:val="001E46"/>
        </w:rPr>
        <w:t>3. Unified AINEFF Sovereign Layer</w:t>
      </w:r>
    </w:p>
    <w:p>
      <w:r>
        <w:rPr>
          <w:b/>
          <w:i w:val="0"/>
        </w:rPr>
        <w:t>The cross-audience analysis reveals the need for a 3-tier AINEFF deployment architecture:</w:t>
      </w:r>
    </w:p>
    <w:p>
      <w:r>
        <w:rPr>
          <w:b/>
          <w:i w:val="0"/>
        </w:rPr>
        <w:t>Tier 1: Universal Governance Core (deployed for ALL audiences)</w:t>
      </w:r>
    </w:p>
    <w:p>
      <w:pPr>
        <w:pStyle w:val="ListBullet"/>
      </w:pPr>
      <w:r>
        <w:t>Atomic Constraint Enforcement: Named human liability for every irreversible AI action</w:t>
      </w:r>
    </w:p>
    <w:p>
      <w:pPr>
        <w:pStyle w:val="ListBullet"/>
      </w:pPr>
      <w:r>
        <w:t>Audit and Causal Trace System (ACTS): Immutable decision logging</w:t>
      </w:r>
    </w:p>
    <w:p>
      <w:pPr>
        <w:pStyle w:val="ListBullet"/>
      </w:pPr>
      <w:r>
        <w:t>PCI Framework: Power concentration prevention</w:t>
      </w:r>
    </w:p>
    <w:p>
      <w:pPr>
        <w:pStyle w:val="ListBullet"/>
      </w:pPr>
      <w:r>
        <w:t>Authority Decay System: Automatic mandate expiration</w:t>
      </w:r>
    </w:p>
    <w:p>
      <w:pPr>
        <w:pStyle w:val="ListBullet"/>
      </w:pPr>
      <w:r>
        <w:t>Evidence Custody System: Court-grade proof architecture</w:t>
      </w:r>
    </w:p>
    <w:p>
      <w:r>
        <w:rPr>
          <w:b/>
          <w:i w:val="0"/>
        </w:rPr>
        <w:t>Tier 2: Audience-Class Adaptations (configured per power class)</w:t>
      </w:r>
    </w:p>
    <w:p>
      <w:pPr>
        <w:pStyle w:val="ListBullet"/>
      </w:pPr>
      <w:r>
        <w:t>Constraint density calibration (high for governments, low for founders)</w:t>
      </w:r>
    </w:p>
    <w:p>
      <w:pPr>
        <w:pStyle w:val="ListBullet"/>
      </w:pPr>
      <w:r>
        <w:t>Accountability depth adjustment (maximum for defense, standard for VCs)</w:t>
      </w:r>
    </w:p>
    <w:p>
      <w:pPr>
        <w:pStyle w:val="ListBullet"/>
      </w:pPr>
      <w:r>
        <w:t>Information sovereignty settings (absolute for intelligence, permeable for education)</w:t>
      </w:r>
    </w:p>
    <w:p>
      <w:pPr>
        <w:pStyle w:val="ListBullet"/>
      </w:pPr>
      <w:r>
        <w:t>Temporal horizon configuration (generational for dynasties, quarterly for VCs)</w:t>
      </w:r>
    </w:p>
    <w:p>
      <w:r>
        <w:rPr>
          <w:b/>
          <w:i w:val="0"/>
        </w:rPr>
        <w:t>Tier 3: Instance-Specific Configuration (customized per deployment)</w:t>
      </w:r>
    </w:p>
    <w:p>
      <w:pPr>
        <w:pStyle w:val="ListBullet"/>
      </w:pPr>
      <w:r>
        <w:t>Jurisdiction-specific legal mapping</w:t>
      </w:r>
    </w:p>
    <w:p>
      <w:pPr>
        <w:pStyle w:val="ListBullet"/>
      </w:pPr>
      <w:r>
        <w:t>Organizational structure integration</w:t>
      </w:r>
    </w:p>
    <w:p>
      <w:pPr>
        <w:pStyle w:val="ListBullet"/>
      </w:pPr>
      <w:r>
        <w:t>Existing governance framework compatibility</w:t>
      </w:r>
    </w:p>
    <w:p>
      <w:pPr>
        <w:pStyle w:val="ListBullet"/>
      </w:pPr>
      <w:r>
        <w:t>Cultural adaptation parameters</w:t>
      </w:r>
    </w:p>
    <w:p>
      <w:pPr>
        <w:pStyle w:val="Heading2"/>
      </w:pPr>
      <w:r>
        <w:rPr>
          <w:color w:val="001E46"/>
        </w:rPr>
        <w:t>4. Interdependency Risk Map</w:t>
      </w:r>
    </w:p>
    <w:p>
      <w:r>
        <w:rPr>
          <w:b/>
          <w:i w:val="0"/>
        </w:rPr>
        <w:t>The 15 audiences are not independent. Failure in one creates contagion across others:</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tcPr>
          <w:p>
            <w:r>
              <w:rPr>
                <w:b/>
                <w:sz w:val="18"/>
              </w:rPr>
              <w:t>If This Audience Fails...</w:t>
            </w:r>
          </w:p>
        </w:tc>
        <w:tc>
          <w:tcPr>
            <w:tcW w:type="dxa" w:w="3600"/>
          </w:tcPr>
          <w:p>
            <w:r>
              <w:rPr>
                <w:b/>
                <w:sz w:val="18"/>
              </w:rPr>
              <w:t>These Audiences Are Impacted</w:t>
            </w:r>
          </w:p>
        </w:tc>
        <w:tc>
          <w:tcPr>
            <w:tcW w:type="dxa" w:w="3600"/>
          </w:tcPr>
          <w:p>
            <w:r>
              <w:rPr>
                <w:b/>
                <w:sz w:val="18"/>
              </w:rPr>
              <w:t>Contagion Mechanism</w:t>
            </w:r>
          </w:p>
        </w:tc>
      </w:tr>
      <w:tr>
        <w:tc>
          <w:tcPr>
            <w:tcW w:type="dxa" w:w="2160"/>
          </w:tcPr>
          <w:p>
            <w:r>
              <w:rPr>
                <w:sz w:val="18"/>
              </w:rPr>
              <w:t>Governments</w:t>
            </w:r>
          </w:p>
        </w:tc>
        <w:tc>
          <w:tcPr>
            <w:tcW w:type="dxa" w:w="3600"/>
          </w:tcPr>
          <w:p>
            <w:r>
              <w:rPr>
                <w:sz w:val="18"/>
              </w:rPr>
              <w:t>All 14 others</w:t>
            </w:r>
          </w:p>
        </w:tc>
        <w:tc>
          <w:tcPr>
            <w:tcW w:type="dxa" w:w="3600"/>
          </w:tcPr>
          <w:p>
            <w:r>
              <w:rPr>
                <w:sz w:val="18"/>
              </w:rPr>
              <w:t>Regulatory vacuum eliminates enforcement for everyone</w:t>
            </w:r>
          </w:p>
        </w:tc>
      </w:tr>
      <w:tr>
        <w:tc>
          <w:tcPr>
            <w:tcW w:type="dxa" w:w="2160"/>
          </w:tcPr>
          <w:p>
            <w:r>
              <w:rPr>
                <w:sz w:val="18"/>
              </w:rPr>
              <w:t>Banks/Insurers</w:t>
            </w:r>
          </w:p>
        </w:tc>
        <w:tc>
          <w:tcPr>
            <w:tcW w:type="dxa" w:w="3600"/>
          </w:tcPr>
          <w:p>
            <w:r>
              <w:rPr>
                <w:sz w:val="18"/>
              </w:rPr>
              <w:t>All except Defense, Dynasties</w:t>
            </w:r>
          </w:p>
        </w:tc>
        <w:tc>
          <w:tcPr>
            <w:tcW w:type="dxa" w:w="3600"/>
          </w:tcPr>
          <w:p>
            <w:r>
              <w:rPr>
                <w:sz w:val="18"/>
              </w:rPr>
              <w:t>Financial contagion, insurance market collapse</w:t>
            </w:r>
          </w:p>
        </w:tc>
      </w:tr>
      <w:tr>
        <w:tc>
          <w:tcPr>
            <w:tcW w:type="dxa" w:w="2160"/>
          </w:tcPr>
          <w:p>
            <w:r>
              <w:rPr>
                <w:sz w:val="18"/>
              </w:rPr>
              <w:t>Critical Infrastructure</w:t>
            </w:r>
          </w:p>
        </w:tc>
        <w:tc>
          <w:tcPr>
            <w:tcW w:type="dxa" w:w="3600"/>
          </w:tcPr>
          <w:p>
            <w:r>
              <w:rPr>
                <w:sz w:val="18"/>
              </w:rPr>
              <w:t>Governments, Defense, Banks, MNCs, Legacy</w:t>
            </w:r>
          </w:p>
        </w:tc>
        <w:tc>
          <w:tcPr>
            <w:tcW w:type="dxa" w:w="3600"/>
          </w:tcPr>
          <w:p>
            <w:r>
              <w:rPr>
                <w:sz w:val="18"/>
              </w:rPr>
              <w:t>Physical service disruption cascading to digital</w:t>
            </w:r>
          </w:p>
        </w:tc>
      </w:tr>
      <w:tr>
        <w:tc>
          <w:tcPr>
            <w:tcW w:type="dxa" w:w="2160"/>
          </w:tcPr>
          <w:p>
            <w:r>
              <w:rPr>
                <w:sz w:val="18"/>
              </w:rPr>
              <w:t>Defense</w:t>
            </w:r>
          </w:p>
        </w:tc>
        <w:tc>
          <w:tcPr>
            <w:tcW w:type="dxa" w:w="3600"/>
          </w:tcPr>
          <w:p>
            <w:r>
              <w:rPr>
                <w:sz w:val="18"/>
              </w:rPr>
              <w:t>Governments, Intl Institutions, Critical Infra</w:t>
            </w:r>
          </w:p>
        </w:tc>
        <w:tc>
          <w:tcPr>
            <w:tcW w:type="dxa" w:w="3600"/>
          </w:tcPr>
          <w:p>
            <w:r>
              <w:rPr>
                <w:sz w:val="18"/>
              </w:rPr>
              <w:t>Security vacuum enabling adversarial exploitation</w:t>
            </w:r>
          </w:p>
        </w:tc>
      </w:tr>
      <w:tr>
        <w:tc>
          <w:tcPr>
            <w:tcW w:type="dxa" w:w="2160"/>
          </w:tcPr>
          <w:p>
            <w:r>
              <w:rPr>
                <w:sz w:val="18"/>
              </w:rPr>
              <w:t>Education</w:t>
            </w:r>
          </w:p>
        </w:tc>
        <w:tc>
          <w:tcPr>
            <w:tcW w:type="dxa" w:w="3600"/>
          </w:tcPr>
          <w:p>
            <w:r>
              <w:rPr>
                <w:sz w:val="18"/>
              </w:rPr>
              <w:t>All except Dynasties, High-Risk Individuals</w:t>
            </w:r>
          </w:p>
        </w:tc>
        <w:tc>
          <w:tcPr>
            <w:tcW w:type="dxa" w:w="3600"/>
          </w:tcPr>
          <w:p>
            <w:r>
              <w:rPr>
                <w:sz w:val="18"/>
              </w:rPr>
              <w:t>Talent pipeline collapse starving all audiences of operators</w:t>
            </w:r>
          </w:p>
        </w:tc>
      </w:tr>
    </w:tbl>
    <w:p/>
    <w:p>
      <w:r>
        <w:br w:type="page"/>
      </w:r>
    </w:p>
    <w:p>
      <w:pPr>
        <w:pStyle w:val="Heading1"/>
      </w:pPr>
      <w:r>
        <w:rPr>
          <w:color w:val="000000"/>
        </w:rPr>
        <w:t>SECTION V: AINEFF DEPLOYMENT BLUEPRINT</w:t>
      </w:r>
    </w:p>
    <w:p>
      <w:pPr>
        <w:pStyle w:val="Heading2"/>
      </w:pPr>
      <w:r>
        <w:rPr>
          <w:color w:val="001E46"/>
        </w:rPr>
        <w:t>Core Systems Required for All Deployments</w:t>
      </w:r>
    </w:p>
    <w:p>
      <w:r>
        <w:rPr>
          <w:b/>
          <w:i w:val="0"/>
        </w:rPr>
        <w:t>The 35 canonical AINEFF systems are mandatory infrastructure. The following 10 are deployed first in every engagement regardless of audience: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864"/>
          </w:tcPr>
          <w:p>
            <w:r>
              <w:rPr>
                <w:b/>
                <w:sz w:val="18"/>
              </w:rPr>
              <w:t>Priority</w:t>
            </w:r>
          </w:p>
        </w:tc>
        <w:tc>
          <w:tcPr>
            <w:tcW w:type="dxa" w:w="3600"/>
          </w:tcPr>
          <w:p>
            <w:r>
              <w:rPr>
                <w:b/>
                <w:sz w:val="18"/>
              </w:rPr>
              <w:t>System</w:t>
            </w:r>
          </w:p>
        </w:tc>
        <w:tc>
          <w:tcPr>
            <w:tcW w:type="dxa" w:w="864"/>
          </w:tcPr>
          <w:p>
            <w:r>
              <w:rPr>
                <w:b/>
                <w:sz w:val="18"/>
              </w:rPr>
              <w:t>Code</w:t>
            </w:r>
          </w:p>
        </w:tc>
        <w:tc>
          <w:tcPr>
            <w:tcW w:type="dxa" w:w="4032"/>
          </w:tcPr>
          <w:p>
            <w:r>
              <w:rPr>
                <w:b/>
                <w:sz w:val="18"/>
              </w:rPr>
              <w:t>Why First</w:t>
            </w:r>
          </w:p>
        </w:tc>
      </w:tr>
      <w:tr>
        <w:tc>
          <w:tcPr>
            <w:tcW w:type="dxa" w:w="864"/>
          </w:tcPr>
          <w:p>
            <w:r>
              <w:rPr>
                <w:sz w:val="18"/>
              </w:rPr>
              <w:t>1</w:t>
            </w:r>
          </w:p>
        </w:tc>
        <w:tc>
          <w:tcPr>
            <w:tcW w:type="dxa" w:w="3600"/>
          </w:tcPr>
          <w:p>
            <w:r>
              <w:rPr>
                <w:sz w:val="18"/>
              </w:rPr>
              <w:t>Named Liable Officer Registry</w:t>
            </w:r>
          </w:p>
        </w:tc>
        <w:tc>
          <w:tcPr>
            <w:tcW w:type="dxa" w:w="864"/>
          </w:tcPr>
          <w:p>
            <w:r>
              <w:rPr>
                <w:sz w:val="18"/>
              </w:rPr>
              <w:t>NLO-R</w:t>
            </w:r>
          </w:p>
        </w:tc>
        <w:tc>
          <w:tcPr>
            <w:tcW w:type="dxa" w:w="4032"/>
          </w:tcPr>
          <w:p>
            <w:r>
              <w:rPr>
                <w:sz w:val="18"/>
              </w:rPr>
              <w:t>Without human accountability binding, everything else is theater</w:t>
            </w:r>
          </w:p>
        </w:tc>
      </w:tr>
      <w:tr>
        <w:tc>
          <w:tcPr>
            <w:tcW w:type="dxa" w:w="864"/>
          </w:tcPr>
          <w:p>
            <w:r>
              <w:rPr>
                <w:sz w:val="18"/>
              </w:rPr>
              <w:t>2</w:t>
            </w:r>
          </w:p>
        </w:tc>
        <w:tc>
          <w:tcPr>
            <w:tcW w:type="dxa" w:w="3600"/>
          </w:tcPr>
          <w:p>
            <w:r>
              <w:rPr>
                <w:sz w:val="18"/>
              </w:rPr>
              <w:t>Audit and Causal Trace System</w:t>
            </w:r>
          </w:p>
        </w:tc>
        <w:tc>
          <w:tcPr>
            <w:tcW w:type="dxa" w:w="864"/>
          </w:tcPr>
          <w:p>
            <w:r>
              <w:rPr>
                <w:sz w:val="18"/>
              </w:rPr>
              <w:t>ACTS</w:t>
            </w:r>
          </w:p>
        </w:tc>
        <w:tc>
          <w:tcPr>
            <w:tcW w:type="dxa" w:w="4032"/>
          </w:tcPr>
          <w:p>
            <w:r>
              <w:rPr>
                <w:sz w:val="18"/>
              </w:rPr>
              <w:t>No governance without evidence</w:t>
            </w:r>
          </w:p>
        </w:tc>
      </w:tr>
      <w:tr>
        <w:tc>
          <w:tcPr>
            <w:tcW w:type="dxa" w:w="864"/>
          </w:tcPr>
          <w:p>
            <w:r>
              <w:rPr>
                <w:sz w:val="18"/>
              </w:rPr>
              <w:t>3</w:t>
            </w:r>
          </w:p>
        </w:tc>
        <w:tc>
          <w:tcPr>
            <w:tcW w:type="dxa" w:w="3600"/>
          </w:tcPr>
          <w:p>
            <w:r>
              <w:rPr>
                <w:sz w:val="18"/>
              </w:rPr>
              <w:t>Human Oversight and Escalation System</w:t>
            </w:r>
          </w:p>
        </w:tc>
        <w:tc>
          <w:tcPr>
            <w:tcW w:type="dxa" w:w="864"/>
          </w:tcPr>
          <w:p>
            <w:r>
              <w:rPr>
                <w:sz w:val="18"/>
              </w:rPr>
              <w:t>HOES</w:t>
            </w:r>
          </w:p>
        </w:tc>
        <w:tc>
          <w:tcPr>
            <w:tcW w:type="dxa" w:w="4032"/>
          </w:tcPr>
          <w:p>
            <w:r>
              <w:rPr>
                <w:sz w:val="18"/>
              </w:rPr>
              <w:t>Mandatory human ratification for irreversible actions</w:t>
            </w:r>
          </w:p>
        </w:tc>
      </w:tr>
      <w:tr>
        <w:tc>
          <w:tcPr>
            <w:tcW w:type="dxa" w:w="864"/>
          </w:tcPr>
          <w:p>
            <w:r>
              <w:rPr>
                <w:sz w:val="18"/>
              </w:rPr>
              <w:t>4</w:t>
            </w:r>
          </w:p>
        </w:tc>
        <w:tc>
          <w:tcPr>
            <w:tcW w:type="dxa" w:w="3600"/>
          </w:tcPr>
          <w:p>
            <w:r>
              <w:rPr>
                <w:sz w:val="18"/>
              </w:rPr>
              <w:t>Role, Authority and Mandate System</w:t>
            </w:r>
          </w:p>
        </w:tc>
        <w:tc>
          <w:tcPr>
            <w:tcW w:type="dxa" w:w="864"/>
          </w:tcPr>
          <w:p>
            <w:r>
              <w:rPr>
                <w:sz w:val="18"/>
              </w:rPr>
              <w:t>RAMS</w:t>
            </w:r>
          </w:p>
        </w:tc>
        <w:tc>
          <w:tcPr>
            <w:tcW w:type="dxa" w:w="4032"/>
          </w:tcPr>
          <w:p>
            <w:r>
              <w:rPr>
                <w:sz w:val="18"/>
              </w:rPr>
              <w:t>Define who can do what before any AI executes</w:t>
            </w:r>
          </w:p>
        </w:tc>
      </w:tr>
      <w:tr>
        <w:tc>
          <w:tcPr>
            <w:tcW w:type="dxa" w:w="864"/>
          </w:tcPr>
          <w:p>
            <w:r>
              <w:rPr>
                <w:sz w:val="18"/>
              </w:rPr>
              <w:t>5</w:t>
            </w:r>
          </w:p>
        </w:tc>
        <w:tc>
          <w:tcPr>
            <w:tcW w:type="dxa" w:w="3600"/>
          </w:tcPr>
          <w:p>
            <w:r>
              <w:rPr>
                <w:sz w:val="18"/>
              </w:rPr>
              <w:t>Governance Boundary Layer</w:t>
            </w:r>
          </w:p>
        </w:tc>
        <w:tc>
          <w:tcPr>
            <w:tcW w:type="dxa" w:w="864"/>
          </w:tcPr>
          <w:p>
            <w:r>
              <w:rPr>
                <w:sz w:val="18"/>
              </w:rPr>
              <w:t>GBL</w:t>
            </w:r>
          </w:p>
        </w:tc>
        <w:tc>
          <w:tcPr>
            <w:tcW w:type="dxa" w:w="4032"/>
          </w:tcPr>
          <w:p>
            <w:r>
              <w:rPr>
                <w:sz w:val="18"/>
              </w:rPr>
              <w:t>Hard perimeters between AI domains</w:t>
            </w:r>
          </w:p>
        </w:tc>
      </w:tr>
      <w:tr>
        <w:tc>
          <w:tcPr>
            <w:tcW w:type="dxa" w:w="864"/>
          </w:tcPr>
          <w:p>
            <w:r>
              <w:rPr>
                <w:sz w:val="18"/>
              </w:rPr>
              <w:t>6</w:t>
            </w:r>
          </w:p>
        </w:tc>
        <w:tc>
          <w:tcPr>
            <w:tcW w:type="dxa" w:w="3600"/>
          </w:tcPr>
          <w:p>
            <w:r>
              <w:rPr>
                <w:sz w:val="18"/>
              </w:rPr>
              <w:t>Authority Decay System</w:t>
            </w:r>
          </w:p>
        </w:tc>
        <w:tc>
          <w:tcPr>
            <w:tcW w:type="dxa" w:w="864"/>
          </w:tcPr>
          <w:p>
            <w:r>
              <w:rPr>
                <w:sz w:val="18"/>
              </w:rPr>
              <w:t>ADS</w:t>
            </w:r>
          </w:p>
        </w:tc>
        <w:tc>
          <w:tcPr>
            <w:tcW w:type="dxa" w:w="4032"/>
          </w:tcPr>
          <w:p>
            <w:r>
              <w:rPr>
                <w:sz w:val="18"/>
              </w:rPr>
              <w:t>Nothing is permanent -- mandates expire</w:t>
            </w:r>
          </w:p>
        </w:tc>
      </w:tr>
      <w:tr>
        <w:tc>
          <w:tcPr>
            <w:tcW w:type="dxa" w:w="864"/>
          </w:tcPr>
          <w:p>
            <w:r>
              <w:rPr>
                <w:sz w:val="18"/>
              </w:rPr>
              <w:t>7</w:t>
            </w:r>
          </w:p>
        </w:tc>
        <w:tc>
          <w:tcPr>
            <w:tcW w:type="dxa" w:w="3600"/>
          </w:tcPr>
          <w:p>
            <w:r>
              <w:rPr>
                <w:sz w:val="18"/>
              </w:rPr>
              <w:t>Evidence Custody System</w:t>
            </w:r>
          </w:p>
        </w:tc>
        <w:tc>
          <w:tcPr>
            <w:tcW w:type="dxa" w:w="864"/>
          </w:tcPr>
          <w:p>
            <w:r>
              <w:rPr>
                <w:sz w:val="18"/>
              </w:rPr>
              <w:t>ECS</w:t>
            </w:r>
          </w:p>
        </w:tc>
        <w:tc>
          <w:tcPr>
            <w:tcW w:type="dxa" w:w="4032"/>
          </w:tcPr>
          <w:p>
            <w:r>
              <w:rPr>
                <w:sz w:val="18"/>
              </w:rPr>
              <w:t>Court-grade proof from day one</w:t>
            </w:r>
          </w:p>
        </w:tc>
      </w:tr>
      <w:tr>
        <w:tc>
          <w:tcPr>
            <w:tcW w:type="dxa" w:w="864"/>
          </w:tcPr>
          <w:p>
            <w:r>
              <w:rPr>
                <w:sz w:val="18"/>
              </w:rPr>
              <w:t>8</w:t>
            </w:r>
          </w:p>
        </w:tc>
        <w:tc>
          <w:tcPr>
            <w:tcW w:type="dxa" w:w="3600"/>
          </w:tcPr>
          <w:p>
            <w:r>
              <w:rPr>
                <w:sz w:val="18"/>
              </w:rPr>
              <w:t>Policy Ingestion and Enforcement System</w:t>
            </w:r>
          </w:p>
        </w:tc>
        <w:tc>
          <w:tcPr>
            <w:tcW w:type="dxa" w:w="864"/>
          </w:tcPr>
          <w:p>
            <w:r>
              <w:rPr>
                <w:sz w:val="18"/>
              </w:rPr>
              <w:t>PIES</w:t>
            </w:r>
          </w:p>
        </w:tc>
        <w:tc>
          <w:tcPr>
            <w:tcW w:type="dxa" w:w="4032"/>
          </w:tcPr>
          <w:p>
            <w:r>
              <w:rPr>
                <w:sz w:val="18"/>
              </w:rPr>
              <w:t>Convert existing rules to executable constraints</w:t>
            </w:r>
          </w:p>
        </w:tc>
      </w:tr>
      <w:tr>
        <w:tc>
          <w:tcPr>
            <w:tcW w:type="dxa" w:w="864"/>
          </w:tcPr>
          <w:p>
            <w:r>
              <w:rPr>
                <w:sz w:val="18"/>
              </w:rPr>
              <w:t>9</w:t>
            </w:r>
          </w:p>
        </w:tc>
        <w:tc>
          <w:tcPr>
            <w:tcW w:type="dxa" w:w="3600"/>
          </w:tcPr>
          <w:p>
            <w:r>
              <w:rPr>
                <w:sz w:val="18"/>
              </w:rPr>
              <w:t>Failure Management System</w:t>
            </w:r>
          </w:p>
        </w:tc>
        <w:tc>
          <w:tcPr>
            <w:tcW w:type="dxa" w:w="864"/>
          </w:tcPr>
          <w:p>
            <w:r>
              <w:rPr>
                <w:sz w:val="18"/>
              </w:rPr>
              <w:t>FMS</w:t>
            </w:r>
          </w:p>
        </w:tc>
        <w:tc>
          <w:tcPr>
            <w:tcW w:type="dxa" w:w="4032"/>
          </w:tcPr>
          <w:p>
            <w:r>
              <w:rPr>
                <w:sz w:val="18"/>
              </w:rPr>
              <w:t>Classify and learn from failures immediately</w:t>
            </w:r>
          </w:p>
        </w:tc>
      </w:tr>
      <w:tr>
        <w:tc>
          <w:tcPr>
            <w:tcW w:type="dxa" w:w="864"/>
          </w:tcPr>
          <w:p>
            <w:r>
              <w:rPr>
                <w:sz w:val="18"/>
              </w:rPr>
              <w:t>10</w:t>
            </w:r>
          </w:p>
        </w:tc>
        <w:tc>
          <w:tcPr>
            <w:tcW w:type="dxa" w:w="3600"/>
          </w:tcPr>
          <w:p>
            <w:r>
              <w:rPr>
                <w:sz w:val="18"/>
              </w:rPr>
              <w:t>Conflict-of-Interest Engine</w:t>
            </w:r>
          </w:p>
        </w:tc>
        <w:tc>
          <w:tcPr>
            <w:tcW w:type="dxa" w:w="864"/>
          </w:tcPr>
          <w:p>
            <w:r>
              <w:rPr>
                <w:sz w:val="18"/>
              </w:rPr>
              <w:t>COIE</w:t>
            </w:r>
          </w:p>
        </w:tc>
        <w:tc>
          <w:tcPr>
            <w:tcW w:type="dxa" w:w="4032"/>
          </w:tcPr>
          <w:p>
            <w:r>
              <w:rPr>
                <w:sz w:val="18"/>
              </w:rPr>
              <w:t>Detect hidden conflicts before they corrupt decisions</w:t>
            </w:r>
          </w:p>
        </w:tc>
      </w:tr>
    </w:tbl>
    <w:p/>
    <w:p>
      <w:pPr>
        <w:pStyle w:val="Heading2"/>
      </w:pPr>
      <w:r>
        <w:rPr>
          <w:color w:val="001E46"/>
        </w:rPr>
        <w:t>Enhancement Layer Deployment Sequence</w:t>
      </w:r>
    </w:p>
    <w:p>
      <w:r>
        <w:rPr>
          <w:b/>
          <w:i w:val="0"/>
        </w:rPr>
        <w:t>The 50-subsystem Enhancement Layer deploys in 5 phases aligned with audience maturity:</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720"/>
          </w:tcPr>
          <w:p>
            <w:r>
              <w:rPr>
                <w:b/>
                <w:sz w:val="18"/>
              </w:rPr>
              <w:t>Phase</w:t>
            </w:r>
          </w:p>
        </w:tc>
        <w:tc>
          <w:tcPr>
            <w:tcW w:type="dxa" w:w="2592"/>
          </w:tcPr>
          <w:p>
            <w:r>
              <w:rPr>
                <w:b/>
                <w:sz w:val="18"/>
              </w:rPr>
              <w:t>Tier</w:t>
            </w:r>
          </w:p>
        </w:tc>
        <w:tc>
          <w:tcPr>
            <w:tcW w:type="dxa" w:w="2880"/>
          </w:tcPr>
          <w:p>
            <w:r>
              <w:rPr>
                <w:b/>
                <w:sz w:val="18"/>
              </w:rPr>
              <w:t>Subsystems</w:t>
            </w:r>
          </w:p>
        </w:tc>
        <w:tc>
          <w:tcPr>
            <w:tcW w:type="dxa" w:w="1152"/>
          </w:tcPr>
          <w:p>
            <w:r>
              <w:rPr>
                <w:b/>
                <w:sz w:val="18"/>
              </w:rPr>
              <w:t>Timeline</w:t>
            </w:r>
          </w:p>
        </w:tc>
        <w:tc>
          <w:tcPr>
            <w:tcW w:type="dxa" w:w="2016"/>
          </w:tcPr>
          <w:p>
            <w:r>
              <w:rPr>
                <w:b/>
                <w:sz w:val="18"/>
              </w:rPr>
              <w:t>Gate Criteria</w:t>
            </w:r>
          </w:p>
        </w:tc>
      </w:tr>
      <w:tr>
        <w:tc>
          <w:tcPr>
            <w:tcW w:type="dxa" w:w="720"/>
          </w:tcPr>
          <w:p>
            <w:r>
              <w:rPr>
                <w:sz w:val="18"/>
              </w:rPr>
              <w:t>1</w:t>
            </w:r>
          </w:p>
        </w:tc>
        <w:tc>
          <w:tcPr>
            <w:tcW w:type="dxa" w:w="2592"/>
          </w:tcPr>
          <w:p>
            <w:r>
              <w:rPr>
                <w:sz w:val="18"/>
              </w:rPr>
              <w:t>Foundational Safety (1-10)</w:t>
            </w:r>
          </w:p>
        </w:tc>
        <w:tc>
          <w:tcPr>
            <w:tcW w:type="dxa" w:w="2880"/>
          </w:tcPr>
          <w:p>
            <w:r>
              <w:rPr>
                <w:sz w:val="18"/>
              </w:rPr>
              <w:t>Input validation, output boundary, error containment, logging, access control</w:t>
            </w:r>
          </w:p>
        </w:tc>
        <w:tc>
          <w:tcPr>
            <w:tcW w:type="dxa" w:w="1152"/>
          </w:tcPr>
          <w:p>
            <w:r>
              <w:rPr>
                <w:sz w:val="18"/>
              </w:rPr>
              <w:t>Month 1-3</w:t>
            </w:r>
          </w:p>
        </w:tc>
        <w:tc>
          <w:tcPr>
            <w:tcW w:type="dxa" w:w="2016"/>
          </w:tcPr>
          <w:p>
            <w:r>
              <w:rPr>
                <w:sz w:val="18"/>
              </w:rPr>
              <w:t>All safety subsystems operational and audited</w:t>
            </w:r>
          </w:p>
        </w:tc>
      </w:tr>
      <w:tr>
        <w:tc>
          <w:tcPr>
            <w:tcW w:type="dxa" w:w="720"/>
          </w:tcPr>
          <w:p>
            <w:r>
              <w:rPr>
                <w:sz w:val="18"/>
              </w:rPr>
              <w:t>2</w:t>
            </w:r>
          </w:p>
        </w:tc>
        <w:tc>
          <w:tcPr>
            <w:tcW w:type="dxa" w:w="2592"/>
          </w:tcPr>
          <w:p>
            <w:r>
              <w:rPr>
                <w:sz w:val="18"/>
              </w:rPr>
              <w:t>Infrastructure Control (11-20)</w:t>
            </w:r>
          </w:p>
        </w:tc>
        <w:tc>
          <w:tcPr>
            <w:tcW w:type="dxa" w:w="2880"/>
          </w:tcPr>
          <w:p>
            <w:r>
              <w:rPr>
                <w:sz w:val="18"/>
              </w:rPr>
              <w:t>Resource management, model versioning, pipeline governance, deployment gates</w:t>
            </w:r>
          </w:p>
        </w:tc>
        <w:tc>
          <w:tcPr>
            <w:tcW w:type="dxa" w:w="1152"/>
          </w:tcPr>
          <w:p>
            <w:r>
              <w:rPr>
                <w:sz w:val="18"/>
              </w:rPr>
              <w:t>Month 3-6</w:t>
            </w:r>
          </w:p>
        </w:tc>
        <w:tc>
          <w:tcPr>
            <w:tcW w:type="dxa" w:w="2016"/>
          </w:tcPr>
          <w:p>
            <w:r>
              <w:rPr>
                <w:sz w:val="18"/>
              </w:rPr>
              <w:t>No unversioned model in production</w:t>
            </w:r>
          </w:p>
        </w:tc>
      </w:tr>
      <w:tr>
        <w:tc>
          <w:tcPr>
            <w:tcW w:type="dxa" w:w="720"/>
          </w:tcPr>
          <w:p>
            <w:r>
              <w:rPr>
                <w:sz w:val="18"/>
              </w:rPr>
              <w:t>3</w:t>
            </w:r>
          </w:p>
        </w:tc>
        <w:tc>
          <w:tcPr>
            <w:tcW w:type="dxa" w:w="2592"/>
          </w:tcPr>
          <w:p>
            <w:r>
              <w:rPr>
                <w:sz w:val="18"/>
              </w:rPr>
              <w:t>Strategic Control (21-30)</w:t>
            </w:r>
          </w:p>
        </w:tc>
        <w:tc>
          <w:tcPr>
            <w:tcW w:type="dxa" w:w="2880"/>
          </w:tcPr>
          <w:p>
            <w:r>
              <w:rPr>
                <w:sz w:val="18"/>
              </w:rPr>
              <w:t>Business alignment, ROI measurement, risk-reward, stakeholder impact</w:t>
            </w:r>
          </w:p>
        </w:tc>
        <w:tc>
          <w:tcPr>
            <w:tcW w:type="dxa" w:w="1152"/>
          </w:tcPr>
          <w:p>
            <w:r>
              <w:rPr>
                <w:sz w:val="18"/>
              </w:rPr>
              <w:t>Month 6-12</w:t>
            </w:r>
          </w:p>
        </w:tc>
        <w:tc>
          <w:tcPr>
            <w:tcW w:type="dxa" w:w="2016"/>
          </w:tcPr>
          <w:p>
            <w:r>
              <w:rPr>
                <w:sz w:val="18"/>
              </w:rPr>
              <w:t>All AI investments tied to measurable outcomes</w:t>
            </w:r>
          </w:p>
        </w:tc>
      </w:tr>
      <w:tr>
        <w:tc>
          <w:tcPr>
            <w:tcW w:type="dxa" w:w="720"/>
          </w:tcPr>
          <w:p>
            <w:r>
              <w:rPr>
                <w:sz w:val="18"/>
              </w:rPr>
              <w:t>4</w:t>
            </w:r>
          </w:p>
        </w:tc>
        <w:tc>
          <w:tcPr>
            <w:tcW w:type="dxa" w:w="2592"/>
          </w:tcPr>
          <w:p>
            <w:r>
              <w:rPr>
                <w:sz w:val="18"/>
              </w:rPr>
              <w:t>Sovereignty Control (31-40)</w:t>
            </w:r>
          </w:p>
        </w:tc>
        <w:tc>
          <w:tcPr>
            <w:tcW w:type="dxa" w:w="2880"/>
          </w:tcPr>
          <w:p>
            <w:r>
              <w:rPr>
                <w:sz w:val="18"/>
              </w:rPr>
              <w:t>Vendor independence, data sovereignty, IP protection, exit strategy</w:t>
            </w:r>
          </w:p>
        </w:tc>
        <w:tc>
          <w:tcPr>
            <w:tcW w:type="dxa" w:w="1152"/>
          </w:tcPr>
          <w:p>
            <w:r>
              <w:rPr>
                <w:sz w:val="18"/>
              </w:rPr>
              <w:t>Month 12-18</w:t>
            </w:r>
          </w:p>
        </w:tc>
        <w:tc>
          <w:tcPr>
            <w:tcW w:type="dxa" w:w="2016"/>
          </w:tcPr>
          <w:p>
            <w:r>
              <w:rPr>
                <w:sz w:val="18"/>
              </w:rPr>
              <w:t>No single-vendor dependency above 30%</w:t>
            </w:r>
          </w:p>
        </w:tc>
      </w:tr>
      <w:tr>
        <w:tc>
          <w:tcPr>
            <w:tcW w:type="dxa" w:w="720"/>
          </w:tcPr>
          <w:p>
            <w:r>
              <w:rPr>
                <w:sz w:val="18"/>
              </w:rPr>
              <w:t>5</w:t>
            </w:r>
          </w:p>
        </w:tc>
        <w:tc>
          <w:tcPr>
            <w:tcW w:type="dxa" w:w="2592"/>
          </w:tcPr>
          <w:p>
            <w:r>
              <w:rPr>
                <w:sz w:val="18"/>
              </w:rPr>
              <w:t>Constitutional Control (41-50)</w:t>
            </w:r>
          </w:p>
        </w:tc>
        <w:tc>
          <w:tcPr>
            <w:tcW w:type="dxa" w:w="2880"/>
          </w:tcPr>
          <w:p>
            <w:r>
              <w:rPr>
                <w:sz w:val="18"/>
              </w:rPr>
              <w:t>Atomic constraint enforcement, PCI detection, democratic override, extinction risk</w:t>
            </w:r>
          </w:p>
        </w:tc>
        <w:tc>
          <w:tcPr>
            <w:tcW w:type="dxa" w:w="1152"/>
          </w:tcPr>
          <w:p>
            <w:r>
              <w:rPr>
                <w:sz w:val="18"/>
              </w:rPr>
              <w:t>Month 18-24</w:t>
            </w:r>
          </w:p>
        </w:tc>
        <w:tc>
          <w:tcPr>
            <w:tcW w:type="dxa" w:w="2016"/>
          </w:tcPr>
          <w:p>
            <w:r>
              <w:rPr>
                <w:sz w:val="18"/>
              </w:rPr>
              <w:t>Full constitutional governance operational</w:t>
            </w:r>
          </w:p>
        </w:tc>
      </w:tr>
    </w:tbl>
    <w:p/>
    <w:p>
      <w:pPr>
        <w:pStyle w:val="Heading2"/>
      </w:pPr>
      <w:r>
        <w:rPr>
          <w:color w:val="001E46"/>
        </w:rPr>
        <w:t>ORF Protocol Integration</w:t>
      </w:r>
    </w:p>
    <w:p>
      <w:r>
        <w:rPr>
          <w:b/>
          <w:i w:val="0"/>
        </w:rPr>
        <w:t>The 4 monetization pillars map to audience deployment:</w:t>
      </w:r>
    </w:p>
    <w:p>
      <w:pPr>
        <w:pStyle w:val="ListBullet"/>
      </w:pPr>
      <w:r>
        <w:t>Efficiency Capture: Immediate value for all audiences -- governance that saves more than it costs (Tier A deployment)</w:t>
      </w:r>
    </w:p>
    <w:p>
      <w:pPr>
        <w:pStyle w:val="ListBullet"/>
      </w:pPr>
      <w:r>
        <w:t>Participation Rent: Platform revenue from ecosystem access -- scales with adoption (Tier B deployment)</w:t>
      </w:r>
    </w:p>
    <w:p>
      <w:pPr>
        <w:pStyle w:val="ListBullet"/>
      </w:pPr>
      <w:r>
        <w:t>Legitimacy Rent: Certification and credentialing revenue -- becomes mandatory as regulation tightens (Tier B-C deployment)</w:t>
      </w:r>
    </w:p>
    <w:p>
      <w:pPr>
        <w:pStyle w:val="ListBullet"/>
      </w:pPr>
      <w:r>
        <w:t>Risk Absorption Rent: Insurance and liability revenue -- ultimate monetization layer (Tier C deployment)</w:t>
      </w:r>
    </w:p>
    <w:p>
      <w:r>
        <w:br w:type="page"/>
      </w:r>
    </w:p>
    <w:p>
      <w:pPr>
        <w:pStyle w:val="Heading1"/>
      </w:pPr>
      <w:r>
        <w:rPr>
          <w:color w:val="000000"/>
        </w:rPr>
        <w:t>SECTION VI: ADVERSARIAL RED-TEAM CRITIQUE AGAINST AINEFF</w:t>
      </w:r>
    </w:p>
    <w:p>
      <w:r>
        <w:rPr>
          <w:b/>
          <w:i w:val="0"/>
          <w:sz w:val="22"/>
        </w:rPr>
        <w:t>If AINEFF cannot survive adversarial scrutiny, it is not sovereign-grade. These are the structural attack vectors:</w:t>
      </w:r>
    </w:p>
    <w:p>
      <w:r>
        <w:rPr>
          <w:b/>
          <w:i w:val="0"/>
        </w:rPr>
        <w:t>ATTACK: Leadership Turnover Vulnerability</w:t>
      </w:r>
    </w:p>
    <w:p>
      <w:r>
        <w:rPr>
          <w:b w:val="0"/>
          <w:i w:val="0"/>
        </w:rPr>
        <w:t>AINEFF depends on Named Liable Officers. When leadership changes (elections, coups, CEO replacement), the entire accountability chain breaks. New leaders may repudiate commitments.</w:t>
      </w:r>
    </w:p>
    <w:p>
      <w:r>
        <w:rPr>
          <w:b/>
          <w:i w:val="0"/>
        </w:rPr>
        <w:t>DEFENSE:</w:t>
      </w:r>
    </w:p>
    <w:p>
      <w:r>
        <w:rPr>
          <w:b w:val="0"/>
          <w:i w:val="0"/>
        </w:rPr>
        <w:t>Constitutional embedding: AINEFF governance rules are installed at the charter/constitutional level, not the leadership level. Authority Decay System forces re-authorization by new leadership, but base constraints persist regardless of personnel. Mandatory minimum governance baseline cannot be reduced by incoming leadership -- only expanded.</w:t>
      </w:r>
    </w:p>
    <w:p>
      <w:r>
        <w:rPr>
          <w:b/>
          <w:i w:val="0"/>
        </w:rPr>
        <w:t>ATTACK: Political Capture Risk</w:t>
      </w:r>
    </w:p>
    <w:p>
      <w:r>
        <w:rPr>
          <w:b w:val="0"/>
          <w:i w:val="0"/>
        </w:rPr>
        <w:t>Governments and institutions may capture AINEFF itself, turning governance infrastructure into a tool of political control rather than accountability.</w:t>
      </w:r>
    </w:p>
    <w:p>
      <w:r>
        <w:rPr>
          <w:b/>
          <w:i w:val="0"/>
        </w:rPr>
        <w:t>DEFENSE:</w:t>
      </w:r>
    </w:p>
    <w:p>
      <w:r>
        <w:rPr>
          <w:b w:val="0"/>
          <w:i w:val="0"/>
        </w:rPr>
        <w:t>PCI Framework applies to AINEFF entities themselves. No single government or institution can hold more than 25% influence over AINEFF governance evolution. Constitutional Amendment Service requires multi-stakeholder ratification. Canonical Export and Fork Protocol allows any participant to exit without losing their governance infrastructure.</w:t>
      </w:r>
    </w:p>
    <w:p>
      <w:r>
        <w:rPr>
          <w:b/>
          <w:i w:val="0"/>
        </w:rPr>
        <w:t>ATTACK: Incentive Corruption</w:t>
      </w:r>
    </w:p>
    <w:p>
      <w:r>
        <w:rPr>
          <w:b w:val="0"/>
          <w:i w:val="0"/>
        </w:rPr>
        <w:t>AINEFF operators and governance officers may be bribed, coerced, or incentivized to compromise governance. The system assumes human integrity it cannot guarantee.</w:t>
      </w:r>
    </w:p>
    <w:p>
      <w:r>
        <w:rPr>
          <w:b/>
          <w:i w:val="0"/>
        </w:rPr>
        <w:t>DEFENSE:</w:t>
      </w:r>
    </w:p>
    <w:p>
      <w:r>
        <w:rPr>
          <w:b w:val="0"/>
          <w:i w:val="0"/>
        </w:rPr>
        <w:t>Conflict-of-Interest Engine provides mechanical detection, not human judgment. Dual-key ratification requires two independent parties for critical decisions. Rotation mandates prevent relationship-based corruption. Financial audit trails make bribery detectable. But honest assessment: social engineering remains the primary attack vector against any human-in-the-loop system.</w:t>
      </w:r>
    </w:p>
    <w:p>
      <w:r>
        <w:rPr>
          <w:b/>
          <w:i w:val="0"/>
        </w:rPr>
        <w:t>ATTACK: Decision Latency Addition</w:t>
      </w:r>
    </w:p>
    <w:p>
      <w:r>
        <w:rPr>
          <w:b w:val="0"/>
          <w:i w:val="0"/>
        </w:rPr>
        <w:t>Adding governance layers inherently adds latency. For defense and financial audiences, microseconds matter. AINEFF may make organizations slower, not faster.</w:t>
      </w:r>
    </w:p>
    <w:p>
      <w:r>
        <w:rPr>
          <w:b/>
          <w:i w:val="0"/>
        </w:rPr>
        <w:t>DEFENSE:</w:t>
      </w:r>
    </w:p>
    <w:p>
      <w:r>
        <w:rPr>
          <w:b w:val="0"/>
          <w:i w:val="0"/>
        </w:rPr>
        <w:t>Pre-authorized response envelopes allow instant action within defined parameters. Governance adds latency only to novel decisions, not routine ones. The sub-10ms E-AEGL decision governance layer handles real-time requirements. For defense: pre-authorized Rules of Engagement eliminate latency for anticipated scenarios. But honest assessment: truly novel crises will always be slower with governance than without it. The trade-off is speed vs. accountability.</w:t>
      </w:r>
    </w:p>
    <w:p>
      <w:r>
        <w:rPr>
          <w:b/>
          <w:i w:val="0"/>
        </w:rPr>
        <w:t>ATTACK: Information Integrity Under Stress</w:t>
      </w:r>
    </w:p>
    <w:p>
      <w:r>
        <w:rPr>
          <w:b w:val="0"/>
          <w:i w:val="0"/>
        </w:rPr>
        <w:t>During crises, information quality degrades. AINEFF audit trails are only as good as the information fed into them. Garbage in, garbage audited out.</w:t>
      </w:r>
    </w:p>
    <w:p>
      <w:r>
        <w:rPr>
          <w:b/>
          <w:i w:val="0"/>
        </w:rPr>
        <w:t>DEFENSE:</w:t>
      </w:r>
    </w:p>
    <w:p>
      <w:r>
        <w:rPr>
          <w:b w:val="0"/>
          <w:i w:val="0"/>
        </w:rPr>
        <w:t>Semantic Snapshot at Decision Time captures the information state when decisions were made, not retroactive reconstruction. Misinterpretation Index and Drift Control detects when information quality falls below thresholds. Sovereign Emergency Interface activates simplified governance during crisis. But honest assessment: a sufficiently corrupted information environment can undermine any governance system.</w:t>
      </w:r>
    </w:p>
    <w:p>
      <w:r>
        <w:rPr>
          <w:b/>
          <w:i w:val="0"/>
        </w:rPr>
        <w:t>ATTACK: Complexity as Attack Surface</w:t>
      </w:r>
    </w:p>
    <w:p>
      <w:r>
        <w:rPr>
          <w:b w:val="0"/>
          <w:i w:val="0"/>
        </w:rPr>
        <w:t>35 canonical systems, 50 enhancement subsystems, 26 economic surfaces -- the sheer complexity of AINEFF may itself become a source of entropy and vulnerability.</w:t>
      </w:r>
    </w:p>
    <w:p>
      <w:r>
        <w:rPr>
          <w:b/>
          <w:i w:val="0"/>
        </w:rPr>
        <w:t>DEFENSE:</w:t>
      </w:r>
    </w:p>
    <w:p>
      <w:r>
        <w:rPr>
          <w:b w:val="0"/>
          <w:i w:val="0"/>
        </w:rPr>
        <w:t>Modular deployment: not all systems deploy simultaneously. Minimum viable governance starts with 10 core systems. Complexity scales with organizational maturity. Each system is independently testable and replaceable. But honest assessment: system-of-systems complexity is a genuine risk. Simplification pressure must be constant.</w:t>
      </w:r>
    </w:p>
    <w:p>
      <w:r>
        <w:rPr>
          <w:b/>
          <w:i w:val="0"/>
        </w:rPr>
        <w:t>ATTACK: Revenue-Governance Conflict</w:t>
      </w:r>
    </w:p>
    <w:p>
      <w:r>
        <w:rPr>
          <w:b w:val="0"/>
          <w:i w:val="0"/>
        </w:rPr>
        <w:t>AINEFF ecosystem generates revenue from governance services. This creates a perverse incentive: more governance failures = more demand for governance products. The system may unconsciously resist solving the problem it monetizes.</w:t>
      </w:r>
    </w:p>
    <w:p>
      <w:r>
        <w:rPr>
          <w:b/>
          <w:i w:val="0"/>
        </w:rPr>
        <w:t>DEFENSE:</w:t>
      </w:r>
    </w:p>
    <w:p>
      <w:r>
        <w:rPr>
          <w:b w:val="0"/>
          <w:i w:val="0"/>
        </w:rPr>
        <w:t>ORF Protocol Pillar 1 (Efficiency Capture) means AINEFF revenue grows when clients become MORE efficient, not less. Success metrics tied to client entropy reduction, not governance consumption. PCI monitoring prevents AINEFF entities from creating artificial demand. But honest assessment: this tension is real and requires constant vigilance.</w:t>
      </w:r>
    </w:p>
    <w:p>
      <w:r>
        <w:br w:type="page"/>
      </w:r>
    </w:p>
    <w:p>
      <w:pPr>
        <w:pStyle w:val="Heading1"/>
      </w:pPr>
      <w:r>
        <w:rPr>
          <w:color w:val="000000"/>
        </w:rPr>
        <w:t>SECTION VII: 90-DAY DEPLOYMENT ROADMAP</w:t>
      </w:r>
    </w:p>
    <w:p>
      <w:pPr>
        <w:pStyle w:val="Heading2"/>
      </w:pPr>
      <w:r>
        <w:rPr>
          <w:color w:val="001E46"/>
        </w:rPr>
        <w:t>Priority Audience Sequencing</w:t>
      </w:r>
    </w:p>
    <w:p>
      <w:r>
        <w:rPr>
          <w:b/>
          <w:i w:val="0"/>
        </w:rPr>
        <w:t>Not all 15 audiences are engaged simultaneously. The 90-day roadmap prioritizes based on: (1) metabolic urgency, (2) revenue potential, (3) reference value, (4) execution feasibility.</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864"/>
          </w:tcPr>
          <w:p>
            <w:r>
              <w:rPr>
                <w:b/>
                <w:sz w:val="18"/>
              </w:rPr>
              <w:t>Week</w:t>
            </w:r>
          </w:p>
        </w:tc>
        <w:tc>
          <w:tcPr>
            <w:tcW w:type="dxa" w:w="1728"/>
          </w:tcPr>
          <w:p>
            <w:r>
              <w:rPr>
                <w:b/>
                <w:sz w:val="18"/>
              </w:rPr>
              <w:t>Focus</w:t>
            </w:r>
          </w:p>
        </w:tc>
        <w:tc>
          <w:tcPr>
            <w:tcW w:type="dxa" w:w="2304"/>
          </w:tcPr>
          <w:p>
            <w:r>
              <w:rPr>
                <w:b/>
                <w:sz w:val="18"/>
              </w:rPr>
              <w:t>Audiences</w:t>
            </w:r>
          </w:p>
        </w:tc>
        <w:tc>
          <w:tcPr>
            <w:tcW w:type="dxa" w:w="2880"/>
          </w:tcPr>
          <w:p>
            <w:r>
              <w:rPr>
                <w:b/>
                <w:sz w:val="18"/>
              </w:rPr>
              <w:t>Deliverable</w:t>
            </w:r>
          </w:p>
        </w:tc>
        <w:tc>
          <w:tcPr>
            <w:tcW w:type="dxa" w:w="1584"/>
          </w:tcPr>
          <w:p>
            <w:r>
              <w:rPr>
                <w:b/>
                <w:sz w:val="18"/>
              </w:rPr>
              <w:t>Revenue Target</w:t>
            </w:r>
          </w:p>
        </w:tc>
      </w:tr>
      <w:tr>
        <w:tc>
          <w:tcPr>
            <w:tcW w:type="dxa" w:w="864"/>
          </w:tcPr>
          <w:p>
            <w:r>
              <w:rPr>
                <w:sz w:val="18"/>
              </w:rPr>
              <w:t>1-2</w:t>
            </w:r>
          </w:p>
        </w:tc>
        <w:tc>
          <w:tcPr>
            <w:tcW w:type="dxa" w:w="1728"/>
          </w:tcPr>
          <w:p>
            <w:r>
              <w:rPr>
                <w:sz w:val="18"/>
              </w:rPr>
              <w:t>Pipeline Development</w:t>
            </w:r>
          </w:p>
        </w:tc>
        <w:tc>
          <w:tcPr>
            <w:tcW w:type="dxa" w:w="2304"/>
          </w:tcPr>
          <w:p>
            <w:r>
              <w:rPr>
                <w:sz w:val="18"/>
              </w:rPr>
              <w:t>9 (Banks), 7 (MNCs), 8 (Legacy)</w:t>
            </w:r>
          </w:p>
        </w:tc>
        <w:tc>
          <w:tcPr>
            <w:tcW w:type="dxa" w:w="2880"/>
          </w:tcPr>
          <w:p>
            <w:r>
              <w:rPr>
                <w:sz w:val="18"/>
              </w:rPr>
              <w:t>Target 15 accounts with AI governance pain</w:t>
            </w:r>
          </w:p>
        </w:tc>
        <w:tc>
          <w:tcPr>
            <w:tcW w:type="dxa" w:w="1584"/>
          </w:tcPr>
          <w:p>
            <w:r>
              <w:rPr>
                <w:sz w:val="18"/>
              </w:rPr>
              <w:t>USD 0 (pipeline)</w:t>
            </w:r>
          </w:p>
        </w:tc>
      </w:tr>
      <w:tr>
        <w:tc>
          <w:tcPr>
            <w:tcW w:type="dxa" w:w="864"/>
          </w:tcPr>
          <w:p>
            <w:r>
              <w:rPr>
                <w:sz w:val="18"/>
              </w:rPr>
              <w:t>3-4</w:t>
            </w:r>
          </w:p>
        </w:tc>
        <w:tc>
          <w:tcPr>
            <w:tcW w:type="dxa" w:w="1728"/>
          </w:tcPr>
          <w:p>
            <w:r>
              <w:rPr>
                <w:sz w:val="18"/>
              </w:rPr>
              <w:t>Discovery Engagements</w:t>
            </w:r>
          </w:p>
        </w:tc>
        <w:tc>
          <w:tcPr>
            <w:tcW w:type="dxa" w:w="2304"/>
          </w:tcPr>
          <w:p>
            <w:r>
              <w:rPr>
                <w:sz w:val="18"/>
              </w:rPr>
              <w:t>9, 7, 14 (Founders)</w:t>
            </w:r>
          </w:p>
        </w:tc>
        <w:tc>
          <w:tcPr>
            <w:tcW w:type="dxa" w:w="2880"/>
          </w:tcPr>
          <w:p>
            <w:r>
              <w:rPr>
                <w:sz w:val="18"/>
              </w:rPr>
              <w:t>Governance Gap Analyzer assessments</w:t>
            </w:r>
          </w:p>
        </w:tc>
        <w:tc>
          <w:tcPr>
            <w:tcW w:type="dxa" w:w="1584"/>
          </w:tcPr>
          <w:p>
            <w:r>
              <w:rPr>
                <w:sz w:val="18"/>
              </w:rPr>
              <w:t>USD 75K-USD 150K</w:t>
            </w:r>
          </w:p>
        </w:tc>
      </w:tr>
      <w:tr>
        <w:tc>
          <w:tcPr>
            <w:tcW w:type="dxa" w:w="864"/>
          </w:tcPr>
          <w:p>
            <w:r>
              <w:rPr>
                <w:sz w:val="18"/>
              </w:rPr>
              <w:t>5-6</w:t>
            </w:r>
          </w:p>
        </w:tc>
        <w:tc>
          <w:tcPr>
            <w:tcW w:type="dxa" w:w="1728"/>
          </w:tcPr>
          <w:p>
            <w:r>
              <w:rPr>
                <w:sz w:val="18"/>
              </w:rPr>
              <w:t>First Deployments</w:t>
            </w:r>
          </w:p>
        </w:tc>
        <w:tc>
          <w:tcPr>
            <w:tcW w:type="dxa" w:w="2304"/>
          </w:tcPr>
          <w:p>
            <w:r>
              <w:rPr>
                <w:sz w:val="18"/>
              </w:rPr>
              <w:t>9, 8</w:t>
            </w:r>
          </w:p>
        </w:tc>
        <w:tc>
          <w:tcPr>
            <w:tcW w:type="dxa" w:w="2880"/>
          </w:tcPr>
          <w:p>
            <w:r>
              <w:rPr>
                <w:sz w:val="18"/>
              </w:rPr>
              <w:t>AI Billing Recovery Engine + Governance Audit</w:t>
            </w:r>
          </w:p>
        </w:tc>
        <w:tc>
          <w:tcPr>
            <w:tcW w:type="dxa" w:w="1584"/>
          </w:tcPr>
          <w:p>
            <w:r>
              <w:rPr>
                <w:sz w:val="18"/>
              </w:rPr>
              <w:t>USD 100K-USD 250K</w:t>
            </w:r>
          </w:p>
        </w:tc>
      </w:tr>
      <w:tr>
        <w:tc>
          <w:tcPr>
            <w:tcW w:type="dxa" w:w="864"/>
          </w:tcPr>
          <w:p>
            <w:r>
              <w:rPr>
                <w:sz w:val="18"/>
              </w:rPr>
              <w:t>7-8</w:t>
            </w:r>
          </w:p>
        </w:tc>
        <w:tc>
          <w:tcPr>
            <w:tcW w:type="dxa" w:w="1728"/>
          </w:tcPr>
          <w:p>
            <w:r>
              <w:rPr>
                <w:sz w:val="18"/>
              </w:rPr>
              <w:t>WGE Sprints Launch</w:t>
            </w:r>
          </w:p>
        </w:tc>
        <w:tc>
          <w:tcPr>
            <w:tcW w:type="dxa" w:w="2304"/>
          </w:tcPr>
          <w:p>
            <w:r>
              <w:rPr>
                <w:sz w:val="18"/>
              </w:rPr>
              <w:t>7, 8, 14</w:t>
            </w:r>
          </w:p>
        </w:tc>
        <w:tc>
          <w:tcPr>
            <w:tcW w:type="dxa" w:w="2880"/>
          </w:tcPr>
          <w:p>
            <w:r>
              <w:rPr>
                <w:sz w:val="18"/>
              </w:rPr>
              <w:t>Production Stability and Margin Recovery sprints</w:t>
            </w:r>
          </w:p>
        </w:tc>
        <w:tc>
          <w:tcPr>
            <w:tcW w:type="dxa" w:w="1584"/>
          </w:tcPr>
          <w:p>
            <w:r>
              <w:rPr>
                <w:sz w:val="18"/>
              </w:rPr>
              <w:t>USD 200K-USD 400K</w:t>
            </w:r>
          </w:p>
        </w:tc>
      </w:tr>
      <w:tr>
        <w:tc>
          <w:tcPr>
            <w:tcW w:type="dxa" w:w="864"/>
          </w:tcPr>
          <w:p>
            <w:r>
              <w:rPr>
                <w:sz w:val="18"/>
              </w:rPr>
              <w:t>9-10</w:t>
            </w:r>
          </w:p>
        </w:tc>
        <w:tc>
          <w:tcPr>
            <w:tcW w:type="dxa" w:w="1728"/>
          </w:tcPr>
          <w:p>
            <w:r>
              <w:rPr>
                <w:sz w:val="18"/>
              </w:rPr>
              <w:t>Sovereign Pipeline</w:t>
            </w:r>
          </w:p>
        </w:tc>
        <w:tc>
          <w:tcPr>
            <w:tcW w:type="dxa" w:w="2304"/>
          </w:tcPr>
          <w:p>
            <w:r>
              <w:rPr>
                <w:sz w:val="18"/>
              </w:rPr>
              <w:t>1 (Govts), 2 (Defense)</w:t>
            </w:r>
          </w:p>
        </w:tc>
        <w:tc>
          <w:tcPr>
            <w:tcW w:type="dxa" w:w="2880"/>
          </w:tcPr>
          <w:p>
            <w:r>
              <w:rPr>
                <w:sz w:val="18"/>
              </w:rPr>
              <w:t>Framework briefings to 3-5 government contacts</w:t>
            </w:r>
          </w:p>
        </w:tc>
        <w:tc>
          <w:tcPr>
            <w:tcW w:type="dxa" w:w="1584"/>
          </w:tcPr>
          <w:p>
            <w:r>
              <w:rPr>
                <w:sz w:val="18"/>
              </w:rPr>
              <w:t>USD 0 (pipeline)</w:t>
            </w:r>
          </w:p>
        </w:tc>
      </w:tr>
      <w:tr>
        <w:tc>
          <w:tcPr>
            <w:tcW w:type="dxa" w:w="864"/>
          </w:tcPr>
          <w:p>
            <w:r>
              <w:rPr>
                <w:sz w:val="18"/>
              </w:rPr>
              <w:t>11-12</w:t>
            </w:r>
          </w:p>
        </w:tc>
        <w:tc>
          <w:tcPr>
            <w:tcW w:type="dxa" w:w="1728"/>
          </w:tcPr>
          <w:p>
            <w:r>
              <w:rPr>
                <w:sz w:val="18"/>
              </w:rPr>
              <w:t>Scale and Expand</w:t>
            </w:r>
          </w:p>
        </w:tc>
        <w:tc>
          <w:tcPr>
            <w:tcW w:type="dxa" w:w="2304"/>
          </w:tcPr>
          <w:p>
            <w:r>
              <w:rPr>
                <w:sz w:val="18"/>
              </w:rPr>
              <w:t>All active</w:t>
            </w:r>
          </w:p>
        </w:tc>
        <w:tc>
          <w:tcPr>
            <w:tcW w:type="dxa" w:w="2880"/>
          </w:tcPr>
          <w:p>
            <w:r>
              <w:rPr>
                <w:sz w:val="18"/>
              </w:rPr>
              <w:t>Expand initial clients to platform subscriptions</w:t>
            </w:r>
          </w:p>
        </w:tc>
        <w:tc>
          <w:tcPr>
            <w:tcW w:type="dxa" w:w="1584"/>
          </w:tcPr>
          <w:p>
            <w:r>
              <w:rPr>
                <w:sz w:val="18"/>
              </w:rPr>
              <w:t>USD 200K-USD 400K</w:t>
            </w:r>
          </w:p>
        </w:tc>
      </w:tr>
      <w:tr>
        <w:tc>
          <w:tcPr>
            <w:tcW w:type="dxa" w:w="864"/>
          </w:tcPr>
          <w:p>
            <w:r>
              <w:rPr>
                <w:sz w:val="18"/>
              </w:rPr>
              <w:t>13 (Review)</w:t>
            </w:r>
          </w:p>
        </w:tc>
        <w:tc>
          <w:tcPr>
            <w:tcW w:type="dxa" w:w="1728"/>
          </w:tcPr>
          <w:p>
            <w:r>
              <w:rPr>
                <w:sz w:val="18"/>
              </w:rPr>
              <w:t>Kill Criteria Review</w:t>
            </w:r>
          </w:p>
        </w:tc>
        <w:tc>
          <w:tcPr>
            <w:tcW w:type="dxa" w:w="2304"/>
          </w:tcPr>
          <w:p>
            <w:r>
              <w:rPr>
                <w:sz w:val="18"/>
              </w:rPr>
              <w:t>All</w:t>
            </w:r>
          </w:p>
        </w:tc>
        <w:tc>
          <w:tcPr>
            <w:tcW w:type="dxa" w:w="2880"/>
          </w:tcPr>
          <w:p>
            <w:r>
              <w:rPr>
                <w:sz w:val="18"/>
              </w:rPr>
              <w:t>Stop what is not working. Double down on what is.</w:t>
            </w:r>
          </w:p>
        </w:tc>
        <w:tc>
          <w:tcPr>
            <w:tcW w:type="dxa" w:w="1584"/>
          </w:tcPr>
          <w:p>
            <w:r>
              <w:rPr>
                <w:sz w:val="18"/>
              </w:rPr>
              <w:t>Total: USD 500K-USD 1.5M</w:t>
            </w:r>
          </w:p>
        </w:tc>
      </w:tr>
    </w:tbl>
    <w:p/>
    <w:p>
      <w:pPr>
        <w:pStyle w:val="Heading2"/>
      </w:pPr>
      <w:r>
        <w:rPr>
          <w:color w:val="001E46"/>
        </w:rPr>
        <w:t>Parallel Capability Building</w:t>
      </w:r>
    </w:p>
    <w:p>
      <w:pPr>
        <w:pStyle w:val="ListBullet"/>
      </w:pPr>
      <w:r>
        <w:t>Weeks 1-4: Launch first Levelupmax cohort (Governance and Risk track, 20-30 participants)</w:t>
      </w:r>
    </w:p>
    <w:p>
      <w:pPr>
        <w:pStyle w:val="ListBullet"/>
      </w:pPr>
      <w:r>
        <w:t>Weeks 1-6: Build governance assessment tooling (automated gap analyzer, entropy scorecard)</w:t>
      </w:r>
    </w:p>
    <w:p>
      <w:pPr>
        <w:pStyle w:val="ListBullet"/>
      </w:pPr>
      <w:r>
        <w:t>Weeks 4-8: Develop audience-specific pitch materials for top 5 audiences</w:t>
      </w:r>
    </w:p>
    <w:p>
      <w:pPr>
        <w:pStyle w:val="ListBullet"/>
      </w:pPr>
      <w:r>
        <w:t>Weeks 6-12: Deploy first AINEG monitoring instances for early clients</w:t>
      </w:r>
    </w:p>
    <w:p>
      <w:pPr>
        <w:pStyle w:val="ListBullet"/>
      </w:pPr>
      <w:r>
        <w:t>Ongoing: Document every engagement as case study material</w:t>
      </w:r>
    </w:p>
    <w:p>
      <w:r>
        <w:br w:type="page"/>
      </w:r>
    </w:p>
    <w:p>
      <w:pPr>
        <w:pStyle w:val="Heading1"/>
      </w:pPr>
      <w:r>
        <w:rPr>
          <w:color w:val="000000"/>
        </w:rPr>
        <w:t>SECTION VIII: 3-YEAR STRUCTURAL SOVEREIGNTY ARCHITECTURE</w:t>
      </w:r>
    </w:p>
    <w:p>
      <w:pPr>
        <w:pStyle w:val="Heading2"/>
      </w:pPr>
      <w:r>
        <w:rPr>
          <w:color w:val="001E46"/>
        </w:rPr>
        <w:t>Year 1: Cash Engine and Proof (Audiences 7-9, 12-14)</w:t>
      </w:r>
    </w:p>
    <w:p>
      <w:pPr>
        <w:pStyle w:val="ListBullet"/>
      </w:pPr>
      <w:r>
        <w:t>Close 50+ enterprise clients across Banks, MNCs, Legacy, Consulting, Investors, Founders</w:t>
      </w:r>
    </w:p>
    <w:p>
      <w:pPr>
        <w:pStyle w:val="ListBullet"/>
      </w:pPr>
      <w:r>
        <w:t>Deploy 100+ Levelupmax-trained operators</w:t>
      </w:r>
    </w:p>
    <w:p>
      <w:pPr>
        <w:pStyle w:val="ListBullet"/>
      </w:pPr>
      <w:r>
        <w:t>Establish AINEFF as the reference governance framework in 2-3 industry verticals</w:t>
      </w:r>
    </w:p>
    <w:p>
      <w:pPr>
        <w:pStyle w:val="ListBullet"/>
      </w:pPr>
      <w:r>
        <w:t>Revenue target: USD 7M-USD 23M</w:t>
      </w:r>
    </w:p>
    <w:p>
      <w:pPr>
        <w:pStyle w:val="ListBullet"/>
      </w:pPr>
      <w:r>
        <w:t>Key metric: 80%+ client retention, 3+ referenceable case studies per vertical</w:t>
      </w:r>
    </w:p>
    <w:p>
      <w:pPr>
        <w:pStyle w:val="Heading2"/>
      </w:pPr>
      <w:r>
        <w:rPr>
          <w:color w:val="001E46"/>
        </w:rPr>
        <w:t>Year 2: Institutional Penetration (Add Audiences 1-3, 10-11)</w:t>
      </w:r>
    </w:p>
    <w:p>
      <w:pPr>
        <w:pStyle w:val="ListBullet"/>
      </w:pPr>
      <w:r>
        <w:t>Engage 5-10 government ministries across 3-5 nations</w:t>
      </w:r>
    </w:p>
    <w:p>
      <w:pPr>
        <w:pStyle w:val="ListBullet"/>
      </w:pPr>
      <w:r>
        <w:t>Deploy governance infrastructure at 2-3 critical infrastructure operators</w:t>
      </w:r>
    </w:p>
    <w:p>
      <w:pPr>
        <w:pStyle w:val="ListBullet"/>
      </w:pPr>
      <w:r>
        <w:t>Integrate with 3-5 national industry bodies as governance standard</w:t>
      </w:r>
    </w:p>
    <w:p>
      <w:pPr>
        <w:pStyle w:val="ListBullet"/>
      </w:pPr>
      <w:r>
        <w:t>Pilot defense/intelligence deployment in 1-2 allied nations</w:t>
      </w:r>
    </w:p>
    <w:p>
      <w:pPr>
        <w:pStyle w:val="ListBullet"/>
      </w:pPr>
      <w:r>
        <w:t>Revenue target: USD 25M-USD 100M</w:t>
      </w:r>
    </w:p>
    <w:p>
      <w:pPr>
        <w:pStyle w:val="ListBullet"/>
      </w:pPr>
      <w:r>
        <w:t>Key metric: regulatory endorsement in 2+ jurisdictions</w:t>
      </w:r>
    </w:p>
    <w:p>
      <w:pPr>
        <w:pStyle w:val="Heading2"/>
      </w:pPr>
      <w:r>
        <w:rPr>
          <w:color w:val="001E46"/>
        </w:rPr>
        <w:t>Year 3: Sovereign Infrastructure (All 15 Audiences Active)</w:t>
      </w:r>
    </w:p>
    <w:p>
      <w:pPr>
        <w:pStyle w:val="ListBullet"/>
      </w:pPr>
      <w:r>
        <w:t>AINEFF framework referenced in regulatory guidance in 5+ jurisdictions</w:t>
      </w:r>
    </w:p>
    <w:p>
      <w:pPr>
        <w:pStyle w:val="ListBullet"/>
      </w:pPr>
      <w:r>
        <w:t>ORF Protocol adopted by 1-2 international institutions</w:t>
      </w:r>
    </w:p>
    <w:p>
      <w:pPr>
        <w:pStyle w:val="ListBullet"/>
      </w:pPr>
      <w:r>
        <w:t>500+ operators deployed across 10+ verticals</w:t>
      </w:r>
    </w:p>
    <w:p>
      <w:pPr>
        <w:pStyle w:val="ListBullet"/>
      </w:pPr>
      <w:r>
        <w:t>Sovereign governance stacks deployed in 3-5 nations</w:t>
      </w:r>
    </w:p>
    <w:p>
      <w:pPr>
        <w:pStyle w:val="ListBullet"/>
      </w:pPr>
      <w:r>
        <w:t>Revenue target: USD 75M-USD 345M</w:t>
      </w:r>
    </w:p>
    <w:p>
      <w:pPr>
        <w:pStyle w:val="ListBullet"/>
      </w:pPr>
      <w:r>
        <w:t>Key metric: AINEFF governance becomes regulatory expectation, not option</w:t>
      </w:r>
    </w:p>
    <w:p>
      <w:pPr>
        <w:pStyle w:val="Heading2"/>
      </w:pPr>
      <w:r>
        <w:rPr>
          <w:color w:val="001E46"/>
        </w:rPr>
        <w:t>5-Year End State: Invisible Infrastructure</w:t>
      </w:r>
    </w:p>
    <w:p>
      <w:r>
        <w:rPr>
          <w:b/>
          <w:i w:val="0"/>
        </w:rPr>
        <w:t>By Year 5, AINEFF should be invisible. Not because it disappeared, but because it became assumed. Like TCP/IP is invisible in internet communications, AINEFF governance should be the assumed substrate of all enterprise AI operations. Organizations would no more think about operating AI without AINEFF governance than they would think about sending email without TCP/IP.</w:t>
      </w:r>
    </w:p>
    <w:p>
      <w:r>
        <w:rPr>
          <w:b w:val="0"/>
          <w:i w:val="0"/>
        </w:rPr>
        <w:t>That is the definition of sovereign infrastructure: infrastructure so essential that its absence is unthinkable.</w:t>
      </w:r>
    </w:p>
    <w:p>
      <w:r>
        <w:br w:type="page"/>
      </w:r>
    </w:p>
    <w:p>
      <w:pPr>
        <w:pStyle w:val="Heading1"/>
      </w:pPr>
      <w:r>
        <w:rPr>
          <w:color w:val="000000"/>
        </w:rPr>
        <w:t>SECTION IX: SYSTEMIC SHOCK SIMULATION</w:t>
      </w:r>
    </w:p>
    <w:p>
      <w:r>
        <w:rPr>
          <w:b/>
          <w:i w:val="0"/>
        </w:rPr>
        <w:t>Sovereign infrastructure must survive systemic shocks. The following simulations test AINEFF resilience across the 15 audiences:</w:t>
      </w:r>
    </w:p>
    <w:p>
      <w:pPr>
        <w:pStyle w:val="Heading2"/>
      </w:pPr>
      <w:r>
        <w:rPr>
          <w:color w:val="001E46"/>
        </w:rPr>
        <w:t>Shock 1: Global Liquidity Contraction</w:t>
      </w:r>
    </w:p>
    <w:p>
      <w:r>
        <w:rPr>
          <w:b w:val="0"/>
          <w:i/>
        </w:rPr>
        <w:t>Scenario: 40% reduction in available capital across all audiences simultaneously.</w:t>
      </w:r>
    </w:p>
    <w:p>
      <w:r>
        <w:rPr>
          <w:b/>
          <w:i w:val="0"/>
        </w:rPr>
        <w:t>Propagation:</w:t>
      </w:r>
    </w:p>
    <w:p>
      <w:r>
        <w:rPr>
          <w:b w:val="0"/>
          <w:i w:val="0"/>
        </w:rPr>
        <w:t>Propagation: Banks reduce lending to MNCs and legacy enterprises. VCs freeze follow-on funding. Governments cut discretionary budgets. Family offices retreat to cash. Infrastructure operators defer investment.</w:t>
      </w:r>
    </w:p>
    <w:p>
      <w:r>
        <w:rPr>
          <w:b/>
          <w:i w:val="0"/>
        </w:rPr>
        <w:t>AINEFF Response:</w:t>
      </w:r>
    </w:p>
    <w:p>
      <w:r>
        <w:rPr>
          <w:b w:val="0"/>
          <w:i w:val="0"/>
        </w:rPr>
        <w:t>AINEFF Response: Capital discipline framework (PCI enforcement) prevents panic-driven concentration. Kill triggers terminate non-performing ventures before they drain capital. Efficiency Capture pillar generates positive ROI during contraction. Operator deployment continues because governance becomes MORE valuable during crisis (liability protection premium increases).</w:t>
      </w:r>
    </w:p>
    <w:p>
      <w:r>
        <w:rPr>
          <w:b/>
          <w:i w:val="0"/>
          <w:sz w:val="22"/>
        </w:rPr>
        <w:t>Verdict: AINEFF SURVIVES. Governance infrastructure demand is counter-cyclical -- crises increase demand for accountability.</w:t>
      </w:r>
    </w:p>
    <w:p>
      <w:pPr>
        <w:pStyle w:val="Heading2"/>
      </w:pPr>
      <w:r>
        <w:rPr>
          <w:color w:val="001E46"/>
        </w:rPr>
        <w:t>Shock 2: Regulatory Crackdown on AI</w:t>
      </w:r>
    </w:p>
    <w:p>
      <w:r>
        <w:rPr>
          <w:b w:val="0"/>
          <w:i/>
        </w:rPr>
        <w:t>Scenario: Major jurisdiction (EU, US, China) imposes strict AI governance requirements with 12-month compliance deadline.</w:t>
      </w:r>
    </w:p>
    <w:p>
      <w:r>
        <w:rPr>
          <w:b/>
          <w:i w:val="0"/>
        </w:rPr>
        <w:t>Propagation:</w:t>
      </w:r>
    </w:p>
    <w:p>
      <w:r>
        <w:rPr>
          <w:b w:val="0"/>
          <w:i w:val="0"/>
        </w:rPr>
        <w:t>Propagation: All audiences scramble for governance infrastructure. Existing compliance solutions overwhelmed. Shadow AI usage criminalized. Non-compliant organizations face operational shutdown.</w:t>
      </w:r>
    </w:p>
    <w:p>
      <w:r>
        <w:rPr>
          <w:b/>
          <w:i w:val="0"/>
        </w:rPr>
        <w:t>AINEFF Response:</w:t>
      </w:r>
    </w:p>
    <w:p>
      <w:r>
        <w:rPr>
          <w:b w:val="0"/>
          <w:i w:val="0"/>
        </w:rPr>
        <w:t>AINEFF Response: Pre-built compliance mapping (PIES + JAL) provides fastest path to compliance. Organizations already on AINEFF are compliance-ready from day one. Demand for AINEFF deployment spikes 5-10x. Levelupmax operator pipeline becomes critical bottleneck.</w:t>
      </w:r>
    </w:p>
    <w:p>
      <w:r>
        <w:rPr>
          <w:b/>
          <w:i w:val="0"/>
          <w:sz w:val="22"/>
        </w:rPr>
        <w:t>Verdict: AINEFF THRIVES. Regulatory crackdown is the single largest demand catalyst for governance infrastructure.</w:t>
      </w:r>
    </w:p>
    <w:p>
      <w:pPr>
        <w:pStyle w:val="Heading2"/>
      </w:pPr>
      <w:r>
        <w:rPr>
          <w:color w:val="001E46"/>
        </w:rPr>
        <w:t>Shock 3: AI Governance Framework Restriction</w:t>
      </w:r>
    </w:p>
    <w:p>
      <w:r>
        <w:rPr>
          <w:b w:val="0"/>
          <w:i/>
        </w:rPr>
        <w:t>Scenario: Governments mandate specific AI governance standards that conflict with AINEFF architecture.</w:t>
      </w:r>
    </w:p>
    <w:p>
      <w:r>
        <w:rPr>
          <w:b/>
          <w:i w:val="0"/>
        </w:rPr>
        <w:t>Propagation:</w:t>
      </w:r>
    </w:p>
    <w:p>
      <w:r>
        <w:rPr>
          <w:b w:val="0"/>
          <w:i w:val="0"/>
        </w:rPr>
        <w:t>Propagation: AINEFF framework may be deemed non-compliant with government-mandated standards. Clients forced to choose between AINEFF and regulatory compliance.</w:t>
      </w:r>
    </w:p>
    <w:p>
      <w:r>
        <w:rPr>
          <w:b/>
          <w:i w:val="0"/>
        </w:rPr>
        <w:t>AINEFF Response:</w:t>
      </w:r>
    </w:p>
    <w:p>
      <w:r>
        <w:rPr>
          <w:b w:val="0"/>
          <w:i w:val="0"/>
        </w:rPr>
        <w:t>AINEFF Response: Canonical Export and Fork Protocol (CEFP) allows AINEFF to adapt to mandated standards without losing architectural integrity. Jurisdiction Adapter Layer (JAL) provides automatic translation between AINEFF governance and jurisdiction-specific requirements. But honest risk: if a major government mandates an incompatible framework, AINEFF faces existential adaptation challenge.</w:t>
      </w:r>
    </w:p>
    <w:p>
      <w:r>
        <w:rPr>
          <w:b/>
          <w:i w:val="0"/>
          <w:sz w:val="22"/>
        </w:rPr>
        <w:t>Verdict: AINEFF ADAPTS but faces real risk. Regulatory compatibility must be maintained proactively, not reactively.</w:t>
      </w:r>
    </w:p>
    <w:p>
      <w:pPr>
        <w:pStyle w:val="Heading2"/>
      </w:pPr>
      <w:r>
        <w:rPr>
          <w:color w:val="001E46"/>
        </w:rPr>
        <w:t>Shock 4: Political Regime Change</w:t>
      </w:r>
    </w:p>
    <w:p>
      <w:r>
        <w:rPr>
          <w:b w:val="0"/>
          <w:i/>
        </w:rPr>
        <w:t>Scenario: Key deployment nation experiences regime change. New government repudiates predecessor commitments.</w:t>
      </w:r>
    </w:p>
    <w:p>
      <w:r>
        <w:rPr>
          <w:b/>
          <w:i w:val="0"/>
        </w:rPr>
        <w:t>Propagation:</w:t>
      </w:r>
    </w:p>
    <w:p>
      <w:r>
        <w:rPr>
          <w:b w:val="0"/>
          <w:i w:val="0"/>
        </w:rPr>
        <w:t>Propagation: Government AINEFF deployments paused or cancelled. Defense AI governance reset. Critical infrastructure operators face conflicting mandates.</w:t>
      </w:r>
    </w:p>
    <w:p>
      <w:r>
        <w:rPr>
          <w:b/>
          <w:i w:val="0"/>
        </w:rPr>
        <w:t>AINEFF Response:</w:t>
      </w:r>
    </w:p>
    <w:p>
      <w:r>
        <w:rPr>
          <w:b w:val="0"/>
          <w:i w:val="0"/>
        </w:rPr>
        <w:t>AINEFF Response: Constitutional embedding (not political) means base governance survives leadership change. Authority Decay System already anticipates mandate re-authorization. Private sector deployments continue regardless of government change. But honest risk: authoritarian regimes may specifically target AINEFF as constraint on their power.</w:t>
      </w:r>
    </w:p>
    <w:p>
      <w:r>
        <w:rPr>
          <w:b/>
          <w:i w:val="0"/>
          <w:sz w:val="22"/>
        </w:rPr>
        <w:t>Verdict: AINEFF SURVIVES in democratic contexts. VULNERABLE in authoritarian transitions where governance constraints are seen as opposition.</w:t>
      </w:r>
    </w:p>
    <w:p>
      <w:pPr>
        <w:pStyle w:val="Heading2"/>
      </w:pPr>
      <w:r>
        <w:rPr>
          <w:color w:val="001E46"/>
        </w:rPr>
        <w:t>Shock 5: Cross-Border Sanctions</w:t>
      </w:r>
    </w:p>
    <w:p>
      <w:r>
        <w:rPr>
          <w:b w:val="0"/>
          <w:i/>
        </w:rPr>
        <w:t>Scenario: Major sanctions regime prevents AINEFF deployment or support across sanctioned boundaries.</w:t>
      </w:r>
    </w:p>
    <w:p>
      <w:r>
        <w:rPr>
          <w:b/>
          <w:i w:val="0"/>
        </w:rPr>
        <w:t>Propagation:</w:t>
      </w:r>
    </w:p>
    <w:p>
      <w:r>
        <w:rPr>
          <w:b w:val="0"/>
          <w:i w:val="0"/>
        </w:rPr>
        <w:t>Propagation: Clients in sanctioned jurisdictions lose access to AINEFF updates and support. Cross-border AINEs face operational restrictions. International institutions cannot maintain unified governance.</w:t>
      </w:r>
    </w:p>
    <w:p>
      <w:r>
        <w:rPr>
          <w:b/>
          <w:i w:val="0"/>
        </w:rPr>
        <w:t>AINEFF Response:</w:t>
      </w:r>
    </w:p>
    <w:p>
      <w:r>
        <w:rPr>
          <w:b w:val="0"/>
          <w:i w:val="0"/>
        </w:rPr>
        <w:t>AINEFF Response: Canonical Export and Fork Protocol allows sanctioned jurisdictions to maintain independent forks. Sovereign Emergency Interface provides crisis governance mode. Local operator capacity (Levelupmax graduates) enables continued governance without cross-border support.</w:t>
      </w:r>
    </w:p>
    <w:p>
      <w:r>
        <w:rPr>
          <w:b/>
          <w:i w:val="0"/>
          <w:sz w:val="22"/>
        </w:rPr>
        <w:t>Verdict: AINEFF DEGRADES GRACEFULLY. Sanctions reduce coordination but do not eliminate local governance capability.</w:t>
      </w:r>
    </w:p>
    <w:p>
      <w:r>
        <w:br w:type="page"/>
      </w:r>
    </w:p>
    <w:p>
      <w:pPr>
        <w:pStyle w:val="Heading1"/>
      </w:pPr>
      <w:r>
        <w:rPr>
          <w:color w:val="000000"/>
        </w:rPr>
        <w:t>SECTION X: NOTEBOOK LLM EXECUTION PROTOCOL</w:t>
      </w:r>
    </w:p>
    <w:p>
      <w:r>
        <w:rPr>
          <w:b/>
          <w:i w:val="0"/>
        </w:rPr>
        <w:t>This section provides the exact execution protocol for deploying this analysis through Notebook LLM with attached internal documentation.</w:t>
      </w:r>
    </w:p>
    <w:p>
      <w:pPr>
        <w:pStyle w:val="Heading2"/>
      </w:pPr>
      <w:r>
        <w:rPr>
          <w:color w:val="001E46"/>
        </w:rPr>
        <w:t>Step 1: Corpus Preparation</w:t>
      </w:r>
    </w:p>
    <w:p>
      <w:r>
        <w:rPr>
          <w:b w:val="0"/>
          <w:i w:val="0"/>
        </w:rPr>
        <w:t>Decompress Invention Tools.zip and separate documents into 7 semantic groups:</w:t>
      </w:r>
    </w:p>
    <w:p>
      <w:pPr>
        <w:pStyle w:val="ListBullet"/>
      </w:pPr>
      <w:r>
        <w:t>Group A: AINEFF Core Doctrine (Docs 1-7, 25, 39) -- Entity definitions, canonical systems, enhancement layer</w:t>
      </w:r>
    </w:p>
    <w:p>
      <w:pPr>
        <w:pStyle w:val="ListBullet"/>
      </w:pPr>
      <w:r>
        <w:t>Group B: Governance Architecture (Docs 8-14, 17, 33, 40) -- Governance rules, PCI, ORF protocol, organizational models</w:t>
      </w:r>
    </w:p>
    <w:p>
      <w:pPr>
        <w:pStyle w:val="ListBullet"/>
      </w:pPr>
      <w:r>
        <w:t>Group C: Economic Model (Docs 15-20, 24) -- Revenue mechanics, economic surfaces, pricing</w:t>
      </w:r>
    </w:p>
    <w:p>
      <w:pPr>
        <w:pStyle w:val="ListBullet"/>
      </w:pPr>
      <w:r>
        <w:t>Group D: Operational Playbooks (Docs 21-23, 26-30) -- Chokepoints, fragility codex, risk products</w:t>
      </w:r>
    </w:p>
    <w:p>
      <w:pPr>
        <w:pStyle w:val="ListBullet"/>
      </w:pPr>
      <w:r>
        <w:t>Group E: Technical Architecture (Docs 31-38) -- Infrastructure, deployment, systems integration</w:t>
      </w:r>
    </w:p>
    <w:p>
      <w:pPr>
        <w:pStyle w:val="ListBullet"/>
      </w:pPr>
      <w:r>
        <w:t>Group F: Experiential Layer (Docs 41-42) -- Cognitive friction, experiential operating layer</w:t>
      </w:r>
    </w:p>
    <w:p>
      <w:pPr>
        <w:pStyle w:val="ListBullet"/>
      </w:pPr>
      <w:r>
        <w:t>Group G: Constraints (Doc 43) -- Education pipeline, energy constraints</w:t>
      </w:r>
    </w:p>
    <w:p>
      <w:pPr>
        <w:pStyle w:val="Heading2"/>
      </w:pPr>
      <w:r>
        <w:rPr>
          <w:color w:val="001E46"/>
        </w:rPr>
        <w:t>Step 2: Create 3 Notebook Context Layers</w:t>
      </w:r>
    </w:p>
    <w:p>
      <w:r>
        <w:rPr>
          <w:b/>
          <w:i w:val="0"/>
        </w:rPr>
        <w:t>Do not run everything in one notebook. Create:</w:t>
      </w:r>
    </w:p>
    <w:p>
      <w:pPr>
        <w:pStyle w:val="ListBullet"/>
      </w:pPr>
      <w:r>
        <w:t>Notebook A: AINEFF Internal Structural Doctrine (Groups A + B) -- Extract axioms, constraints, governance principles</w:t>
      </w:r>
    </w:p>
    <w:p>
      <w:pPr>
        <w:pStyle w:val="ListBullet"/>
      </w:pPr>
      <w:r>
        <w:t>Notebook B: Frankmax Ecosystem Model (Groups C + D + E) -- Extract economic flywheel, dependency graph, failure modes</w:t>
      </w:r>
    </w:p>
    <w:p>
      <w:pPr>
        <w:pStyle w:val="ListBullet"/>
      </w:pPr>
      <w:r>
        <w:t>Notebook C: Deployment and Audience Adaptation (Groups F + G + this document) -- Apply framework to 15 audiences</w:t>
      </w:r>
    </w:p>
    <w:p>
      <w:pPr>
        <w:pStyle w:val="Heading2"/>
      </w:pPr>
      <w:r>
        <w:rPr>
          <w:color w:val="001E46"/>
        </w:rPr>
        <w:t>Step 3: Layered Prompting Sequence</w:t>
      </w:r>
    </w:p>
    <w:p>
      <w:r>
        <w:rPr>
          <w:b/>
          <w:i w:val="0"/>
        </w:rPr>
        <w:t>Phase 1 -- Structural Extraction (Notebook A):</w:t>
      </w:r>
    </w:p>
    <w:p>
      <w:r>
        <w:rPr>
          <w:b w:val="0"/>
          <w:i w:val="0"/>
        </w:rPr>
        <w:t>"Using only the attached AINEFF documents, extract: Core axioms, structural constraints, governance principles, incentive alignment mechanisms, failure containment mechanisms, authority boundaries, human override systems, AI execution boundaries, economic discipline rules. Do not interpret. Extract precisely."</w:t>
      </w:r>
    </w:p>
    <w:p>
      <w:r>
        <w:rPr>
          <w:b/>
          <w:i w:val="0"/>
        </w:rPr>
        <w:t>Phase 2 -- Self-Attack (Notebook A):</w:t>
      </w:r>
    </w:p>
    <w:p>
      <w:r>
        <w:rPr>
          <w:b w:val="0"/>
          <w:i w:val="0"/>
        </w:rPr>
        <w:t>"Model AINEFF as a thermodynamic system. Identify: Internal entropy sources, governance fragility points, incentive corruption risks, complexity creep vectors, scalability failure modes, political capture risks, decision latency accumulation risks. Perform adversarial red-team analysis."</w:t>
      </w:r>
    </w:p>
    <w:p>
      <w:r>
        <w:rPr>
          <w:b/>
          <w:i w:val="0"/>
        </w:rPr>
        <w:t>Phase 3 -- Ecosystem Mapping (Notebook B):</w:t>
      </w:r>
    </w:p>
    <w:p>
      <w:r>
        <w:rPr>
          <w:b w:val="0"/>
          <w:i w:val="0"/>
        </w:rPr>
        <w:t>"Using the attached Frankmax documentation, define: Its entropy metabolism mechanisms, its economic flywheel, its cross-audience coordination logic, its dependency graph, its single points of failure, its capital leverage architecture."</w:t>
      </w:r>
    </w:p>
    <w:p>
      <w:r>
        <w:rPr>
          <w:b/>
          <w:i w:val="0"/>
        </w:rPr>
        <w:t>Phase 4 -- Sovereign Deployment (Notebook C):</w:t>
      </w:r>
    </w:p>
    <w:p>
      <w:r>
        <w:rPr>
          <w:b w:val="0"/>
          <w:i w:val="0"/>
        </w:rPr>
        <w:t>"Base all analysis strictly on the structural doctrine extracted from Notebooks A and B. Do not introduce external frameworks unless explicitly justified." Then apply the full sovereign master prompt from this document for all 15 audiences.</w:t>
      </w:r>
    </w:p>
    <w:p>
      <w:r>
        <w:rPr>
          <w:b/>
          <w:i w:val="0"/>
        </w:rPr>
        <w:t>Phase 5 -- Systemic Shock Simulation:</w:t>
      </w:r>
    </w:p>
    <w:p>
      <w:r>
        <w:rPr>
          <w:b w:val="0"/>
          <w:i w:val="0"/>
        </w:rPr>
        <w:t>"Simulate systemic shocks: global liquidity contraction, regulatory crackdown, AI governance restriction, political regime change, cross-border sanctions. Model how entropy propagates across the 15 audiences and how AINEFF absorbs or amplifies instability."</w:t>
      </w:r>
    </w:p>
    <w:p>
      <w:r>
        <w:rPr>
          <w:b/>
          <w:i w:val="0"/>
        </w:rPr>
        <w:t>Phase 6 -- Convert to Control Layers:</w:t>
      </w:r>
    </w:p>
    <w:p>
      <w:r>
        <w:rPr>
          <w:b w:val="0"/>
          <w:i w:val="0"/>
        </w:rPr>
        <w:t>Turn all insights into: hard constraints, authority boundaries, automatic escalation triggers, ratification rules, kill switches. Entropy control without enforcement is decoration.</w:t>
      </w:r>
    </w:p>
    <w:p>
      <w:pPr>
        <w:pStyle w:val="Heading2"/>
      </w:pPr>
      <w:r>
        <w:rPr>
          <w:color w:val="001E46"/>
        </w:rPr>
        <w:t>Quality Gate</w:t>
      </w:r>
    </w:p>
    <w:p>
      <w:r>
        <w:rPr>
          <w:b/>
          <w:i w:val="0"/>
        </w:rPr>
        <w:t>If this exercise produces abstract strategy, buzzwords, innovation theater, or generic governance language, then either:</w:t>
      </w:r>
    </w:p>
    <w:p>
      <w:pPr>
        <w:pStyle w:val="ListBullet"/>
      </w:pPr>
      <w:r>
        <w:t>The documentation lacks structural rigor (fix the docs)</w:t>
      </w:r>
    </w:p>
    <w:p>
      <w:pPr>
        <w:pStyle w:val="ListBullet"/>
      </w:pPr>
      <w:r>
        <w:t>The prompt was not constrained enough (tighten the prompts)</w:t>
      </w:r>
    </w:p>
    <w:p>
      <w:pPr>
        <w:pStyle w:val="ListBullet"/>
      </w:pPr>
      <w:r>
        <w:t>The framework is still conceptual, not engineered (go back to architecture)</w:t>
      </w:r>
    </w:p>
    <w:p>
      <w:pPr>
        <w:pStyle w:val="Heading2"/>
      </w:pPr>
      <w:r>
        <w:rPr>
          <w:color w:val="001E46"/>
        </w:rPr>
        <w:t>Reference Websites</w:t>
      </w:r>
    </w:p>
    <w:p>
      <w:r>
        <w:rPr>
          <w:b w:val="0"/>
          <w:i w:val="0"/>
        </w:rPr>
        <w:t>The following websites provide additional context for AINEFF ecosystem documentation:</w:t>
      </w:r>
    </w:p>
    <w:p>
      <w:pPr>
        <w:pStyle w:val="ListBullet"/>
      </w:pPr>
      <w:r>
        <w:t>AINEFF Documentation: https://frankmax-com.github.io/aineff-docs/</w:t>
      </w:r>
    </w:p>
    <w:p>
      <w:pPr>
        <w:pStyle w:val="ListBullet"/>
      </w:pPr>
      <w:r>
        <w:t>AgentCoders Documentation: https://frankmax-com.github.io/agentcoders-docs/</w:t>
      </w:r>
    </w:p>
    <w:p>
      <w:pPr>
        <w:pStyle w:val="ListBullet"/>
      </w:pPr>
      <w:r>
        <w:t>LevelupMax Documentation: https://andrew-leo-2024.github.io/levelupmax-docs/</w:t>
      </w:r>
    </w:p>
    <w:p>
      <w:pPr>
        <w:pStyle w:val="ListBullet"/>
      </w:pPr>
      <w:r>
        <w:t>FrankMax Marketplace: https://andrew-leo-2024.github.io/marketplace-docs/</w:t>
      </w:r>
    </w:p>
    <w:p>
      <w:pPr>
        <w:pStyle w:val="ListBullet"/>
      </w:pPr>
      <w:r>
        <w:t>AINEFF Ecosystem: https://andrew-leo-2024.github.io/ecosystem-docs/</w:t>
      </w:r>
    </w:p>
    <w:p>
      <w:pPr>
        <w:pStyle w:val="ListBullet"/>
      </w:pPr>
      <w:r>
        <w:t>E-AEGL Documentation: https://andrew-leo-2024.github.io/aegl-docs/</w:t>
      </w:r>
    </w:p>
    <w:p>
      <w:r>
        <w:rPr>
          <w:b w:val="0"/>
          <w:i/>
        </w:rPr>
        <w:t>Note: These websites were not accessible during document generation due to network restrictions. When using Notebook LLM, attach the website content alongside the Invention Tools corpus for maximum context.</w:t>
      </w:r>
    </w:p>
    <w:p>
      <w:r>
        <w:br w:type="page"/>
      </w:r>
    </w:p>
    <w:p>
      <w:pPr>
        <w:pStyle w:val="Heading1"/>
      </w:pPr>
      <w:r>
        <w:rPr>
          <w:color w:val="000000"/>
        </w:rPr>
        <w:t>CLOSING: THE METABOLIC TEST</w:t>
      </w:r>
    </w:p>
    <w:p>
      <w:r>
        <w:rPr>
          <w:b/>
          <w:i w:val="0"/>
          <w:sz w:val="26"/>
        </w:rPr>
        <w:t>Sovereignty is not scale. Sovereignty is controlled entropy.</w:t>
      </w:r>
    </w:p>
    <w:p>
      <w:r>
        <w:rPr>
          <w:b w:val="0"/>
          <w:i w:val="0"/>
        </w:rPr>
        <w:t>If AINEFF cannot survive leadership turnover, resist political capture, prevent incentive corruption, reduce decision latency, and maintain information integrity under stress -- it is not sovereign-grade. It is theater.</w:t>
      </w:r>
    </w:p>
    <w:p>
      <w:r>
        <w:rPr>
          <w:b w:val="0"/>
          <w:i w:val="0"/>
        </w:rPr>
        <w:t>If Frankmax wants to operate across governments, dynasties, banks, and founders simultaneously, it is building a meta-coordination organism. That organism must metabolize complexity faster than it accumulates across all layers.</w:t>
      </w:r>
    </w:p>
    <w:p>
      <w:r>
        <w:rPr>
          <w:b w:val="0"/>
          <w:i w:val="0"/>
        </w:rPr>
        <w:t>That is thermodynamics applied to power.</w:t>
      </w:r>
    </w:p>
    <w:p>
      <w:r>
        <w:rPr>
          <w:b/>
          <w:i w:val="0"/>
        </w:rPr>
        <w:t>And if built correctly, AINEFF becomes less of a framework and more of an immune system for institutions.</w:t>
      </w:r>
    </w:p>
    <w:p>
      <w:r>
        <w:rPr>
          <w:b w:val="0"/>
          <w:i w:val="0"/>
        </w:rPr>
        <w:t>The 15 audiences in this document represent the complete power spectrum of human institutional organization. From individual founders to sovereign nations, from family offices to international institutions -- every entity that deploys AI needs governance infrastructure that converts disorder into auditable state faster than political, economic, and operational forces generate new disorder.</w:t>
      </w:r>
    </w:p>
    <w:p>
      <w:r>
        <w:rPr>
          <w:b w:val="0"/>
          <w:i w:val="0"/>
        </w:rPr>
        <w:t>This document is the deployment architecture for that infrastructure.</w:t>
      </w:r>
    </w:p>
    <w:p>
      <w:r>
        <w:rPr>
          <w:b w:val="0"/>
          <w:i w:val="0"/>
        </w:rPr>
        <w:t>It is not a pitch. It is not a strategy deck. It is a structural design specification for civilization-scale entropy metabolism.</w:t>
      </w:r>
    </w:p>
    <w:p>
      <w:r>
        <w:rPr>
          <w:b/>
          <w:i w:val="0"/>
          <w:sz w:val="24"/>
        </w:rPr>
        <w:t>Execute accordingly.</w:t>
      </w:r>
    </w:p>
    <w:p/>
    <w:p>
      <w:r>
        <w:rPr>
          <w:b w:val="0"/>
          <w:i w:val="0"/>
        </w:rPr>
        <w:t>---</w:t>
      </w:r>
    </w:p>
    <w:p/>
    <w:p>
      <w:r>
        <w:rPr>
          <w:b w:val="0"/>
          <w:i w:val="0"/>
        </w:rPr>
        <w:t>Andrew Palupillai</w:t>
      </w:r>
    </w:p>
    <w:p>
      <w:r>
        <w:rPr>
          <w:b w:val="0"/>
          <w:i w:val="0"/>
        </w:rPr>
        <w:t>FrankMax Digital</w:t>
      </w:r>
    </w:p>
    <w:p>
      <w:r>
        <w:rPr>
          <w:b w:val="0"/>
          <w:i w:val="0"/>
        </w:rPr>
        <w:t>March 3, 2026</w:t>
      </w:r>
    </w:p>
    <w:p>
      <w:r>
        <w:rPr>
          <w:b w:val="0"/>
          <w:i w:val="0"/>
        </w:rPr>
        <w:t>43 Source Documents | 562,378 Lines | 15 Audiences | Zero Theater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