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72"/>
        </w:rPr>
        <w:t>ARISEA DEPLOYMENT KIT</w:t>
      </w:r>
    </w:p>
    <w:p>
      <w:pPr>
        <w:jc w:val="center"/>
      </w:pPr>
      <w:r>
        <w:rPr>
          <w:color w:val="9333EA"/>
          <w:sz w:val="36"/>
        </w:rPr>
        <w:t>Sovereign Community Launch Package</w:t>
      </w:r>
    </w:p>
    <w:p/>
    <w:p>
      <w:pPr>
        <w:jc w:val="center"/>
      </w:pPr>
      <w:r>
        <w:rPr>
          <w:color w:val="1A1A2E"/>
          <w:sz w:val="24"/>
        </w:rPr>
        <w:t>Aureya Global Infrastructure</w:t>
        <w:br/>
        <w:t>Version 1.0 | March 2026</w:t>
        <w:br/>
        <w:t>Confidential</w:t>
      </w:r>
    </w:p>
    <w:p>
      <w:r>
        <w:br w:type="page"/>
      </w:r>
    </w:p>
    <w:p>
      <w:pPr>
        <w:pStyle w:val="Heading1"/>
      </w:pPr>
      <w:r>
        <w:t>SECTION 1: WELCOME TO ARISEA</w:t>
      </w:r>
    </w:p>
    <w:p>
      <w:r>
        <w:rPr>
          <w:b/>
        </w:rPr>
        <w:t>What Arisea Is</w:t>
      </w:r>
    </w:p>
    <w:p>
      <w:pPr>
        <w:spacing w:line="276" w:lineRule="auto"/>
      </w:pPr>
      <w:r>
        <w:t>Aureya deploys through Arisea — sovereign community nodes where leaders, influencers, and communities operate independent AI-native ecosystems that coalesce with the central Aureya engine. When a brand name becomes a verb for progress, you have built something rare.</w:t>
        <w:br/>
        <w:br/>
        <w:t>Arisea instances are not franchises. They are sovereign operating nodes within a federated network. Each instance maintains independent governance, independent data, and independent revenue streams. Yet all instances are connected through the AINEFF protocol — a coordination layer that enables communities to collaborate, share capabilities, and scale together without surrendering autonomy.</w:t>
        <w:br/>
        <w:br/>
        <w:t>You are receiving this Kit because Aureya has identified you as a community leader capable of operating an Arisea node. Your community has demonstrated the conditions necessary for successful deployment: embedded trust networks, clear member needs, and appetite for AI-native solutions. The window for Arisea launch is now.</w:t>
      </w:r>
    </w:p>
    <w:p>
      <w:r>
        <w:rPr>
          <w:b/>
        </w:rPr>
        <w:t>Your Role as an Arisea Operator</w:t>
      </w:r>
    </w:p>
    <w:p>
      <w:pPr>
        <w:spacing w:line="276" w:lineRule="auto"/>
      </w:pPr>
      <w:r>
        <w:t>You are the sovereign node operator for your community. You own the instance. You control governance, data, revenue, and growth architecture. You set the rules within AINEFF constitutional boundaries. You recruit members. You activate AINEs. You earn revenue. You build your community's institutional moat.</w:t>
        <w:br/>
        <w:br/>
        <w:t>Aureya does not manage your community. Aureya provides infrastructure, intelligence, coordination, governance frameworks, and training. You provide trust, relationships, and local execution.</w:t>
      </w:r>
    </w:p>
    <w:p>
      <w:r>
        <w:rPr>
          <w:b/>
        </w:rPr>
        <w:t>What You Receive in This Package</w:t>
      </w:r>
    </w:p>
    <w:p/>
    <w:p>
      <w:pPr>
        <w:pStyle w:val="ListBullet"/>
        <w:spacing w:line="276" w:lineRule="auto"/>
      </w:pPr>
      <w:r>
        <w:t>Tower Control Dashboard: your instance's central command interface</w:t>
      </w:r>
    </w:p>
    <w:p>
      <w:pPr>
        <w:pStyle w:val="ListBullet"/>
        <w:spacing w:line="276" w:lineRule="auto"/>
      </w:pPr>
      <w:r>
        <w:t>Sovereign Matrix Data Access: real-time visibility into community needs</w:t>
      </w:r>
    </w:p>
    <w:p>
      <w:pPr>
        <w:pStyle w:val="ListBullet"/>
        <w:spacing w:line="276" w:lineRule="auto"/>
      </w:pPr>
      <w:r>
        <w:t>3 Starter AINEs: pre-configured AI operating entities</w:t>
      </w:r>
    </w:p>
    <w:p>
      <w:pPr>
        <w:pStyle w:val="ListBullet"/>
        <w:spacing w:line="276" w:lineRule="auto"/>
      </w:pPr>
      <w:r>
        <w:t>Inter-Arisea Protocol Access: ability to collaborate with other Arisea instances</w:t>
      </w:r>
    </w:p>
    <w:p>
      <w:pPr>
        <w:pStyle w:val="ListBullet"/>
        <w:spacing w:line="276" w:lineRule="auto"/>
      </w:pPr>
      <w:r>
        <w:t>E-AEGL Governance Framework: constitutional boundaries and compliance standards</w:t>
      </w:r>
    </w:p>
    <w:p>
      <w:pPr>
        <w:pStyle w:val="ListBullet"/>
        <w:spacing w:line="276" w:lineRule="auto"/>
      </w:pPr>
      <w:r>
        <w:t>Training and Onboarding Support: scripting, playbooks, operator cohort access</w:t>
      </w:r>
    </w:p>
    <w:p>
      <w:r>
        <w:br w:type="page"/>
      </w:r>
    </w:p>
    <w:p>
      <w:pPr>
        <w:pStyle w:val="Heading1"/>
      </w:pPr>
      <w:r>
        <w:t>SECTION 2: SOVEREIGNTY ARCHITECTURE</w:t>
      </w:r>
    </w:p>
    <w:p>
      <w:pPr>
        <w:spacing w:line="276" w:lineRule="auto"/>
      </w:pPr>
      <w:r>
        <w:t>Arisea is designed around a fundamental principle: your instance is your institution. You own it. You control it. You build on it.</w:t>
      </w:r>
    </w:p>
    <w:p>
      <w:r>
        <w:rPr>
          <w:b/>
        </w:rPr>
        <w:t>Operational Sovereignty</w:t>
      </w:r>
    </w:p>
    <w:p>
      <w:pPr>
        <w:spacing w:line="276" w:lineRule="auto"/>
      </w:pPr>
      <w:r>
        <w:t>Your Arisea instance runs its own AINE stack. You deploy AINEs aligned with your community's priorities.</w:t>
      </w:r>
    </w:p>
    <w:p>
      <w:r>
        <w:rPr>
          <w:b/>
        </w:rPr>
        <w:t>Governance Sovereignty</w:t>
      </w:r>
    </w:p>
    <w:p>
      <w:pPr>
        <w:spacing w:line="276" w:lineRule="auto"/>
      </w:pPr>
      <w:r>
        <w:t>You set rules for your community within AINEFF constitutional boundaries.</w:t>
      </w:r>
    </w:p>
    <w:p>
      <w:r>
        <w:rPr>
          <w:b/>
        </w:rPr>
        <w:t>Data Sovereignty</w:t>
      </w:r>
    </w:p>
    <w:p>
      <w:pPr>
        <w:spacing w:line="276" w:lineRule="auto"/>
      </w:pPr>
      <w:r>
        <w:t>All community data stays within your instance unless you explicitly authorize sharing.</w:t>
      </w:r>
    </w:p>
    <w:p>
      <w:r>
        <w:rPr>
          <w:b/>
        </w:rPr>
        <w:t>Revenue Sovereignty</w:t>
      </w:r>
    </w:p>
    <w:p>
      <w:pPr>
        <w:spacing w:line="276" w:lineRule="auto"/>
      </w:pPr>
      <w:r>
        <w:t>Revenue generated within your community flows to you.</w:t>
      </w:r>
    </w:p>
    <w:p>
      <w:r>
        <w:rPr>
          <w:b/>
        </w:rPr>
        <w:t>Sovereignty Boundaries</w:t>
      </w:r>
    </w:p>
    <w:tbl>
      <w:tblPr>
        <w:tblStyle w:val="LightGrid-Accent1"/>
        <w:tblW w:type="auto" w:w="0"/>
        <w:tblLook w:firstColumn="1" w:firstRow="1" w:lastColumn="0" w:lastRow="0" w:noHBand="0" w:noVBand="1" w:val="04A0"/>
      </w:tblPr>
      <w:tblGrid>
        <w:gridCol w:w="3120"/>
        <w:gridCol w:w="3120"/>
        <w:gridCol w:w="3120"/>
      </w:tblGrid>
      <w:tr>
        <w:tc>
          <w:tcPr>
            <w:tcW w:type="dxa" w:w="3120"/>
            <w:shd w:fill="1A1A2E"/>
          </w:tcPr>
          <w:p>
            <w:r>
              <w:rPr>
                <w:b/>
                <w:color w:val="FFFFFF"/>
              </w:rPr>
              <w:t>Dimension</w:t>
            </w:r>
          </w:p>
        </w:tc>
        <w:tc>
          <w:tcPr>
            <w:tcW w:type="dxa" w:w="3120"/>
            <w:shd w:fill="1A1A2E"/>
          </w:tcPr>
          <w:p>
            <w:r>
              <w:rPr>
                <w:b/>
                <w:color w:val="FFFFFF"/>
              </w:rPr>
              <w:t>You Control</w:t>
            </w:r>
          </w:p>
        </w:tc>
        <w:tc>
          <w:tcPr>
            <w:tcW w:type="dxa" w:w="3120"/>
            <w:shd w:fill="1A1A2E"/>
          </w:tcPr>
          <w:p>
            <w:r>
              <w:rPr>
                <w:b/>
                <w:color w:val="FFFFFF"/>
              </w:rPr>
              <w:t>Aureya Governs</w:t>
            </w:r>
          </w:p>
        </w:tc>
      </w:tr>
      <w:tr>
        <w:tc>
          <w:tcPr>
            <w:tcW w:type="dxa" w:w="3120"/>
          </w:tcPr>
          <w:p>
            <w:r>
              <w:t>Governance</w:t>
            </w:r>
          </w:p>
        </w:tc>
        <w:tc>
          <w:tcPr>
            <w:tcW w:type="dxa" w:w="3120"/>
          </w:tcPr>
          <w:p>
            <w:r>
              <w:t>Membership criteria, voting rules</w:t>
            </w:r>
          </w:p>
        </w:tc>
        <w:tc>
          <w:tcPr>
            <w:tcW w:type="dxa" w:w="3120"/>
          </w:tcPr>
          <w:p>
            <w:r>
              <w:t>Constitutional boundaries, anti-discrimination</w:t>
            </w:r>
          </w:p>
        </w:tc>
      </w:tr>
      <w:tr>
        <w:tc>
          <w:tcPr>
            <w:tcW w:type="dxa" w:w="3120"/>
          </w:tcPr>
          <w:p>
            <w:r>
              <w:t>Data</w:t>
            </w:r>
          </w:p>
        </w:tc>
        <w:tc>
          <w:tcPr>
            <w:tcW w:type="dxa" w:w="3120"/>
          </w:tcPr>
          <w:p>
            <w:r>
              <w:t>Collection, storage, analytics, monetization</w:t>
            </w:r>
          </w:p>
        </w:tc>
        <w:tc>
          <w:tcPr>
            <w:tcW w:type="dxa" w:w="3120"/>
          </w:tcPr>
          <w:p>
            <w:r>
              <w:t>Protection standards, privacy, security</w:t>
            </w:r>
          </w:p>
        </w:tc>
      </w:tr>
      <w:tr>
        <w:tc>
          <w:tcPr>
            <w:tcW w:type="dxa" w:w="3120"/>
          </w:tcPr>
          <w:p>
            <w:r>
              <w:t>Revenue</w:t>
            </w:r>
          </w:p>
        </w:tc>
        <w:tc>
          <w:tcPr>
            <w:tcW w:type="dxa" w:w="3120"/>
          </w:tcPr>
          <w:p>
            <w:r>
              <w:t>Pricing, distribution, retention</w:t>
            </w:r>
          </w:p>
        </w:tc>
        <w:tc>
          <w:tcPr>
            <w:tcW w:type="dxa" w:w="3120"/>
          </w:tcPr>
          <w:p>
            <w:r>
              <w:t>Settlement protocols, tax, anti-monopoly</w:t>
            </w:r>
          </w:p>
        </w:tc>
      </w:tr>
      <w:tr>
        <w:tc>
          <w:tcPr>
            <w:tcW w:type="dxa" w:w="3120"/>
          </w:tcPr>
          <w:p>
            <w:r>
              <w:t>AINEs</w:t>
            </w:r>
          </w:p>
        </w:tc>
        <w:tc>
          <w:tcPr>
            <w:tcW w:type="dxa" w:w="3120"/>
          </w:tcPr>
          <w:p>
            <w:r>
              <w:t>Which AINEs to deploy, configuration</w:t>
            </w:r>
          </w:p>
        </w:tc>
        <w:tc>
          <w:tcPr>
            <w:tcW w:type="dxa" w:w="3120"/>
          </w:tcPr>
          <w:p>
            <w:r>
              <w:t>AINE security, output quality, compatibility</w:t>
            </w:r>
          </w:p>
        </w:tc>
      </w:tr>
    </w:tbl>
    <w:p>
      <w:r>
        <w:br w:type="page"/>
      </w:r>
    </w:p>
    <w:p>
      <w:pPr>
        <w:pStyle w:val="Heading1"/>
      </w:pPr>
      <w:r>
        <w:t>SECTION 3: YOUR FIRST 3 AINEs</w:t>
      </w:r>
    </w:p>
    <w:p>
      <w:pPr>
        <w:spacing w:line="276" w:lineRule="auto"/>
      </w:pPr>
      <w:r>
        <w:t>Every Arisea instance launches with three starter AINEs pre-configured for your community.</w:t>
      </w:r>
    </w:p>
    <w:p>
      <w:pPr>
        <w:pStyle w:val="Heading2"/>
      </w:pPr>
      <w:r>
        <w:t>AINE 1: Community Intelligence</w:t>
      </w:r>
    </w:p>
    <w:p>
      <w:pPr>
        <w:spacing w:line="276" w:lineRule="auto"/>
      </w:pPr>
      <w:r>
        <w:t>Monitors and maps your community's needs, pain points, and opportunities using the Sovereign Matrix framework.</w:t>
      </w:r>
    </w:p>
    <w:p>
      <w:pPr>
        <w:pStyle w:val="Heading2"/>
      </w:pPr>
      <w:r>
        <w:t>AINE 2: Talent &amp; Opportunity</w:t>
      </w:r>
    </w:p>
    <w:p>
      <w:pPr>
        <w:spacing w:line="276" w:lineRule="auto"/>
      </w:pPr>
      <w:r>
        <w:t>Connects community members to jobs, skills, and career pathways powered by Levelupmax and Novaterra.</w:t>
      </w:r>
    </w:p>
    <w:p>
      <w:pPr>
        <w:pStyle w:val="Heading2"/>
      </w:pPr>
      <w:r>
        <w:t>AINE 3: Marketplace</w:t>
      </w:r>
    </w:p>
    <w:p>
      <w:pPr>
        <w:spacing w:line="276" w:lineRule="auto"/>
      </w:pPr>
      <w:r>
        <w:t>Enables buying, selling, and trading within and across your community across seven marketplace variants.</w:t>
      </w:r>
    </w:p>
    <w:p>
      <w:r>
        <w:br w:type="page"/>
      </w:r>
    </w:p>
    <w:p>
      <w:pPr>
        <w:pStyle w:val="Heading1"/>
      </w:pPr>
      <w:r>
        <w:t>SECTION 4: TOWER CONTROL SETUP</w:t>
      </w:r>
    </w:p>
    <w:p>
      <w:pPr>
        <w:spacing w:line="276" w:lineRule="auto"/>
      </w:pPr>
      <w:r>
        <w:t>Tower Control is your instance's central command interface.</w:t>
      </w:r>
    </w:p>
    <w:p>
      <w:r>
        <w:rPr>
          <w:b/>
        </w:rPr>
        <w:t>The 7 Engines in Tower Control</w:t>
      </w:r>
    </w:p>
    <w:p>
      <w:pPr>
        <w:pStyle w:val="ListBullet"/>
        <w:spacing w:line="276" w:lineRule="auto"/>
      </w:pPr>
      <w:r>
        <w:t>Knowledge Graph Engine: Maps relationships between community members, skills, opportunities, resources</w:t>
      </w:r>
    </w:p>
    <w:p>
      <w:pPr>
        <w:pStyle w:val="ListBullet"/>
        <w:spacing w:line="276" w:lineRule="auto"/>
      </w:pPr>
      <w:r>
        <w:t>Dependency Radar: Detects which AINEs depend on which inputs</w:t>
      </w:r>
    </w:p>
    <w:p>
      <w:pPr>
        <w:pStyle w:val="ListBullet"/>
        <w:spacing w:line="276" w:lineRule="auto"/>
      </w:pPr>
      <w:r>
        <w:t>Mission Engine: Routes community objectives to appropriate AINEs</w:t>
      </w:r>
    </w:p>
    <w:p>
      <w:pPr>
        <w:pStyle w:val="ListBullet"/>
        <w:spacing w:line="276" w:lineRule="auto"/>
      </w:pPr>
      <w:r>
        <w:t>Revenue Orchestration: Tracks all income sources and manages distribution</w:t>
      </w:r>
    </w:p>
    <w:p>
      <w:pPr>
        <w:pStyle w:val="ListBullet"/>
        <w:spacing w:line="276" w:lineRule="auto"/>
      </w:pPr>
      <w:r>
        <w:t>Documentation Fabric: Auto-generates operational documentation and audit trails</w:t>
      </w:r>
    </w:p>
    <w:p>
      <w:pPr>
        <w:pStyle w:val="ListBullet"/>
        <w:spacing w:line="276" w:lineRule="auto"/>
      </w:pPr>
      <w:r>
        <w:t>Governance Engine: Manages E-AEGL compliance and constitutional boundaries</w:t>
      </w:r>
    </w:p>
    <w:p>
      <w:pPr>
        <w:pStyle w:val="ListBullet"/>
        <w:spacing w:line="276" w:lineRule="auto"/>
      </w:pPr>
      <w:r>
        <w:t>Organism Evolution: Monitors maturation and recommends new AINEs</w:t>
      </w:r>
    </w:p>
    <w:p>
      <w:r>
        <w:br w:type="page"/>
      </w:r>
    </w:p>
    <w:p>
      <w:pPr>
        <w:pStyle w:val="Heading1"/>
      </w:pPr>
      <w:r>
        <w:t>SECTION 5: ONBOARDING YOUR COMMUNITY</w:t>
      </w:r>
    </w:p>
    <w:p>
      <w:r>
        <w:rPr>
          <w:b/>
        </w:rPr>
        <w:t>The Consumption Waterfall</w:t>
      </w:r>
    </w:p>
    <w:p>
      <w:pPr>
        <w:pStyle w:val="ListBullet"/>
        <w:spacing w:line="276" w:lineRule="auto"/>
      </w:pPr>
      <w:r>
        <w:t>Awareness: Members learn about Arisea and see a reason to explore</w:t>
      </w:r>
    </w:p>
    <w:p>
      <w:pPr>
        <w:pStyle w:val="ListBullet"/>
        <w:spacing w:line="276" w:lineRule="auto"/>
      </w:pPr>
      <w:r>
        <w:t>Trial: Members sign up and experience value in under 5 minutes</w:t>
      </w:r>
    </w:p>
    <w:p>
      <w:pPr>
        <w:pStyle w:val="ListBullet"/>
        <w:spacing w:line="276" w:lineRule="auto"/>
      </w:pPr>
      <w:r>
        <w:t>Adoption: Members use Arisea regularly, access multiple AINEs</w:t>
      </w:r>
    </w:p>
    <w:p>
      <w:pPr>
        <w:pStyle w:val="ListBullet"/>
        <w:spacing w:line="276" w:lineRule="auto"/>
      </w:pPr>
      <w:r>
        <w:t>Integration: Arisea becomes embedded in member workflows</w:t>
      </w:r>
    </w:p>
    <w:p>
      <w:pPr>
        <w:pStyle w:val="ListBullet"/>
        <w:spacing w:line="276" w:lineRule="auto"/>
      </w:pPr>
      <w:r>
        <w:t>Dependency: Members cannot operate without Arisea</w:t>
      </w:r>
    </w:p>
    <w:p>
      <w:pPr>
        <w:pStyle w:val="ListBullet"/>
        <w:spacing w:line="276" w:lineRule="auto"/>
      </w:pPr>
      <w:r>
        <w:t>Advocacy: Members actively recruit peers and partners</w:t>
      </w:r>
    </w:p>
    <w:p>
      <w:pPr>
        <w:pStyle w:val="ListBullet"/>
        <w:spacing w:line="276" w:lineRule="auto"/>
      </w:pPr>
      <w:r>
        <w:t>Infrastructure: Arisea becomes invisible operational infrastructure</w:t>
      </w:r>
    </w:p>
    <w:p>
      <w:r>
        <w:rPr>
          <w:b/>
        </w:rPr>
        <w:t>Your 90-Day Launch Timeline</w:t>
      </w:r>
    </w:p>
    <w:p>
      <w:pPr>
        <w:pStyle w:val="ListBullet"/>
        <w:spacing w:line="276" w:lineRule="auto"/>
      </w:pPr>
      <w:r>
        <w:rPr>
          <w:b/>
        </w:rPr>
        <w:t xml:space="preserve">Week 1-2: </w:t>
      </w:r>
      <w:r>
        <w:t>Recruit first 10 members and activate Community Intelligence AINE</w:t>
      </w:r>
    </w:p>
    <w:p>
      <w:pPr>
        <w:pStyle w:val="ListBullet"/>
        <w:spacing w:line="276" w:lineRule="auto"/>
      </w:pPr>
      <w:r>
        <w:rPr>
          <w:b/>
        </w:rPr>
        <w:t xml:space="preserve">Week 3-4: </w:t>
      </w:r>
      <w:r>
        <w:t>Expand to 50 members and activate Talent &amp; Opportunity AINE</w:t>
      </w:r>
    </w:p>
    <w:p>
      <w:pPr>
        <w:pStyle w:val="ListBullet"/>
        <w:spacing w:line="276" w:lineRule="auto"/>
      </w:pPr>
      <w:r>
        <w:rPr>
          <w:b/>
        </w:rPr>
        <w:t xml:space="preserve">Week 5-8: </w:t>
      </w:r>
      <w:r>
        <w:t>Reach 200 members and launch Marketplace AINE</w:t>
      </w:r>
    </w:p>
    <w:p>
      <w:pPr>
        <w:pStyle w:val="ListBullet"/>
        <w:spacing w:line="276" w:lineRule="auto"/>
      </w:pPr>
      <w:r>
        <w:rPr>
          <w:b/>
        </w:rPr>
        <w:t xml:space="preserve">Week 9-12: </w:t>
      </w:r>
      <w:r>
        <w:t>Reach 500 members and begin inter-Arisea coalitions</w:t>
      </w:r>
    </w:p>
    <w:p>
      <w:r>
        <w:br w:type="page"/>
      </w:r>
    </w:p>
    <w:p>
      <w:pPr>
        <w:pStyle w:val="Heading1"/>
      </w:pPr>
      <w:r>
        <w:t>SECTION 6: REVENUE MODEL</w:t>
      </w:r>
    </w:p>
    <w:p>
      <w:pPr>
        <w:spacing w:line="276" w:lineRule="auto"/>
      </w:pPr>
      <w:r>
        <w:t>Your instance generates revenue through seven distinct streams.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1A1A2E"/>
          </w:tcPr>
          <w:p>
            <w:r>
              <w:rPr>
                <w:b/>
                <w:color w:val="FFFFFF"/>
              </w:rPr>
              <w:t>Revenue Stream</w:t>
            </w:r>
          </w:p>
        </w:tc>
        <w:tc>
          <w:tcPr>
            <w:tcW w:type="dxa" w:w="2340"/>
            <w:shd w:fill="1A1A2E"/>
          </w:tcPr>
          <w:p>
            <w:r>
              <w:rPr>
                <w:b/>
                <w:color w:val="FFFFFF"/>
              </w:rPr>
              <w:t>How It Works</w:t>
            </w:r>
          </w:p>
        </w:tc>
        <w:tc>
          <w:tcPr>
            <w:tcW w:type="dxa" w:w="2340"/>
            <w:shd w:fill="1A1A2E"/>
          </w:tcPr>
          <w:p>
            <w:r>
              <w:rPr>
                <w:b/>
                <w:color w:val="FFFFFF"/>
              </w:rPr>
              <w:t>Your Take</w:t>
            </w:r>
          </w:p>
        </w:tc>
        <w:tc>
          <w:tcPr>
            <w:tcW w:type="dxa" w:w="2340"/>
            <w:shd w:fill="1A1A2E"/>
          </w:tcPr>
          <w:p>
            <w:r>
              <w:rPr>
                <w:b/>
                <w:color w:val="FFFFFF"/>
              </w:rPr>
              <w:t>Magnitude</w:t>
            </w:r>
          </w:p>
        </w:tc>
      </w:tr>
      <w:tr>
        <w:tc>
          <w:tcPr>
            <w:tcW w:type="dxa" w:w="2340"/>
          </w:tcPr>
          <w:p>
            <w:r>
              <w:t>Member Subscriptions</w:t>
            </w:r>
          </w:p>
        </w:tc>
        <w:tc>
          <w:tcPr>
            <w:tcW w:type="dxa" w:w="2340"/>
          </w:tcPr>
          <w:p>
            <w:r>
              <w:t>Freemium model with premium tiers</w:t>
            </w:r>
          </w:p>
        </w:tc>
        <w:tc>
          <w:tcPr>
            <w:tcW w:type="dxa" w:w="2340"/>
          </w:tcPr>
          <w:p>
            <w:r>
              <w:t>100%</w:t>
            </w:r>
          </w:p>
        </w:tc>
        <w:tc>
          <w:tcPr>
            <w:tcW w:type="dxa" w:w="2340"/>
          </w:tcPr>
          <w:p>
            <w:r>
              <w:t>$500-5K/month</w:t>
            </w:r>
          </w:p>
        </w:tc>
      </w:tr>
      <w:tr>
        <w:tc>
          <w:tcPr>
            <w:tcW w:type="dxa" w:w="2340"/>
          </w:tcPr>
          <w:p>
            <w:r>
              <w:t>Marketplace Transactions</w:t>
            </w:r>
          </w:p>
        </w:tc>
        <w:tc>
          <w:tcPr>
            <w:tcW w:type="dxa" w:w="2340"/>
          </w:tcPr>
          <w:p>
            <w:r>
              <w:t>Take 2-5% cut on internal trades</w:t>
            </w:r>
          </w:p>
        </w:tc>
        <w:tc>
          <w:tcPr>
            <w:tcW w:type="dxa" w:w="2340"/>
          </w:tcPr>
          <w:p>
            <w:r>
              <w:t>100%</w:t>
            </w:r>
          </w:p>
        </w:tc>
        <w:tc>
          <w:tcPr>
            <w:tcW w:type="dxa" w:w="2340"/>
          </w:tcPr>
          <w:p>
            <w:r>
              <w:t>$2K-10K/month</w:t>
            </w:r>
          </w:p>
        </w:tc>
      </w:tr>
      <w:tr>
        <w:tc>
          <w:tcPr>
            <w:tcW w:type="dxa" w:w="2340"/>
          </w:tcPr>
          <w:p>
            <w:r>
              <w:t>Talent Placement Fees</w:t>
            </w:r>
          </w:p>
        </w:tc>
        <w:tc>
          <w:tcPr>
            <w:tcW w:type="dxa" w:w="2340"/>
          </w:tcPr>
          <w:p>
            <w:r>
              <w:t>10-20% of first month salary per placement</w:t>
            </w:r>
          </w:p>
        </w:tc>
        <w:tc>
          <w:tcPr>
            <w:tcW w:type="dxa" w:w="2340"/>
          </w:tcPr>
          <w:p>
            <w:r>
              <w:t>100%</w:t>
            </w:r>
          </w:p>
        </w:tc>
        <w:tc>
          <w:tcPr>
            <w:tcW w:type="dxa" w:w="2340"/>
          </w:tcPr>
          <w:p>
            <w:r>
              <w:t>$1K-3K/month</w:t>
            </w:r>
          </w:p>
        </w:tc>
      </w:tr>
      <w:tr>
        <w:tc>
          <w:tcPr>
            <w:tcW w:type="dxa" w:w="2340"/>
          </w:tcPr>
          <w:p>
            <w:r>
              <w:t>Data Licensing</w:t>
            </w:r>
          </w:p>
        </w:tc>
        <w:tc>
          <w:tcPr>
            <w:tcW w:type="dxa" w:w="2340"/>
          </w:tcPr>
          <w:p>
            <w:r>
              <w:t>Aggregate anonymized community intelligence</w:t>
            </w:r>
          </w:p>
        </w:tc>
        <w:tc>
          <w:tcPr>
            <w:tcW w:type="dxa" w:w="2340"/>
          </w:tcPr>
          <w:p>
            <w:r>
              <w:t>80%</w:t>
            </w:r>
          </w:p>
        </w:tc>
        <w:tc>
          <w:tcPr>
            <w:tcW w:type="dxa" w:w="2340"/>
          </w:tcPr>
          <w:p>
            <w:r>
              <w:t>$1K-2K/month</w:t>
            </w:r>
          </w:p>
        </w:tc>
      </w:tr>
      <w:tr>
        <w:tc>
          <w:tcPr>
            <w:tcW w:type="dxa" w:w="2340"/>
          </w:tcPr>
          <w:p>
            <w:r>
              <w:t>AINE Deployment Fees</w:t>
            </w:r>
          </w:p>
        </w:tc>
        <w:tc>
          <w:tcPr>
            <w:tcW w:type="dxa" w:w="2340"/>
          </w:tcPr>
          <w:p>
            <w:r>
              <w:t>Custom AINEs for community-specific needs</w:t>
            </w:r>
          </w:p>
        </w:tc>
        <w:tc>
          <w:tcPr>
            <w:tcW w:type="dxa" w:w="2340"/>
          </w:tcPr>
          <w:p>
            <w:r>
              <w:t>70%</w:t>
            </w:r>
          </w:p>
        </w:tc>
        <w:tc>
          <w:tcPr>
            <w:tcW w:type="dxa" w:w="2340"/>
          </w:tcPr>
          <w:p>
            <w:r>
              <w:t>$500-2K/month</w:t>
            </w:r>
          </w:p>
        </w:tc>
      </w:tr>
      <w:tr>
        <w:tc>
          <w:tcPr>
            <w:tcW w:type="dxa" w:w="2340"/>
          </w:tcPr>
          <w:p>
            <w:r>
              <w:t>Cross-Arisea Collaboration</w:t>
            </w:r>
          </w:p>
        </w:tc>
        <w:tc>
          <w:tcPr>
            <w:tcW w:type="dxa" w:w="2340"/>
          </w:tcPr>
          <w:p>
            <w:r>
              <w:t>Services/capabilities serve other instances</w:t>
            </w:r>
          </w:p>
        </w:tc>
        <w:tc>
          <w:tcPr>
            <w:tcW w:type="dxa" w:w="2340"/>
          </w:tcPr>
          <w:p>
            <w:r>
              <w:t>60-70%</w:t>
            </w:r>
          </w:p>
        </w:tc>
        <w:tc>
          <w:tcPr>
            <w:tcW w:type="dxa" w:w="2340"/>
          </w:tcPr>
          <w:p>
            <w:r>
              <w:t>$1K-5K/month</w:t>
            </w:r>
          </w:p>
        </w:tc>
      </w:tr>
      <w:tr>
        <w:tc>
          <w:tcPr>
            <w:tcW w:type="dxa" w:w="2340"/>
          </w:tcPr>
          <w:p>
            <w:r>
              <w:t>Enterprise Partnerships</w:t>
            </w:r>
          </w:p>
        </w:tc>
        <w:tc>
          <w:tcPr>
            <w:tcW w:type="dxa" w:w="2340"/>
          </w:tcPr>
          <w:p>
            <w:r>
              <w:t>Businesses pay for community access</w:t>
            </w:r>
          </w:p>
        </w:tc>
        <w:tc>
          <w:tcPr>
            <w:tcW w:type="dxa" w:w="2340"/>
          </w:tcPr>
          <w:p>
            <w:r>
              <w:t>70%</w:t>
            </w:r>
          </w:p>
        </w:tc>
        <w:tc>
          <w:tcPr>
            <w:tcW w:type="dxa" w:w="2340"/>
          </w:tcPr>
          <w:p>
            <w:r>
              <w:t>$2K-10K/month</w:t>
            </w:r>
          </w:p>
        </w:tc>
      </w:tr>
    </w:tbl>
    <w:p>
      <w:pPr>
        <w:spacing w:before="240"/>
      </w:pPr>
      <w:r>
        <w:rPr>
          <w:b/>
        </w:rPr>
        <w:t>Revenue Distribution</w:t>
      </w:r>
    </w:p>
    <w:p>
      <w:pPr>
        <w:spacing w:line="276" w:lineRule="auto"/>
      </w:pPr>
      <w:r>
        <w:t>You: 70% | Aureya Infrastructure: 20% | E-AEGL Governance Fund: 10%</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1A1A2E"/>
          </w:tcPr>
          <w:p>
            <w:r>
              <w:rPr>
                <w:b/>
                <w:color w:val="FFFFFF"/>
              </w:rPr>
              <w:t>Month</w:t>
            </w:r>
          </w:p>
        </w:tc>
        <w:tc>
          <w:tcPr>
            <w:tcW w:type="dxa" w:w="1872"/>
            <w:shd w:fill="1A1A2E"/>
          </w:tcPr>
          <w:p>
            <w:r>
              <w:rPr>
                <w:b/>
                <w:color w:val="FFFFFF"/>
              </w:rPr>
              <w:t>Members</w:t>
            </w:r>
          </w:p>
        </w:tc>
        <w:tc>
          <w:tcPr>
            <w:tcW w:type="dxa" w:w="1872"/>
            <w:shd w:fill="1A1A2E"/>
          </w:tcPr>
          <w:p>
            <w:r>
              <w:rPr>
                <w:b/>
                <w:color w:val="FFFFFF"/>
              </w:rPr>
              <w:t>Monthly Revenue</w:t>
            </w:r>
          </w:p>
        </w:tc>
        <w:tc>
          <w:tcPr>
            <w:tcW w:type="dxa" w:w="1872"/>
            <w:shd w:fill="1A1A2E"/>
          </w:tcPr>
          <w:p>
            <w:r>
              <w:rPr>
                <w:b/>
                <w:color w:val="FFFFFF"/>
              </w:rPr>
              <w:t>Your Take (70%)</w:t>
            </w:r>
          </w:p>
        </w:tc>
        <w:tc>
          <w:tcPr>
            <w:tcW w:type="dxa" w:w="1872"/>
            <w:shd w:fill="1A1A2E"/>
          </w:tcPr>
          <w:p>
            <w:r>
              <w:rPr>
                <w:b/>
                <w:color w:val="FFFFFF"/>
              </w:rPr>
              <w:t>Cumulative</w:t>
            </w:r>
          </w:p>
        </w:tc>
      </w:tr>
      <w:tr>
        <w:tc>
          <w:tcPr>
            <w:tcW w:type="dxa" w:w="1872"/>
          </w:tcPr>
          <w:p>
            <w:r>
              <w:t>Month 1-2</w:t>
            </w:r>
          </w:p>
        </w:tc>
        <w:tc>
          <w:tcPr>
            <w:tcW w:type="dxa" w:w="1872"/>
          </w:tcPr>
          <w:p>
            <w:r>
              <w:t>50</w:t>
            </w:r>
          </w:p>
        </w:tc>
        <w:tc>
          <w:tcPr>
            <w:tcW w:type="dxa" w:w="1872"/>
          </w:tcPr>
          <w:p>
            <w:r>
              <w:t>$1,200</w:t>
            </w:r>
          </w:p>
        </w:tc>
        <w:tc>
          <w:tcPr>
            <w:tcW w:type="dxa" w:w="1872"/>
          </w:tcPr>
          <w:p>
            <w:r>
              <w:t>$840</w:t>
            </w:r>
          </w:p>
        </w:tc>
        <w:tc>
          <w:tcPr>
            <w:tcW w:type="dxa" w:w="1872"/>
          </w:tcPr>
          <w:p>
            <w:r>
              <w:t>$1,680</w:t>
            </w:r>
          </w:p>
        </w:tc>
      </w:tr>
      <w:tr>
        <w:tc>
          <w:tcPr>
            <w:tcW w:type="dxa" w:w="1872"/>
          </w:tcPr>
          <w:p>
            <w:r>
              <w:t>Month 3</w:t>
            </w:r>
          </w:p>
        </w:tc>
        <w:tc>
          <w:tcPr>
            <w:tcW w:type="dxa" w:w="1872"/>
          </w:tcPr>
          <w:p>
            <w:r>
              <w:t>200</w:t>
            </w:r>
          </w:p>
        </w:tc>
        <w:tc>
          <w:tcPr>
            <w:tcW w:type="dxa" w:w="1872"/>
          </w:tcPr>
          <w:p>
            <w:r>
              <w:t>$4,500</w:t>
            </w:r>
          </w:p>
        </w:tc>
        <w:tc>
          <w:tcPr>
            <w:tcW w:type="dxa" w:w="1872"/>
          </w:tcPr>
          <w:p>
            <w:r>
              <w:t>$3,150</w:t>
            </w:r>
          </w:p>
        </w:tc>
        <w:tc>
          <w:tcPr>
            <w:tcW w:type="dxa" w:w="1872"/>
          </w:tcPr>
          <w:p>
            <w:r>
              <w:t>$6,330</w:t>
            </w:r>
          </w:p>
        </w:tc>
      </w:tr>
      <w:tr>
        <w:tc>
          <w:tcPr>
            <w:tcW w:type="dxa" w:w="1872"/>
          </w:tcPr>
          <w:p>
            <w:r>
              <w:t>Month 6</w:t>
            </w:r>
          </w:p>
        </w:tc>
        <w:tc>
          <w:tcPr>
            <w:tcW w:type="dxa" w:w="1872"/>
          </w:tcPr>
          <w:p>
            <w:r>
              <w:t>500</w:t>
            </w:r>
          </w:p>
        </w:tc>
        <w:tc>
          <w:tcPr>
            <w:tcW w:type="dxa" w:w="1872"/>
          </w:tcPr>
          <w:p>
            <w:r>
              <w:t>$12,000</w:t>
            </w:r>
          </w:p>
        </w:tc>
        <w:tc>
          <w:tcPr>
            <w:tcW w:type="dxa" w:w="1872"/>
          </w:tcPr>
          <w:p>
            <w:r>
              <w:t>$8,400</w:t>
            </w:r>
          </w:p>
        </w:tc>
        <w:tc>
          <w:tcPr>
            <w:tcW w:type="dxa" w:w="1872"/>
          </w:tcPr>
          <w:p>
            <w:r>
              <w:t>$48,630</w:t>
            </w:r>
          </w:p>
        </w:tc>
      </w:tr>
      <w:tr>
        <w:tc>
          <w:tcPr>
            <w:tcW w:type="dxa" w:w="1872"/>
          </w:tcPr>
          <w:p>
            <w:r>
              <w:t>Month 12</w:t>
            </w:r>
          </w:p>
        </w:tc>
        <w:tc>
          <w:tcPr>
            <w:tcW w:type="dxa" w:w="1872"/>
          </w:tcPr>
          <w:p>
            <w:r>
              <w:t>1,500+</w:t>
            </w:r>
          </w:p>
        </w:tc>
        <w:tc>
          <w:tcPr>
            <w:tcW w:type="dxa" w:w="1872"/>
          </w:tcPr>
          <w:p>
            <w:r>
              <w:t>$35,000+</w:t>
            </w:r>
          </w:p>
        </w:tc>
        <w:tc>
          <w:tcPr>
            <w:tcW w:type="dxa" w:w="1872"/>
          </w:tcPr>
          <w:p>
            <w:r>
              <w:t>$24,500+</w:t>
            </w:r>
          </w:p>
        </w:tc>
        <w:tc>
          <w:tcPr>
            <w:tcW w:type="dxa" w:w="1872"/>
          </w:tcPr>
          <w:p>
            <w:r>
              <w:t>$200,000+</w:t>
            </w:r>
          </w:p>
        </w:tc>
      </w:tr>
    </w:tbl>
    <w:p>
      <w:r>
        <w:br w:type="page"/>
      </w:r>
    </w:p>
    <w:p>
      <w:pPr>
        <w:pStyle w:val="Heading1"/>
      </w:pPr>
      <w:r>
        <w:t>SECTION 7: INTER-ARISEA PROTOCOLS</w:t>
      </w:r>
    </w:p>
    <w:p>
      <w:r>
        <w:rPr>
          <w:b/>
        </w:rPr>
        <w:t>Discovery, Negotiation, Execution, Settlement, Coalition Formation</w:t>
      </w:r>
    </w:p>
    <w:p>
      <w:pPr>
        <w:spacing w:line="276" w:lineRule="auto"/>
      </w:pPr>
      <w:r>
        <w:t>Your instance discovers complementary communities through Aureya's registry. You negotiate cross-community agreements through the AINEFF protocol. Execution is automated through the coordination layer. Revenue is settled transparently in 48 hours. Communities form coalitions for scale and leverage.</w:t>
      </w:r>
    </w:p>
    <w:p>
      <w:r>
        <w:br w:type="page"/>
      </w:r>
    </w:p>
    <w:p>
      <w:pPr>
        <w:pStyle w:val="Heading1"/>
      </w:pPr>
      <w:r>
        <w:t>SECTION 8: GOVERNANCE FRAMEWORK</w:t>
      </w:r>
    </w:p>
    <w:p>
      <w:pPr>
        <w:spacing w:line="276" w:lineRule="auto"/>
      </w:pPr>
      <w:r>
        <w:t>E-AEGL (Ethics, Audit, Governance, Legal) is the constitutional framework for all Arisea instances.</w:t>
      </w:r>
    </w:p>
    <w:p>
      <w:r>
        <w:rPr>
          <w:b/>
        </w:rPr>
        <w:t>Your Obligations</w:t>
      </w:r>
    </w:p>
    <w:p>
      <w:pPr>
        <w:pStyle w:val="ListBullet"/>
        <w:spacing w:line="276" w:lineRule="auto"/>
      </w:pPr>
      <w:r>
        <w:t>Data protection and security standards compliance</w:t>
      </w:r>
    </w:p>
    <w:p>
      <w:pPr>
        <w:pStyle w:val="ListBullet"/>
        <w:spacing w:line="276" w:lineRule="auto"/>
      </w:pPr>
      <w:r>
        <w:t>Transparent and non-discriminatory pricing</w:t>
      </w:r>
    </w:p>
    <w:p>
      <w:pPr>
        <w:pStyle w:val="ListBullet"/>
        <w:spacing w:line="276" w:lineRule="auto"/>
      </w:pPr>
      <w:r>
        <w:t>Monthly reporting on member count, revenue, and compliance</w:t>
      </w:r>
    </w:p>
    <w:p>
      <w:pPr>
        <w:pStyle w:val="ListBullet"/>
        <w:spacing w:line="276" w:lineRule="auto"/>
      </w:pPr>
      <w:r>
        <w:t>Non-discrimination in membership and access</w:t>
      </w:r>
    </w:p>
    <w:p>
      <w:pPr>
        <w:pStyle w:val="ListBullet"/>
        <w:spacing w:line="276" w:lineRule="auto"/>
      </w:pPr>
      <w:r>
        <w:t>Active fraud prevention and dispute resolution</w:t>
      </w:r>
    </w:p>
    <w:p>
      <w:pPr>
        <w:pStyle w:val="ListBullet"/>
        <w:spacing w:line="276" w:lineRule="auto"/>
      </w:pPr>
      <w:r>
        <w:t>Operation within AINEFF constitutional boundaries</w:t>
      </w:r>
    </w:p>
    <w:p>
      <w:r>
        <w:rPr>
          <w:b/>
        </w:rPr>
        <w:t>Conflict Resolution</w:t>
      </w:r>
    </w:p>
    <w:p>
      <w:pPr>
        <w:pStyle w:val="ListBullet"/>
        <w:spacing w:line="276" w:lineRule="auto"/>
      </w:pPr>
      <w:r>
        <w:t>Step 1: Direct negotiation (7 days)</w:t>
      </w:r>
    </w:p>
    <w:p>
      <w:pPr>
        <w:pStyle w:val="ListBullet"/>
        <w:spacing w:line="276" w:lineRule="auto"/>
      </w:pPr>
      <w:r>
        <w:t>Step 2: Coalition mediation (14 days)</w:t>
      </w:r>
    </w:p>
    <w:p>
      <w:pPr>
        <w:pStyle w:val="ListBullet"/>
        <w:spacing w:line="276" w:lineRule="auto"/>
      </w:pPr>
      <w:r>
        <w:t>Step 3: E-AEGL adjudication (30 days)</w:t>
      </w:r>
    </w:p>
    <w:p>
      <w:pPr>
        <w:pStyle w:val="ListBullet"/>
        <w:spacing w:line="276" w:lineRule="auto"/>
      </w:pPr>
      <w:r>
        <w:t>Step 4: Remediation and enforcement</w:t>
      </w:r>
    </w:p>
    <w:p>
      <w:r>
        <w:br w:type="page"/>
      </w:r>
    </w:p>
    <w:p>
      <w:pPr>
        <w:pStyle w:val="Heading1"/>
      </w:pPr>
      <w:r>
        <w:t>SECTION 9: GROWTH PLAYBOOK</w:t>
      </w:r>
    </w:p>
    <w:p>
      <w:pPr>
        <w:pStyle w:val="Heading2"/>
      </w:pPr>
      <w:r>
        <w:t>Phase 1: 0-500 Members</w:t>
      </w:r>
    </w:p>
    <w:p>
      <w:r>
        <w:rPr>
          <w:b/>
        </w:rPr>
        <w:t>Product-market fit</w:t>
      </w:r>
    </w:p>
    <w:p>
      <w:pPr>
        <w:spacing w:line="276" w:lineRule="auto"/>
      </w:pPr>
      <w:r>
        <w:t>Engagement, retention, organic growth</w:t>
      </w:r>
    </w:p>
    <w:p>
      <w:pPr>
        <w:pStyle w:val="Heading2"/>
      </w:pPr>
      <w:r>
        <w:t>Phase 2: 500-5,000 Members</w:t>
      </w:r>
    </w:p>
    <w:p>
      <w:r>
        <w:rPr>
          <w:b/>
        </w:rPr>
        <w:t>Network effects</w:t>
      </w:r>
    </w:p>
    <w:p>
      <w:pPr>
        <w:spacing w:line="276" w:lineRule="auto"/>
      </w:pPr>
      <w:r>
        <w:t>Marketplace velocity, referral rates</w:t>
      </w:r>
    </w:p>
    <w:p>
      <w:pPr>
        <w:pStyle w:val="Heading2"/>
      </w:pPr>
      <w:r>
        <w:t>Phase 3: 5,000-50,000 Members</w:t>
      </w:r>
    </w:p>
    <w:p>
      <w:r>
        <w:rPr>
          <w:b/>
        </w:rPr>
        <w:t>Infrastructure crystallization</w:t>
      </w:r>
    </w:p>
    <w:p>
      <w:pPr>
        <w:spacing w:line="276" w:lineRule="auto"/>
      </w:pPr>
      <w:r>
        <w:t>Data gravity, coalition participation</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1A1A2E"/>
          </w:tcPr>
          <w:p>
            <w:r>
              <w:rPr>
                <w:b/>
                <w:color w:val="FFFFFF"/>
              </w:rPr>
              <w:t>Phase</w:t>
            </w:r>
          </w:p>
        </w:tc>
        <w:tc>
          <w:tcPr>
            <w:tcW w:type="dxa" w:w="1560"/>
            <w:shd w:fill="1A1A2E"/>
          </w:tcPr>
          <w:p>
            <w:r>
              <w:rPr>
                <w:b/>
                <w:color w:val="FFFFFF"/>
              </w:rPr>
              <w:t>Members</w:t>
            </w:r>
          </w:p>
        </w:tc>
        <w:tc>
          <w:tcPr>
            <w:tcW w:type="dxa" w:w="1560"/>
            <w:shd w:fill="1A1A2E"/>
          </w:tcPr>
          <w:p>
            <w:r>
              <w:rPr>
                <w:b/>
                <w:color w:val="FFFFFF"/>
              </w:rPr>
              <w:t>AINEs</w:t>
            </w:r>
          </w:p>
        </w:tc>
        <w:tc>
          <w:tcPr>
            <w:tcW w:type="dxa" w:w="1560"/>
            <w:shd w:fill="1A1A2E"/>
          </w:tcPr>
          <w:p>
            <w:r>
              <w:rPr>
                <w:b/>
                <w:color w:val="FFFFFF"/>
              </w:rPr>
              <w:t>Revenue</w:t>
            </w:r>
          </w:p>
        </w:tc>
        <w:tc>
          <w:tcPr>
            <w:tcW w:type="dxa" w:w="1560"/>
            <w:shd w:fill="1A1A2E"/>
          </w:tcPr>
          <w:p>
            <w:r>
              <w:rPr>
                <w:b/>
                <w:color w:val="FFFFFF"/>
              </w:rPr>
              <w:t>Key Signal</w:t>
            </w:r>
          </w:p>
        </w:tc>
        <w:tc>
          <w:tcPr>
            <w:tcW w:type="dxa" w:w="1560"/>
            <w:shd w:fill="1A1A2E"/>
          </w:tcPr>
          <w:p>
            <w:r>
              <w:rPr>
                <w:b/>
                <w:color w:val="FFFFFF"/>
              </w:rPr>
              <w:t>Trigger</w:t>
            </w:r>
          </w:p>
        </w:tc>
      </w:tr>
      <w:tr>
        <w:tc>
          <w:tcPr>
            <w:tcW w:type="dxa" w:w="1560"/>
          </w:tcPr>
          <w:p>
            <w:r>
              <w:t>Phase 1</w:t>
            </w:r>
          </w:p>
        </w:tc>
        <w:tc>
          <w:tcPr>
            <w:tcW w:type="dxa" w:w="1560"/>
          </w:tcPr>
          <w:p>
            <w:r>
              <w:t>0-500</w:t>
            </w:r>
          </w:p>
        </w:tc>
        <w:tc>
          <w:tcPr>
            <w:tcW w:type="dxa" w:w="1560"/>
          </w:tcPr>
          <w:p>
            <w:r>
              <w:t>3 (all starter)</w:t>
            </w:r>
          </w:p>
        </w:tc>
        <w:tc>
          <w:tcPr>
            <w:tcW w:type="dxa" w:w="1560"/>
          </w:tcPr>
          <w:p>
            <w:r>
              <w:t>$0-5K</w:t>
            </w:r>
          </w:p>
        </w:tc>
        <w:tc>
          <w:tcPr>
            <w:tcW w:type="dxa" w:w="1560"/>
          </w:tcPr>
          <w:p>
            <w:r>
              <w:t>60% WAU</w:t>
            </w:r>
          </w:p>
        </w:tc>
        <w:tc>
          <w:tcPr>
            <w:tcW w:type="dxa" w:w="1560"/>
          </w:tcPr>
          <w:p>
            <w:r>
              <w:t>500 members</w:t>
            </w:r>
          </w:p>
        </w:tc>
      </w:tr>
      <w:tr>
        <w:tc>
          <w:tcPr>
            <w:tcW w:type="dxa" w:w="1560"/>
          </w:tcPr>
          <w:p>
            <w:r>
              <w:t>Phase 2</w:t>
            </w:r>
          </w:p>
        </w:tc>
        <w:tc>
          <w:tcPr>
            <w:tcW w:type="dxa" w:w="1560"/>
          </w:tcPr>
          <w:p>
            <w:r>
              <w:t>500-5K</w:t>
            </w:r>
          </w:p>
        </w:tc>
        <w:tc>
          <w:tcPr>
            <w:tcW w:type="dxa" w:w="1560"/>
          </w:tcPr>
          <w:p>
            <w:r>
              <w:t>3 (optimized)</w:t>
            </w:r>
          </w:p>
        </w:tc>
        <w:tc>
          <w:tcPr>
            <w:tcW w:type="dxa" w:w="1560"/>
          </w:tcPr>
          <w:p>
            <w:r>
              <w:t>$5K-20K</w:t>
            </w:r>
          </w:p>
        </w:tc>
        <w:tc>
          <w:tcPr>
            <w:tcW w:type="dxa" w:w="1560"/>
          </w:tcPr>
          <w:p>
            <w:r>
              <w:t>40% referral rate</w:t>
            </w:r>
          </w:p>
        </w:tc>
        <w:tc>
          <w:tcPr>
            <w:tcW w:type="dxa" w:w="1560"/>
          </w:tcPr>
          <w:p>
            <w:r>
              <w:t>5K members</w:t>
            </w:r>
          </w:p>
        </w:tc>
      </w:tr>
      <w:tr>
        <w:tc>
          <w:tcPr>
            <w:tcW w:type="dxa" w:w="1560"/>
          </w:tcPr>
          <w:p>
            <w:r>
              <w:t>Phase 3</w:t>
            </w:r>
          </w:p>
        </w:tc>
        <w:tc>
          <w:tcPr>
            <w:tcW w:type="dxa" w:w="1560"/>
          </w:tcPr>
          <w:p>
            <w:r>
              <w:t>5K-50K</w:t>
            </w:r>
          </w:p>
        </w:tc>
        <w:tc>
          <w:tcPr>
            <w:tcW w:type="dxa" w:w="1560"/>
          </w:tcPr>
          <w:p>
            <w:r>
              <w:t>8+ (custom)</w:t>
            </w:r>
          </w:p>
        </w:tc>
        <w:tc>
          <w:tcPr>
            <w:tcW w:type="dxa" w:w="1560"/>
          </w:tcPr>
          <w:p>
            <w:r>
              <w:t>$20K-200K+</w:t>
            </w:r>
          </w:p>
        </w:tc>
        <w:tc>
          <w:tcPr>
            <w:tcW w:type="dxa" w:w="1560"/>
          </w:tcPr>
          <w:p>
            <w:r>
              <w:t>Multi-coalition</w:t>
            </w:r>
          </w:p>
        </w:tc>
        <w:tc>
          <w:tcPr>
            <w:tcW w:type="dxa" w:w="1560"/>
          </w:tcPr>
          <w:p>
            <w:r>
              <w:t>Continuous</w:t>
            </w:r>
          </w:p>
        </w:tc>
      </w:tr>
    </w:tbl>
    <w:p>
      <w:r>
        <w:br w:type="page"/>
      </w:r>
    </w:p>
    <w:p>
      <w:pPr>
        <w:pStyle w:val="Heading1"/>
      </w:pPr>
      <w:r>
        <w:t>SECTION 10: SUPPORT AND RESOURCES</w:t>
      </w:r>
    </w:p>
    <w:p>
      <w:r>
        <w:rPr>
          <w:b/>
        </w:rPr>
        <w:t>Aureya provides comprehensive support:</w:t>
      </w:r>
    </w:p>
    <w:p>
      <w:pPr>
        <w:pStyle w:val="ListBullet"/>
        <w:spacing w:line="276" w:lineRule="auto"/>
      </w:pPr>
      <w:r>
        <w:t>Technical Support: support@aureya.io (4 hours critical, 24 hours standard)</w:t>
      </w:r>
    </w:p>
    <w:p>
      <w:pPr>
        <w:pStyle w:val="ListBullet"/>
        <w:spacing w:line="276" w:lineRule="auto"/>
      </w:pPr>
      <w:r>
        <w:t>Operator Hotline: +1-888-AUREYA-1 (Mon-Fri 9am-6pm UTC)</w:t>
      </w:r>
    </w:p>
    <w:p>
      <w:pPr>
        <w:pStyle w:val="ListBullet"/>
        <w:spacing w:line="276" w:lineRule="auto"/>
      </w:pPr>
      <w:r>
        <w:t>Knowledge Base: docs.aureya.io (searchable documentation)</w:t>
      </w:r>
    </w:p>
    <w:p>
      <w:pPr>
        <w:pStyle w:val="ListBullet"/>
        <w:spacing w:line="276" w:lineRule="auto"/>
      </w:pPr>
      <w:r>
        <w:t>Office Hours: Weekly Tuesdays 2pm UTC</w:t>
      </w:r>
    </w:p>
    <w:p>
      <w:r>
        <w:rPr>
          <w:b/>
        </w:rPr>
        <w:t>Community Network:</w:t>
      </w:r>
    </w:p>
    <w:p>
      <w:pPr>
        <w:pStyle w:val="ListBullet"/>
        <w:spacing w:line="276" w:lineRule="auto"/>
      </w:pPr>
      <w:r>
        <w:t>Slack Workspace: 500+ operators sharing challenges and solutions</w:t>
      </w:r>
    </w:p>
    <w:p>
      <w:pPr>
        <w:pStyle w:val="ListBullet"/>
        <w:spacing w:line="276" w:lineRule="auto"/>
      </w:pPr>
      <w:r>
        <w:t>Discord Server: Real-time chat and operator meetups</w:t>
      </w:r>
    </w:p>
    <w:p>
      <w:pPr>
        <w:pStyle w:val="ListBullet"/>
        <w:spacing w:line="276" w:lineRule="auto"/>
      </w:pPr>
      <w:r>
        <w:t>Monthly Cohorts: 10-15 operators at similar growth stages</w:t>
      </w:r>
    </w:p>
    <w:p>
      <w:pPr>
        <w:pStyle w:val="ListBullet"/>
        <w:spacing w:line="276" w:lineRule="auto"/>
      </w:pPr>
      <w:r>
        <w:t>Annual Summit: June 2026, keynotes and coalition formation</w:t>
      </w:r>
    </w:p>
    <w:p>
      <w:r>
        <w:br w:type="page"/>
      </w:r>
    </w:p>
    <w:p>
      <w:pPr>
        <w:pStyle w:val="Heading1"/>
      </w:pPr>
      <w:r>
        <w:t>APPENDIX A: DEPLOYMENT CHECKLIST</w:t>
      </w:r>
    </w:p>
    <w:p>
      <w:pPr>
        <w:spacing w:line="276" w:lineRule="auto"/>
        <w:ind w:left="360"/>
      </w:pPr>
      <w:r>
        <w:t>1. Confirm community identity and geographic scope</w:t>
      </w:r>
    </w:p>
    <w:p>
      <w:pPr>
        <w:spacing w:line="276" w:lineRule="auto"/>
        <w:ind w:left="360"/>
      </w:pPr>
      <w:r>
        <w:t>2. Sign Arisea Operator Agreement</w:t>
      </w:r>
    </w:p>
    <w:p>
      <w:pPr>
        <w:spacing w:line="276" w:lineRule="auto"/>
        <w:ind w:left="360"/>
      </w:pPr>
      <w:r>
        <w:t>3. Receive Tower Control Dashboard credentials</w:t>
      </w:r>
    </w:p>
    <w:p>
      <w:pPr>
        <w:spacing w:line="276" w:lineRule="auto"/>
        <w:ind w:left="360"/>
      </w:pPr>
      <w:r>
        <w:t>4. Deploy Tower Control HTML file</w:t>
      </w:r>
    </w:p>
    <w:p>
      <w:pPr>
        <w:spacing w:line="276" w:lineRule="auto"/>
        <w:ind w:left="360"/>
      </w:pPr>
      <w:r>
        <w:t>5. Configure community name and branding</w:t>
      </w:r>
    </w:p>
    <w:p>
      <w:pPr>
        <w:spacing w:line="276" w:lineRule="auto"/>
        <w:ind w:left="360"/>
      </w:pPr>
      <w:r>
        <w:t>6. Connect initial data sources</w:t>
      </w:r>
    </w:p>
    <w:p>
      <w:pPr>
        <w:spacing w:line="276" w:lineRule="auto"/>
        <w:ind w:left="360"/>
      </w:pPr>
      <w:r>
        <w:t>7. Activate Starter AINE 1: Community Intelligence</w:t>
      </w:r>
    </w:p>
    <w:p>
      <w:pPr>
        <w:spacing w:line="276" w:lineRule="auto"/>
        <w:ind w:left="360"/>
      </w:pPr>
      <w:r>
        <w:t>8. Activate Starter AINE 2: Talent &amp; Opportunity</w:t>
      </w:r>
    </w:p>
    <w:p>
      <w:pPr>
        <w:spacing w:line="276" w:lineRule="auto"/>
        <w:ind w:left="360"/>
      </w:pPr>
      <w:r>
        <w:t>9. Activate Starter AINE 3: Marketplace</w:t>
      </w:r>
    </w:p>
    <w:p>
      <w:pPr>
        <w:spacing w:line="276" w:lineRule="auto"/>
        <w:ind w:left="360"/>
      </w:pPr>
      <w:r>
        <w:t>10. Create member recruitment list</w:t>
      </w:r>
    </w:p>
    <w:p>
      <w:pPr>
        <w:spacing w:line="276" w:lineRule="auto"/>
        <w:ind w:left="360"/>
      </w:pPr>
      <w:r>
        <w:t>11. Prepare onboarding materials</w:t>
      </w:r>
    </w:p>
    <w:p>
      <w:pPr>
        <w:spacing w:line="276" w:lineRule="auto"/>
        <w:ind w:left="360"/>
      </w:pPr>
      <w:r>
        <w:t>12. Complete Operator Training</w:t>
      </w:r>
    </w:p>
    <w:p>
      <w:pPr>
        <w:spacing w:line="276" w:lineRule="auto"/>
        <w:ind w:left="360"/>
      </w:pPr>
      <w:r>
        <w:t>13. Join Aureya Slack/Discord</w:t>
      </w:r>
    </w:p>
    <w:p>
      <w:pPr>
        <w:spacing w:line="276" w:lineRule="auto"/>
        <w:ind w:left="360"/>
      </w:pPr>
      <w:r>
        <w:t>14. Schedule first Aureya Partner call</w:t>
      </w:r>
    </w:p>
    <w:p>
      <w:pPr>
        <w:spacing w:line="276" w:lineRule="auto"/>
        <w:ind w:left="360"/>
      </w:pPr>
      <w:r>
        <w:t>15. Set up billing and revenue split</w:t>
      </w:r>
    </w:p>
    <w:p>
      <w:pPr>
        <w:spacing w:line="276" w:lineRule="auto"/>
        <w:ind w:left="360"/>
      </w:pPr>
      <w:r>
        <w:t>16. Recruit first 10 members</w:t>
      </w:r>
    </w:p>
    <w:p>
      <w:pPr>
        <w:spacing w:line="276" w:lineRule="auto"/>
        <w:ind w:left="360"/>
      </w:pPr>
      <w:r>
        <w:t>17. Monitor first week engagement</w:t>
      </w:r>
    </w:p>
    <w:p>
      <w:pPr>
        <w:spacing w:line="276" w:lineRule="auto"/>
        <w:ind w:left="360"/>
      </w:pPr>
      <w:r>
        <w:t>18. Deploy first Community Intelligence report</w:t>
      </w:r>
    </w:p>
    <w:p>
      <w:pPr>
        <w:spacing w:line="276" w:lineRule="auto"/>
        <w:ind w:left="360"/>
      </w:pPr>
      <w:r>
        <w:t>19. Celebrate first job placement</w:t>
      </w:r>
    </w:p>
    <w:p>
      <w:pPr>
        <w:spacing w:line="276" w:lineRule="auto"/>
        <w:ind w:left="360"/>
      </w:pPr>
      <w:r>
        <w:t>20. Scale to 50 members</w:t>
      </w:r>
    </w:p>
    <w:p>
      <w:r>
        <w:br w:type="page"/>
      </w:r>
    </w:p>
    <w:p>
      <w:pPr>
        <w:pStyle w:val="Heading1"/>
      </w:pPr>
      <w:r>
        <w:t>APPENDIX B: GLOSSARY</w:t>
      </w:r>
    </w:p>
    <w:p>
      <w:pPr>
        <w:spacing w:line="276" w:lineRule="auto" w:after="120"/>
      </w:pPr>
      <w:r>
        <w:rPr>
          <w:b/>
        </w:rPr>
        <w:t xml:space="preserve">AINE: </w:t>
      </w:r>
      <w:r>
        <w:t>AI Native Entity. Autonomous operating agents within Arisea instances.</w:t>
      </w:r>
    </w:p>
    <w:p>
      <w:pPr>
        <w:spacing w:line="276" w:lineRule="auto" w:after="120"/>
      </w:pPr>
      <w:r>
        <w:rPr>
          <w:b/>
        </w:rPr>
        <w:t xml:space="preserve">AINEF: </w:t>
      </w:r>
      <w:r>
        <w:t>AI Native Entity Framework. The technical architecture for AINE operation.</w:t>
      </w:r>
    </w:p>
    <w:p>
      <w:pPr>
        <w:spacing w:line="276" w:lineRule="auto" w:after="120"/>
      </w:pPr>
      <w:r>
        <w:rPr>
          <w:b/>
        </w:rPr>
        <w:t xml:space="preserve">AINEG: </w:t>
      </w:r>
      <w:r>
        <w:t>AI Native Entity Governance. The governance layer ensuring AINE compliance.</w:t>
      </w:r>
    </w:p>
    <w:p>
      <w:pPr>
        <w:spacing w:line="276" w:lineRule="auto" w:after="120"/>
      </w:pPr>
      <w:r>
        <w:rPr>
          <w:b/>
        </w:rPr>
        <w:t xml:space="preserve">AINEFF: </w:t>
      </w:r>
      <w:r>
        <w:t>AI Native Entity Federation Framework. Complete system: infrastructure + governance + protocols.</w:t>
      </w:r>
    </w:p>
    <w:p>
      <w:pPr>
        <w:spacing w:line="276" w:lineRule="auto" w:after="120"/>
      </w:pPr>
      <w:r>
        <w:rPr>
          <w:b/>
        </w:rPr>
        <w:t xml:space="preserve">Arisea: </w:t>
      </w:r>
      <w:r>
        <w:t>Sovereign community node within the Aureya network.</w:t>
      </w:r>
    </w:p>
    <w:p>
      <w:pPr>
        <w:spacing w:line="276" w:lineRule="auto" w:after="120"/>
      </w:pPr>
      <w:r>
        <w:rPr>
          <w:b/>
        </w:rPr>
        <w:t xml:space="preserve">Aureya: </w:t>
      </w:r>
      <w:r>
        <w:t>Global coordination infrastructure maintaining knowledge graph and protocols.</w:t>
      </w:r>
    </w:p>
    <w:p>
      <w:pPr>
        <w:spacing w:line="276" w:lineRule="auto" w:after="120"/>
      </w:pPr>
      <w:r>
        <w:rPr>
          <w:b/>
        </w:rPr>
        <w:t xml:space="preserve">E-AEGL: </w:t>
      </w:r>
      <w:r>
        <w:t>Ethics, Audit, Governance, Legal framework providing constitutional boundaries.</w:t>
      </w:r>
    </w:p>
    <w:p>
      <w:pPr>
        <w:spacing w:line="276" w:lineRule="auto" w:after="120"/>
      </w:pPr>
      <w:r>
        <w:rPr>
          <w:b/>
        </w:rPr>
        <w:t xml:space="preserve">Gameboard: </w:t>
      </w:r>
      <w:r>
        <w:t>Visual representation of community ecosystem in Tower Control.</w:t>
      </w:r>
    </w:p>
    <w:p>
      <w:pPr>
        <w:spacing w:line="276" w:lineRule="auto" w:after="120"/>
      </w:pPr>
      <w:r>
        <w:rPr>
          <w:b/>
        </w:rPr>
        <w:t xml:space="preserve">HAE: </w:t>
      </w:r>
      <w:r>
        <w:t>Humans and AINEs. Collaborative model where humans decide, AINEs execute.</w:t>
      </w:r>
    </w:p>
    <w:p>
      <w:pPr>
        <w:spacing w:line="276" w:lineRule="auto" w:after="120"/>
      </w:pPr>
      <w:r>
        <w:rPr>
          <w:b/>
        </w:rPr>
        <w:t xml:space="preserve">Levelupmax: </w:t>
      </w:r>
      <w:r>
        <w:t>Talent marketplace powering Talent &amp; Opportunity AINE.</w:t>
      </w:r>
    </w:p>
    <w:p>
      <w:pPr>
        <w:spacing w:line="276" w:lineRule="auto" w:after="120"/>
      </w:pPr>
      <w:r>
        <w:rPr>
          <w:b/>
        </w:rPr>
        <w:t xml:space="preserve">Novaterra: </w:t>
      </w:r>
      <w:r>
        <w:t>Infrastructure providing employment data and job matching.</w:t>
      </w:r>
    </w:p>
    <w:p>
      <w:pPr>
        <w:spacing w:line="276" w:lineRule="auto" w:after="120"/>
      </w:pPr>
      <w:r>
        <w:rPr>
          <w:b/>
        </w:rPr>
        <w:t xml:space="preserve">Sanctuary: </w:t>
      </w:r>
      <w:r>
        <w:t>Protected space for sensitive community discussions.</w:t>
      </w:r>
    </w:p>
    <w:p>
      <w:pPr>
        <w:spacing w:line="276" w:lineRule="auto" w:after="120"/>
      </w:pPr>
      <w:r>
        <w:rPr>
          <w:b/>
        </w:rPr>
        <w:t xml:space="preserve">SkillTrek: </w:t>
      </w:r>
      <w:r>
        <w:t>CIP training system integrated with Arisea for career pathways.</w:t>
      </w:r>
    </w:p>
    <w:p>
      <w:pPr>
        <w:spacing w:line="276" w:lineRule="auto" w:after="120"/>
      </w:pPr>
      <w:r>
        <w:rPr>
          <w:b/>
        </w:rPr>
        <w:t xml:space="preserve">Species: </w:t>
      </w:r>
      <w:r>
        <w:t>Category of Arisea instances (geographic, industry, demographic).</w:t>
      </w:r>
    </w:p>
    <w:p>
      <w:pPr>
        <w:spacing w:line="276" w:lineRule="auto" w:after="120"/>
      </w:pPr>
      <w:r>
        <w:rPr>
          <w:b/>
        </w:rPr>
        <w:t xml:space="preserve">TCCC: </w:t>
      </w:r>
      <w:r>
        <w:t>Tower Control Command Center, your operational dashboard.</w:t>
      </w:r>
    </w:p>
    <w:p>
      <w:pPr>
        <w:spacing w:line="276" w:lineRule="auto" w:after="120"/>
      </w:pPr>
      <w:r>
        <w:rPr>
          <w:b/>
        </w:rPr>
        <w:t xml:space="preserve">WGE: </w:t>
      </w:r>
      <w:r>
        <w:t>Weighted Graph Engine powering Aureya's knowledge graph.</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A1A2E"/>
        <w:sz w:val="18"/>
      </w:rPr>
      <w:t xml:space="preserve">Aureya Global Infrastructure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A1A2E"/>
        <w:sz w:val="18"/>
      </w:rPr>
      <w:t>ARISEA DEPLOYMENT KIT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