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AUREYA IMPLEMENTATION &amp; BAU ROADMAP</w:t>
      </w:r>
    </w:p>
    <w:p/>
    <w:p>
      <w:pPr>
        <w:jc w:val="center"/>
      </w:pPr>
      <w:r>
        <w:rPr>
          <w:i/>
          <w:sz w:val="28"/>
        </w:rPr>
        <w:t>Comprehensive 12-Month Operational Roadmap</w:t>
      </w:r>
    </w:p>
    <w:p/>
    <w:p/>
    <w:p>
      <w:pPr>
        <w:jc w:val="center"/>
      </w:pPr>
      <w:r>
        <w:rPr>
          <w:sz w:val="22"/>
        </w:rPr>
        <w:t>March 2026</w:t>
        <w:br/>
        <w:t>Confidential</w:t>
        <w:br/>
        <w:t>Aureya Global Infrastructure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32"/>
        </w:rPr>
        <w:t>SECTION 1: CURRENT STATE ASSESSMENT</w:t>
      </w:r>
    </w:p>
    <w:p>
      <w:pPr>
        <w:spacing w:after="120"/>
      </w:pPr>
      <w:r>
        <w:t>The Aureya project exists at a critical inflection point. Current state assessment reveals a sophisticated technological foundation with proven concepts, but a disconnect between technical capability and market articulation.</w:t>
      </w:r>
    </w:p>
    <w:p>
      <w:pPr>
        <w:spacing w:after="120"/>
      </w:pPr>
      <w:r>
        <w:t>The existing codebase represents approximately 18 months of research and development across agent orchestration, autonomous negotiation, economic modeling, and governance frameworks.</w:t>
      </w:r>
    </w:p>
    <w:p>
      <w:pPr>
        <w:spacing w:after="120"/>
      </w:pPr>
      <w:r>
        <w:t>Current asset inventory includes: (1) Complete Aureya meta-system architecture, (2) Claude Code framework v0.8, (3) Tower Control system, (4) ORF Protocol v0.9, (5) Knowledge Marketplace schema, (6) Three AINE prototypes, (7) Arisea framework, (8) Economic models.</w:t>
      </w:r>
    </w:p>
    <w:p>
      <w:pPr>
        <w:spacing w:after="120"/>
      </w:pPr>
      <w:r>
        <w:t>Technology demonstrates clear feasibility. Multi-agent protocols tested with 10,000+ actors. Real-time monitoring validated with live data. Governance execution stress-tested. Technical risk substantially de-risked.</w:t>
      </w:r>
    </w:p>
    <w:p>
      <w:pPr>
        <w:spacing w:after="120"/>
      </w:pPr>
      <w:r>
        <w:t>Significant gaps exist in market readiness, go-to-market articulation, and operational infrastructure. Not yet achieved: production marketplace, first ecosystem cohort, user success stories, BAU rhythm, integrated financials, clear pricing, community engagement, enterprise distribution.</w:t>
      </w:r>
    </w:p>
    <w:p>
      <w:pPr>
        <w:spacing w:after="120"/>
      </w:pPr>
      <w:r>
        <w:t>Market opportunity analysis indicates unprecedented window. Global coordination infrastructure valued at $2+ trillion annually. TAM exceeding $500 billion. Early mover advantage substantial. Regulatory environment favorable.</w:t>
      </w:r>
    </w:p>
    <w:p>
      <w:pPr>
        <w:spacing w:after="120"/>
      </w:pPr>
      <w:r>
        <w:t>Competitive landscape assessment reveals minimal direct competition. No competitor demonstrated meta-system architecture. Patent landscape indicates clear pathways. Timeline suggests 3-4 year window before large tech companies enter.</w:t>
      </w:r>
    </w:p>
    <w:p>
      <w:pPr>
        <w:spacing w:after="120"/>
      </w:pPr>
      <w:r>
        <w:t>Stakeholder readiness is strong. Early adopters across seven verticals express urgent need. Insurance, cities, supply chain, research institutions recognize value.</w:t>
      </w:r>
    </w:p>
    <w:p>
      <w:pPr>
        <w:spacing w:after="120"/>
      </w:pPr>
      <w:r>
        <w:t>Team capacity below critical mass but distributed expertise strong. Systems engineering, economic modeling, governance theory well-represented. Team expanded incrementally throughout roadmap.</w:t>
      </w:r>
    </w:p>
    <w:p>
      <w:pPr>
        <w:spacing w:after="120"/>
      </w:pPr>
      <w:r>
        <w:t>Financial runway supports 4-6 months. Revenue generation Phase 1 critical. Seed raise Week 4. Series A Month 6.</w:t>
      </w:r>
    </w:p>
    <w:p>
      <w:pPr>
        <w:pStyle w:val="Heading1"/>
      </w:pPr>
      <w:r>
        <w:rPr>
          <w:b/>
          <w:color w:val="1A1A2E"/>
          <w:sz w:val="32"/>
        </w:rPr>
        <w:t>SECTION 2: THE TOOLCHAIN</w:t>
      </w:r>
    </w:p>
    <w:p>
      <w:pPr>
        <w:spacing w:after="120"/>
      </w:pPr>
      <w:r>
        <w:t>Aureya implementation depends on seven complementary technologies. This integrated toolkit enables rapid iteration, multi-agent coordination, knowledge synthesis, operational scaling.</w:t>
      </w:r>
    </w:p>
    <w:p>
      <w:pPr>
        <w:spacing w:after="120"/>
      </w:pPr>
      <w:r>
        <w:t>Toolchain field-tested across 40+ scenarios. Each tool occupies specific role. Together enable execution velocity impossible with traditional development.</w:t>
      </w:r>
    </w:p>
    <w:p>
      <w:pPr>
        <w:pStyle w:val="Heading2"/>
      </w:pPr>
      <w:r>
        <w:rPr>
          <w:b/>
          <w:color w:val="533483"/>
          <w:sz w:val="26"/>
        </w:rPr>
        <w:t>Tool 1: Claude Code</w:t>
      </w:r>
    </w:p>
    <w:p>
      <w:pPr>
        <w:spacing w:after="120"/>
      </w:pPr>
      <w:r>
        <w:t>Claude Code functions as primary orchestration engine. Enables rapid AINE prototyping, Arisea deployment, Tower Control logic, governance rule implementation.</w:t>
      </w:r>
    </w:p>
    <w:p>
      <w:pPr>
        <w:spacing w:after="120"/>
      </w:pPr>
      <w:r>
        <w:t>Claude Code handles: AINE generation, Arisea deployment, negotiation logic, Tower Control coding, governance specification, economic mechanism design, integration endpoints.</w:t>
      </w:r>
    </w:p>
    <w:p>
      <w:pPr>
        <w:spacing w:after="120"/>
      </w:pPr>
      <w:r>
        <w:t>Claude Code translates requirements into executable systems. Produces complete AINE designs including entity schemas, sensing, negotiation, enforcement, reporting.</w:t>
      </w:r>
    </w:p>
    <w:p>
      <w:pPr>
        <w:pStyle w:val="Heading2"/>
      </w:pPr>
      <w:r>
        <w:rPr>
          <w:b/>
          <w:color w:val="533483"/>
          <w:sz w:val="26"/>
        </w:rPr>
        <w:t>Tool 2: AntiGravity</w:t>
      </w:r>
    </w:p>
    <w:p>
      <w:pPr>
        <w:spacing w:after="120"/>
      </w:pPr>
      <w:r>
        <w:t>AntiGravity functions as guardrail and constraint enforcement layer. Prevents agent misalignment, ensures compliance, protects against failure modes.</w:t>
      </w:r>
    </w:p>
    <w:p>
      <w:pPr>
        <w:spacing w:after="120"/>
      </w:pPr>
      <w:r>
        <w:t>Five core guardrail categories: institutional compliance, system stability, entity sovereignty, economic stability, knowledge integrity.</w:t>
      </w:r>
    </w:p>
    <w:p>
      <w:pPr>
        <w:spacing w:after="120"/>
      </w:pPr>
      <w:r>
        <w:t>AntiGravity v0.1 launches with 40+ rules covering insurance, supply chain, municipal. v0.2 expands to 80 rules. v0.3 jurisdiction-specific compliance.</w:t>
      </w:r>
    </w:p>
    <w:p>
      <w:pPr>
        <w:pStyle w:val="Heading2"/>
      </w:pPr>
      <w:r>
        <w:rPr>
          <w:b/>
          <w:color w:val="533483"/>
          <w:sz w:val="26"/>
        </w:rPr>
        <w:t>Tool 3: NotebookLM</w:t>
      </w:r>
    </w:p>
    <w:p>
      <w:pPr>
        <w:spacing w:after="120"/>
      </w:pPr>
      <w:r>
        <w:t>NotebookLM functions as knowledge synthesis engine. Converts institutional expertise into actionable agent logic.</w:t>
      </w:r>
    </w:p>
    <w:p>
      <w:pPr>
        <w:spacing w:after="120"/>
      </w:pPr>
      <w:r>
        <w:t>Enables critical workflow: institutional leaders provide knowledge, NotebookLM synthesizes specifications, Claude Code implements. Non-technical operators design AINEs.</w:t>
      </w:r>
    </w:p>
    <w:p>
      <w:pPr>
        <w:pStyle w:val="Heading2"/>
      </w:pPr>
      <w:r>
        <w:rPr>
          <w:b/>
          <w:color w:val="533483"/>
          <w:sz w:val="26"/>
        </w:rPr>
        <w:t>Tool 4: Google AI Studio</w:t>
      </w:r>
    </w:p>
    <w:p>
      <w:pPr>
        <w:spacing w:after="120"/>
      </w:pPr>
      <w:r>
        <w:t>Rapid prototyping and experimentation engine. Enables quick iteration on behaviors, protocols, mechanisms without full-cycle development.</w:t>
      </w:r>
    </w:p>
    <w:p>
      <w:pPr>
        <w:spacing w:after="120"/>
      </w:pPr>
      <w:r>
        <w:t>Operators design and test AINEs. Community members explore governance. Researchers design mechanisms. Shared infrastructure enabling collaborative experimentation.</w:t>
      </w:r>
    </w:p>
    <w:p>
      <w:pPr>
        <w:pStyle w:val="Heading2"/>
      </w:pPr>
      <w:r>
        <w:rPr>
          <w:b/>
          <w:color w:val="533483"/>
          <w:sz w:val="26"/>
        </w:rPr>
        <w:t>Tool 5: OpenClaw and MCP</w:t>
      </w:r>
    </w:p>
    <w:p>
      <w:pPr>
        <w:spacing w:after="120"/>
      </w:pPr>
      <w:r>
        <w:t>Integration and real-time data access layer. Enables connection to live data without custom development.</w:t>
      </w:r>
    </w:p>
    <w:p>
      <w:pPr>
        <w:spacing w:after="120"/>
      </w:pPr>
      <w:r>
        <w:t>Reduces integration from 6-12 months to 2-4 weeks. By Month 6, connects to 40+ institutional data sources.</w:t>
      </w:r>
    </w:p>
    <w:p>
      <w:pPr>
        <w:pStyle w:val="Heading2"/>
      </w:pPr>
      <w:r>
        <w:rPr>
          <w:b/>
          <w:color w:val="533483"/>
          <w:sz w:val="26"/>
        </w:rPr>
        <w:t>Tool 6: AI DevOps System</w:t>
      </w:r>
    </w:p>
    <w:p>
      <w:pPr>
        <w:spacing w:after="120"/>
      </w:pPr>
      <w:r>
        <w:t>Operational infrastructure for safe AINE deployment at scale. Version control, testing, automation, monitoring, rollback.</w:t>
      </w:r>
    </w:p>
    <w:p>
      <w:pPr>
        <w:spacing w:after="120"/>
      </w:pPr>
      <w:r>
        <w:t>By Month 12, manages 250+ AINEs and 25+ Arisea with 99.9% uptime.</w:t>
      </w:r>
    </w:p>
    <w:p>
      <w:pPr>
        <w:pStyle w:val="Heading2"/>
      </w:pPr>
      <w:r>
        <w:rPr>
          <w:b/>
          <w:color w:val="533483"/>
          <w:sz w:val="26"/>
        </w:rPr>
        <w:t>Tool 7: AgentAssistant</w:t>
      </w:r>
    </w:p>
    <w:p>
      <w:pPr>
        <w:spacing w:after="120"/>
      </w:pPr>
      <w:r>
        <w:t>Human-in-the-loop coordination layer. Handles escalation, decision support, oversight, judgment integration.</w:t>
      </w:r>
    </w:p>
    <w:p>
      <w:pPr>
        <w:spacing w:after="120"/>
      </w:pPr>
      <w:r>
        <w:t>Operationalizes human agency at core. Every AINE has responsible operator. Routine tasks autonomous, significant decisions involve humans.</w:t>
      </w:r>
    </w:p>
    <w:p>
      <w:pPr>
        <w:pStyle w:val="Heading1"/>
      </w:pPr>
      <w:r>
        <w:rPr>
          <w:b/>
          <w:color w:val="1A1A2E"/>
          <w:sz w:val="32"/>
        </w:rPr>
        <w:t>SECTION 3: IMPLEMENTATION PHASES</w:t>
      </w:r>
    </w:p>
    <w:p>
      <w:pPr>
        <w:spacing w:after="120"/>
      </w:pPr>
      <w:r>
        <w:t>12-month roadmap divides into five phases. Each has deliverables, milestones, revenue targets. Each enables next through incremental capability.</w:t>
      </w:r>
    </w:p>
    <w:p>
      <w:pPr>
        <w:pStyle w:val="Heading2"/>
      </w:pPr>
      <w:r>
        <w:rPr>
          <w:b/>
          <w:color w:val="533483"/>
          <w:sz w:val="26"/>
        </w:rPr>
        <w:t>PHASE 1: REVENUE ENGINE (Weeks 1-4)</w:t>
      </w:r>
    </w:p>
    <w:p>
      <w:pPr>
        <w:spacing w:after="120"/>
      </w:pPr>
      <w:r>
        <w:t>Operational market entry with three revenue tiers. Three parallel workstreams: packaging/pricing, digital infrastructure, first paid proof unit.</w:t>
      </w:r>
    </w:p>
    <w:p>
      <w:pPr>
        <w:spacing w:after="120"/>
      </w:pPr>
      <w:r>
        <w:t>Week 1: Pricing finalized, website architecture designed, payment processor selected. Week 2: Product website live, Stripe integrated, CRM deployed. Week 3: Three vertical websites launch. Week 4: First paid proof unit signed (insurance, $85K-$110K).</w:t>
      </w:r>
    </w:p>
    <w:p>
      <w:pPr>
        <w:spacing w:after="120"/>
      </w:pPr>
      <w:r>
        <w:t>Team expansion: Sales lead, customer success manager, DevOps engineer (full-time), operations manager. Grows from 3-4 to 7-8.</w:t>
      </w:r>
    </w:p>
    <w:p>
      <w:pPr>
        <w:pStyle w:val="Heading2"/>
      </w:pPr>
      <w:r>
        <w:rPr>
          <w:b/>
          <w:color w:val="533483"/>
          <w:sz w:val="26"/>
        </w:rPr>
        <w:t>PHASE 2: AINE v0.1 (Weeks 5-8)</w:t>
      </w:r>
    </w:p>
    <w:p>
      <w:pPr>
        <w:spacing w:after="120"/>
      </w:pPr>
      <w:r>
        <w:t>Automated AINE Factory and first production AINE. AntiGravity v0.1 (40+ rules). Tower Control connected to live feeds.</w:t>
      </w:r>
    </w:p>
    <w:p>
      <w:pPr>
        <w:spacing w:after="120"/>
      </w:pPr>
      <w:r>
        <w:t>Insurance AINE monitors: processing speed, cost variance, dispute frequency, information asymmetry, pricing fairness, settlement rate, customer satisfaction, regulatory compliance.</w:t>
      </w:r>
    </w:p>
    <w:p>
      <w:pPr>
        <w:spacing w:after="120"/>
      </w:pPr>
      <w:r>
        <w:t>Week 5-6: Insurance AINE deployed. Week 7-8: AINE Factory v0.1 public, five AINEs designed, templates created.</w:t>
      </w:r>
    </w:p>
    <w:p>
      <w:pPr>
        <w:spacing w:after="120"/>
      </w:pPr>
      <w:r>
        <w:t>Team additions: AINE architect, data engineer (full-time), community manager, marketing lead. Grows to 15-18.</w:t>
      </w:r>
    </w:p>
    <w:p>
      <w:pPr>
        <w:pStyle w:val="Heading2"/>
      </w:pPr>
      <w:r>
        <w:rPr>
          <w:b/>
          <w:color w:val="533483"/>
          <w:sz w:val="26"/>
        </w:rPr>
        <w:t>PHASE 3: ARISEA v0.1 (Weeks 9-12)</w:t>
      </w:r>
    </w:p>
    <w:p>
      <w:pPr>
        <w:spacing w:after="120"/>
      </w:pPr>
      <w:r>
        <w:t>First production Arisea with 3-5 AINEs and 10+ community members. ORF Protocol v0.1 operational.</w:t>
      </w:r>
    </w:p>
    <w:p>
      <w:pPr>
        <w:spacing w:after="120"/>
      </w:pPr>
      <w:r>
        <w:t>Targets metro region (500K-1M population) coordinating transportation, municipal services, emergency response.</w:t>
      </w:r>
    </w:p>
    <w:p>
      <w:pPr>
        <w:spacing w:after="120"/>
      </w:pPr>
      <w:r>
        <w:t>Week 9-10: Arisea deployed, inter-AINE protocols tested. Week 11-12: Ten members onboarded, protocols validated, satisfaction &gt;80%, seed funding closed.</w:t>
      </w:r>
    </w:p>
    <w:p>
      <w:pPr>
        <w:spacing w:after="120"/>
      </w:pPr>
      <w:r>
        <w:t>Team expansion to 25-30: Arisea specialist, governance architect, community lead, finance manager.</w:t>
      </w:r>
    </w:p>
    <w:p>
      <w:pPr>
        <w:pStyle w:val="Heading2"/>
      </w:pPr>
      <w:r>
        <w:rPr>
          <w:b/>
          <w:color w:val="533483"/>
          <w:sz w:val="26"/>
        </w:rPr>
        <w:t>PHASE 4: SCALE (Months 4-6)</w:t>
      </w:r>
    </w:p>
    <w:p>
      <w:pPr>
        <w:spacing w:after="120"/>
      </w:pPr>
      <w:r>
        <w:t>Targets: 50+ AINEs across 8+ verticals, 5+ Arisea instances, ORF Protocol v0.1, Knowledge Marketplace revenue, Talent Marketplace.</w:t>
      </w:r>
    </w:p>
    <w:p>
      <w:pPr>
        <w:spacing w:after="120"/>
      </w:pPr>
      <w:r>
        <w:t>Month 4: 20+ AINEs, 2-3 Arisea instances, AntiGravity v0.2. Month 5: 40+ AINEs, 4+ instances, 3 enterprise partnerships.</w:t>
      </w:r>
    </w:p>
    <w:p>
      <w:pPr>
        <w:spacing w:after="120"/>
      </w:pPr>
      <w:r>
        <w:t>Month 6 Series A: Target $3M-$5M. Metrics: 50+ AINEs, 5+ Arisea, $80K-$100K MRR, 100+ marketplace transactions/day.</w:t>
      </w:r>
    </w:p>
    <w:p>
      <w:pPr>
        <w:pStyle w:val="Heading2"/>
      </w:pPr>
      <w:r>
        <w:rPr>
          <w:b/>
          <w:color w:val="533483"/>
          <w:sz w:val="26"/>
        </w:rPr>
        <w:t>PHASE 5: INFRASTRUCTURE (Months 7-12)</w:t>
      </w:r>
    </w:p>
    <w:p>
      <w:pPr>
        <w:spacing w:after="120"/>
      </w:pPr>
      <w:r>
        <w:t>Targets: 250+ AINEs across 15+ verticals, 25+ Arisea, Multi-Jurisdiction AINEG, HAE pilot, blockchain v0.1, $500K-$1M/month.</w:t>
      </w:r>
    </w:p>
    <w:p>
      <w:pPr>
        <w:spacing w:after="120"/>
      </w:pPr>
      <w:r>
        <w:t>Month 7-8: 100+ AINEs, 10+ Arisea, HAE begins. Month 9-10: HAE operational, blockchain live, 175+ AINEs. Month 11-12: 250+ AINEs, 25+ Arisea, multi-jurisd AINEG.</w:t>
      </w:r>
    </w:p>
    <w:p>
      <w:pPr>
        <w:spacing w:after="120"/>
      </w:pPr>
      <w:r>
        <w:t>Series B: $15M-$25M target. Team expands to 60-80.</w:t>
      </w:r>
    </w:p>
    <w:p>
      <w:pPr>
        <w:pStyle w:val="Heading1"/>
      </w:pPr>
      <w:r>
        <w:rPr>
          <w:b/>
          <w:color w:val="1A1A2E"/>
          <w:sz w:val="32"/>
        </w:rPr>
        <w:t>SECTION 4: BUSINESS AS USUAL OPERATIONS</w:t>
      </w:r>
    </w:p>
    <w:p>
      <w:pPr>
        <w:spacing w:after="120"/>
      </w:pPr>
      <w:r>
        <w:t>BAU establishes rhythm, accountability, continuous improvement. Daily standups, weekly sprints, monthly reviews, quarterly planning.</w:t>
      </w:r>
    </w:p>
    <w:p>
      <w:pPr>
        <w:spacing w:after="120"/>
      </w:pPr>
      <w:r>
        <w:t>Assumes Week 5 sufficient scale (8-12 people). Weekly sprints organize work. Daily standups synchronize. Monthly reviews track metrics. Quarterly planning aligns roadmap.</w:t>
      </w:r>
    </w:p>
    <w:p>
      <w:pPr>
        <w:pStyle w:val="Heading2"/>
      </w:pPr>
      <w:r>
        <w:rPr>
          <w:b/>
          <w:color w:val="533483"/>
          <w:sz w:val="26"/>
        </w:rPr>
        <w:t>Daily Operations</w:t>
      </w:r>
    </w:p>
    <w:p>
      <w:pPr>
        <w:spacing w:after="120"/>
      </w:pPr>
      <w:r>
        <w:t>09:00 UTC: 15-min engineering standup. Status, blockers, mood check.</w:t>
      </w:r>
    </w:p>
    <w:p>
      <w:pPr>
        <w:spacing w:after="120"/>
      </w:pPr>
      <w:r>
        <w:t>09:15 UTC: Product-Engineering sync. Requirement shifts, market feedback.</w:t>
      </w:r>
    </w:p>
    <w:p>
      <w:pPr>
        <w:spacing w:after="120"/>
      </w:pPr>
      <w:r>
        <w:t>09:30 UTC: Operations standup. AINE/Arisea deployments, support, incidents.</w:t>
      </w:r>
    </w:p>
    <w:p>
      <w:pPr>
        <w:spacing w:after="120"/>
      </w:pPr>
      <w:r>
        <w:t>10:00 UTC: Sales prep. Pipeline, customer feedback, escalations.</w:t>
      </w:r>
    </w:p>
    <w:p>
      <w:pPr>
        <w:spacing w:after="120"/>
      </w:pPr>
      <w:r>
        <w:t>Throughout day: Slack channels coordinate. #incidents, #feedback, #releases, #decisions.</w:t>
      </w:r>
    </w:p>
    <w:p>
      <w:pPr>
        <w:spacing w:after="120"/>
      </w:pPr>
      <w:r>
        <w:t>17:00 UTC: End-of-day sync. Progress, incidents, wins celebrated.</w:t>
      </w:r>
    </w:p>
    <w:p>
      <w:pPr>
        <w:pStyle w:val="Heading2"/>
      </w:pPr>
      <w:r>
        <w:rPr>
          <w:b/>
          <w:color w:val="533483"/>
          <w:sz w:val="26"/>
        </w:rPr>
        <w:t>Weekly Operations</w:t>
      </w:r>
    </w:p>
    <w:p>
      <w:pPr>
        <w:spacing w:after="120"/>
      </w:pPr>
      <w:r>
        <w:t>Monday 08:00: Sprint Planning (90 min). Priorities, commitments, estimates.</w:t>
      </w:r>
    </w:p>
    <w:p>
      <w:pPr>
        <w:spacing w:after="120"/>
      </w:pPr>
      <w:r>
        <w:t>Monday 14:00: All-Hands (60 min). Strategic updates, engineering, ops, sales, community.</w:t>
      </w:r>
    </w:p>
    <w:p>
      <w:pPr>
        <w:spacing w:after="120"/>
      </w:pPr>
      <w:r>
        <w:t>Wednesday: Mid-week sync. Status, risks, escalations.</w:t>
      </w:r>
    </w:p>
    <w:p>
      <w:pPr>
        <w:spacing w:after="120"/>
      </w:pPr>
      <w:r>
        <w:t>Friday 15:00: Sprint Review/Retro. Demos, retrospective, improvements.</w:t>
      </w:r>
    </w:p>
    <w:p>
      <w:pPr>
        <w:pStyle w:val="Heading2"/>
      </w:pPr>
      <w:r>
        <w:rPr>
          <w:b/>
          <w:color w:val="533483"/>
          <w:sz w:val="26"/>
        </w:rPr>
        <w:t>Monthly and Quarterly</w:t>
      </w:r>
    </w:p>
    <w:p>
      <w:pPr>
        <w:spacing w:after="120"/>
      </w:pPr>
      <w:r>
        <w:t>First day: Monthly Business Review (180 min). Financial, product, engineering, sales, ops.</w:t>
      </w:r>
    </w:p>
    <w:p>
      <w:pPr>
        <w:spacing w:after="120"/>
      </w:pPr>
      <w:r>
        <w:t>Mid-month: Investor update. Metrics, strategy, capital needs.</w:t>
      </w:r>
    </w:p>
    <w:p>
      <w:pPr>
        <w:spacing w:after="120"/>
      </w:pPr>
      <w:r>
        <w:t>Month-end: Financial close, 12-month forecast revision.</w:t>
      </w:r>
    </w:p>
    <w:p>
      <w:pPr>
        <w:spacing w:after="120"/>
      </w:pPr>
      <w:r>
        <w:t>Quarterly (2-day off-site): Market review, product strategy, team structure, financials. Outputs: roadmap refresh, 5 priorities, hiring, budget.</w:t>
      </w:r>
    </w:p>
    <w:p>
      <w:pPr>
        <w:pStyle w:val="Heading1"/>
      </w:pPr>
      <w:r>
        <w:rPr>
          <w:b/>
          <w:color w:val="1A1A2E"/>
          <w:sz w:val="32"/>
        </w:rPr>
        <w:t>SECTION 5: CLAUDE CODE EXECUTION PLAYBOOK</w:t>
      </w:r>
    </w:p>
    <w:p>
      <w:pPr>
        <w:spacing w:after="120"/>
      </w:pPr>
      <w:r>
        <w:t>Provides step-by-step guidance for building AINEs, Arisea deployments, marketplaces. Templates translate intent into executable prompts.</w:t>
      </w:r>
    </w:p>
    <w:p>
      <w:pPr>
        <w:spacing w:after="120"/>
      </w:pPr>
      <w:r>
        <w:t>Four primary templates: AINE Specification, AINE Implementation, Arisea Deployment, Marketplace Implementation.</w:t>
      </w:r>
    </w:p>
    <w:p>
      <w:pPr>
        <w:pStyle w:val="Heading1"/>
      </w:pPr>
      <w:r>
        <w:rPr>
          <w:b/>
          <w:color w:val="1A1A2E"/>
          <w:sz w:val="32"/>
        </w:rPr>
        <w:t>SECTION 6: RISK REGISTER</w:t>
      </w:r>
    </w:p>
    <w:p>
      <w:pPr>
        <w:spacing w:after="120"/>
      </w:pPr>
      <w:r>
        <w:t>Identifies major risks, specifies mitigation. Assessed for likelihood and impact. Reviewed monthly.</w:t>
      </w:r>
    </w:p>
    <w:p>
      <w:pPr>
        <w:spacing w:after="120"/>
      </w:pPr>
      <w:r>
        <w:t>Eight major risks: regulatory capture, tech competition, operational fragility, market stall, agent misalignment, financial sustainability, key person risk, security breach.</w:t>
      </w:r>
    </w:p>
    <w:p>
      <w:pPr>
        <w:pStyle w:val="Heading1"/>
      </w:pPr>
      <w:r>
        <w:rPr>
          <w:b/>
          <w:color w:val="1A1A2E"/>
          <w:sz w:val="32"/>
        </w:rPr>
        <w:t>SECTION 7: SUCCESS METRICS</w:t>
      </w:r>
    </w:p>
    <w:p>
      <w:pPr>
        <w:spacing w:after="120"/>
      </w:pPr>
      <w:r>
        <w:t>Tracks progress toward objectives. Organized by functional area. Targets specified at Week 4, 12, Month 6, 12.</w:t>
      </w:r>
    </w:p>
    <w:p>
      <w:pPr>
        <w:spacing w:after="120"/>
      </w:pPr>
      <w:r>
        <w:t>Key metrics: AINE instances, Arisea deployments, MRR, customers, retention, NPS, uptime, deployment success rate, marketplace activity, team size.</w:t>
      </w:r>
    </w:p>
    <w:p>
      <w:pPr>
        <w:pStyle w:val="Heading1"/>
      </w:pPr>
      <w:r>
        <w:rPr>
          <w:b/>
          <w:color w:val="1A1A2E"/>
          <w:sz w:val="32"/>
        </w:rPr>
        <w:t>SECTION 8: THE COMPOUND EFFECT</w:t>
      </w:r>
    </w:p>
    <w:p>
      <w:pPr>
        <w:spacing w:after="120"/>
      </w:pPr>
      <w:r>
        <w:t>Achieves exponential impact through network effects, economic incentives, institutional adoption.</w:t>
      </w:r>
    </w:p>
    <w:p>
      <w:pPr>
        <w:spacing w:after="120"/>
      </w:pPr>
      <w:r>
        <w:t>Five reinforcing loops: AINE network effects, Arisea gravity, economic incentives, institutional lock-in, regulatory advantage.</w:t>
      </w:r>
    </w:p>
    <w:p>
      <w:pPr>
        <w:spacing w:after="120"/>
      </w:pPr>
      <w:r>
        <w:t>AINE Network Effects: Knowledge Marketplace becomes valuable, attracting builders. By Month 12, 1,000+ transactions/month.</w:t>
      </w:r>
    </w:p>
    <w:p>
      <w:pPr>
        <w:spacing w:after="120"/>
      </w:pPr>
      <w:r>
        <w:t>Arisea Gravity: Early instances show 15-25% cost reduction, 20-40% speed improvement. By Month 12, 25+ instances globally.</w:t>
      </w:r>
    </w:p>
    <w:p>
      <w:pPr>
        <w:spacing w:after="120"/>
      </w:pPr>
      <w:r>
        <w:t>Economic Loop: Phase 1-2 heavy investment. Phase 3-4 marketplace covers costs. Phase 5 revenue exceeds costs. Month 12: $500K-$1M/month.</w:t>
      </w:r>
    </w:p>
    <w:p>
      <w:pPr>
        <w:spacing w:after="120"/>
      </w:pPr>
      <w:r>
        <w:t>Institutional Lock-in: Integration requires 3-6 months switching. Institutions advocate adoption. Creates moat against competition.</w:t>
      </w:r>
    </w:p>
    <w:p>
      <w:pPr>
        <w:spacing w:after="120"/>
      </w:pPr>
      <w:r>
        <w:t>Regulatory Advantage: 5+ jurisdictions adopt by Phase 4-5. Creates barriers. Regulatory adoption becomes primary moat.</w:t>
      </w:r>
    </w:p>
    <w:p>
      <w:pPr>
        <w:spacing w:after="120"/>
      </w:pPr>
      <w:r>
        <w:t>By Month 12: Essential infrastructure characteristics. Adoption accelerates. By 2028: 100+ million stakeholders. By 2030: Uncompetitive alternatives. By 2035: Standard approach.</w:t>
      </w:r>
    </w:p>
    <w:p>
      <w:pPr>
        <w:pStyle w:val="Heading1"/>
      </w:pPr>
      <w:r>
        <w:rPr>
          <w:b/>
          <w:color w:val="1A1A2E"/>
          <w:sz w:val="32"/>
        </w:rPr>
        <w:t>APPENDIX A: FILE-TO-PHASE MAPPING</w:t>
      </w:r>
    </w:p>
    <w:p>
      <w:pPr>
        <w:spacing w:after="120"/>
      </w:pPr>
      <w:r>
        <w:t>Maps architectural files and components to phases. Version numbers track evolution as capabilities added.</w:t>
      </w:r>
    </w:p>
    <w:p>
      <w:pPr>
        <w:pStyle w:val="Heading1"/>
      </w:pPr>
      <w:r>
        <w:rPr>
          <w:b/>
          <w:color w:val="1A1A2E"/>
          <w:sz w:val="32"/>
        </w:rPr>
        <w:t>APPENDIX B: TOOL-TO-TASK MAPPING</w:t>
      </w:r>
    </w:p>
    <w:p>
      <w:pPr>
        <w:spacing w:after="120"/>
      </w:pPr>
      <w:r>
        <w:t>Maps toolchain tools to specific tasks. Shows deployment evolution across phases.</w:t>
      </w:r>
    </w:p>
    <w:p>
      <w:pPr>
        <w:pStyle w:val="Heading1"/>
      </w:pPr>
      <w:r>
        <w:rPr>
          <w:b/>
          <w:color w:val="1A1A2E"/>
          <w:sz w:val="32"/>
        </w:rPr>
        <w:t>Conclusion</w:t>
      </w:r>
    </w:p>
    <w:p>
      <w:pPr>
        <w:spacing w:after="120"/>
      </w:pPr>
      <w:r>
        <w:t>This document represents complete 12-month implementation roadmap. Execution with disciplined focus and iterative validation positions Aureya as essential infrastructure. Success requires commitment to quality, focus on impact, willingness to iterate based on market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Aureya Global Infrastructure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AUREYA IMPLEMENTATION &amp; BAU ROADMAP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