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Arial" w:hAnsi="Arial"/>
          <w:b/>
          <w:color w:val="1A1A2E"/>
          <w:sz w:val="88"/>
        </w:rPr>
        <w:t>AUREYA</w:t>
      </w:r>
    </w:p>
    <w:p>
      <w:pPr>
        <w:spacing w:before="240"/>
        <w:jc w:val="center"/>
      </w:pPr>
      <w:r>
        <w:rPr>
          <w:rFonts w:ascii="Arial" w:hAnsi="Arial"/>
          <w:b/>
          <w:color w:val="1A1A2E"/>
          <w:sz w:val="72"/>
        </w:rPr>
        <w:t>TOWER CONTROL &amp; COMMAND CENTER</w:t>
      </w:r>
    </w:p>
    <w:p>
      <w:pPr>
        <w:spacing w:before="240"/>
        <w:jc w:val="center"/>
      </w:pPr>
      <w:r>
        <w:rPr>
          <w:rFonts w:ascii="Arial" w:hAnsi="Arial"/>
          <w:color w:val="533483"/>
          <w:sz w:val="48"/>
        </w:rPr>
        <w:t>Planetary AIDevSecOps Architecture</w:t>
      </w:r>
    </w:p>
    <w:p/>
    <w:p/>
    <w:p/>
    <w:p/>
    <w:p/>
    <w:p/>
    <w:p>
      <w:pPr>
        <w:spacing w:before="360"/>
        <w:jc w:val="center"/>
      </w:pPr>
      <w:r>
        <w:rPr>
          <w:rFonts w:ascii="Arial" w:hAnsi="Arial"/>
          <w:color w:val="000000"/>
          <w:sz w:val="28"/>
        </w:rPr>
        <w:t>By Andrew Franklin Leo</w:t>
      </w:r>
    </w:p>
    <w:p>
      <w:pPr>
        <w:jc w:val="center"/>
      </w:pPr>
      <w:r>
        <w:rPr>
          <w:rFonts w:ascii="Arial" w:hAnsi="Arial"/>
          <w:color w:val="000000"/>
          <w:sz w:val="28"/>
        </w:rPr>
        <w:t>Aureya Global Infrastructure</w:t>
      </w:r>
    </w:p>
    <w:p>
      <w:pPr>
        <w:spacing w:before="120"/>
        <w:jc w:val="center"/>
      </w:pPr>
      <w:r>
        <w:rPr>
          <w:rFonts w:ascii="Arial" w:hAnsi="Arial"/>
          <w:color w:val="000000"/>
          <w:sz w:val="28"/>
        </w:rPr>
        <w:t>March 2026</w:t>
      </w:r>
    </w:p>
    <w:p>
      <w:r>
        <w:br w:type="page"/>
      </w:r>
    </w:p>
    <w:p>
      <w:pPr>
        <w:pStyle w:val="Heading1"/>
        <w:spacing w:before="360" w:after="240" w:lineRule="exact" w:line="680"/>
      </w:pPr>
      <w:r>
        <w:rPr>
          <w:rFonts w:ascii="Arial" w:hAnsi="Arial"/>
          <w:b/>
          <w:color w:val="1A1A2E"/>
          <w:sz w:val="56"/>
        </w:rPr>
        <w:t>TABLE OF CONTENTS</w:t>
      </w:r>
    </w:p>
    <w:p>
      <w:pPr>
        <w:pStyle w:val="ListBullet"/>
        <w:spacing w:after="120"/>
      </w:pPr>
      <w:r>
        <w:rPr>
          <w:rFonts w:ascii="Arial" w:hAnsi="Arial"/>
          <w:color w:val="000000"/>
          <w:sz w:val="22"/>
        </w:rPr>
        <w:t>1. Philosophical Foundations</w:t>
      </w:r>
    </w:p>
    <w:p>
      <w:pPr>
        <w:pStyle w:val="ListBullet"/>
        <w:spacing w:after="120"/>
      </w:pPr>
      <w:r>
        <w:rPr>
          <w:rFonts w:ascii="Arial" w:hAnsi="Arial"/>
          <w:color w:val="000000"/>
          <w:sz w:val="22"/>
        </w:rPr>
        <w:t>2. System Stack Architecture</w:t>
      </w:r>
    </w:p>
    <w:p>
      <w:pPr>
        <w:pStyle w:val="ListBullet"/>
        <w:spacing w:after="120"/>
      </w:pPr>
      <w:r>
        <w:rPr>
          <w:rFonts w:ascii="Arial" w:hAnsi="Arial"/>
          <w:color w:val="000000"/>
          <w:sz w:val="22"/>
        </w:rPr>
        <w:t>3. Tower Control and Command Center Design</w:t>
      </w:r>
    </w:p>
    <w:p>
      <w:pPr>
        <w:pStyle w:val="ListBullet"/>
        <w:spacing w:after="120"/>
      </w:pPr>
      <w:r>
        <w:rPr>
          <w:rFonts w:ascii="Arial" w:hAnsi="Arial"/>
          <w:color w:val="000000"/>
          <w:sz w:val="22"/>
        </w:rPr>
        <w:t>4. AIDevSecOps Infrastructure</w:t>
      </w:r>
    </w:p>
    <w:p>
      <w:pPr>
        <w:pStyle w:val="ListBullet"/>
        <w:spacing w:after="120"/>
      </w:pPr>
      <w:r>
        <w:rPr>
          <w:rFonts w:ascii="Arial" w:hAnsi="Arial"/>
          <w:color w:val="000000"/>
          <w:sz w:val="22"/>
        </w:rPr>
        <w:t>5. Planetary Coordination Mechanisms</w:t>
      </w:r>
    </w:p>
    <w:p>
      <w:pPr>
        <w:pStyle w:val="ListBullet"/>
        <w:spacing w:after="120"/>
      </w:pPr>
      <w:r>
        <w:rPr>
          <w:rFonts w:ascii="Arial" w:hAnsi="Arial"/>
          <w:color w:val="000000"/>
          <w:sz w:val="22"/>
        </w:rPr>
        <w:t>6. Decentralized Sovereignty Framework</w:t>
      </w:r>
    </w:p>
    <w:p>
      <w:pPr>
        <w:pStyle w:val="ListBullet"/>
        <w:spacing w:after="120"/>
      </w:pPr>
      <w:r>
        <w:rPr>
          <w:rFonts w:ascii="Arial" w:hAnsi="Arial"/>
          <w:color w:val="000000"/>
          <w:sz w:val="22"/>
        </w:rPr>
        <w:t>7. Gameboards and Mission Systems</w:t>
      </w:r>
    </w:p>
    <w:p>
      <w:pPr>
        <w:pStyle w:val="ListBullet"/>
        <w:spacing w:after="120"/>
      </w:pPr>
      <w:r>
        <w:rPr>
          <w:rFonts w:ascii="Arial" w:hAnsi="Arial"/>
          <w:color w:val="000000"/>
          <w:sz w:val="22"/>
        </w:rPr>
        <w:t>8. Marketplaces and Economic Engines</w:t>
      </w:r>
    </w:p>
    <w:p>
      <w:pPr>
        <w:pStyle w:val="ListBullet"/>
        <w:spacing w:after="120"/>
      </w:pPr>
      <w:r>
        <w:rPr>
          <w:rFonts w:ascii="Arial" w:hAnsi="Arial"/>
          <w:color w:val="000000"/>
          <w:sz w:val="22"/>
        </w:rPr>
        <w:t>9. Inter-AINE Protocols</w:t>
      </w:r>
    </w:p>
    <w:p>
      <w:pPr>
        <w:pStyle w:val="ListBullet"/>
        <w:spacing w:after="120"/>
      </w:pPr>
      <w:r>
        <w:rPr>
          <w:rFonts w:ascii="Arial" w:hAnsi="Arial"/>
          <w:color w:val="000000"/>
          <w:sz w:val="22"/>
        </w:rPr>
        <w:t>10. Knowledge Graph and Dependency Management</w:t>
      </w:r>
    </w:p>
    <w:p>
      <w:pPr>
        <w:pStyle w:val="ListBullet"/>
        <w:spacing w:after="120"/>
      </w:pPr>
      <w:r>
        <w:rPr>
          <w:rFonts w:ascii="Arial" w:hAnsi="Arial"/>
          <w:color w:val="000000"/>
          <w:sz w:val="22"/>
        </w:rPr>
        <w:t>11. Observability and Planetary Dashboards</w:t>
      </w:r>
    </w:p>
    <w:p>
      <w:pPr>
        <w:pStyle w:val="ListBullet"/>
        <w:spacing w:after="120"/>
      </w:pPr>
      <w:r>
        <w:rPr>
          <w:rFonts w:ascii="Arial" w:hAnsi="Arial"/>
          <w:color w:val="000000"/>
          <w:sz w:val="22"/>
        </w:rPr>
        <w:t>12. Security and Failure Containment</w:t>
      </w:r>
    </w:p>
    <w:p>
      <w:pPr>
        <w:pStyle w:val="ListBullet"/>
        <w:spacing w:after="120"/>
      </w:pPr>
      <w:r>
        <w:rPr>
          <w:rFonts w:ascii="Arial" w:hAnsi="Arial"/>
          <w:color w:val="000000"/>
          <w:sz w:val="22"/>
        </w:rPr>
        <w:t>13. Entropy Management</w:t>
      </w:r>
    </w:p>
    <w:p>
      <w:pPr>
        <w:pStyle w:val="ListBullet"/>
        <w:spacing w:after="120"/>
      </w:pPr>
      <w:r>
        <w:rPr>
          <w:rFonts w:ascii="Arial" w:hAnsi="Arial"/>
          <w:color w:val="000000"/>
          <w:sz w:val="22"/>
        </w:rPr>
        <w:t>14. Evolution Mechanisms</w:t>
      </w:r>
    </w:p>
    <w:p>
      <w:pPr>
        <w:pStyle w:val="ListBullet"/>
        <w:spacing w:after="120"/>
      </w:pPr>
      <w:r>
        <w:rPr>
          <w:rFonts w:ascii="Arial" w:hAnsi="Arial"/>
          <w:color w:val="000000"/>
          <w:sz w:val="22"/>
        </w:rPr>
        <w:t>15. Example Deployment Scenario</w:t>
      </w:r>
    </w:p>
    <w:p>
      <w:r>
        <w:br w:type="page"/>
      </w:r>
    </w:p>
    <w:p>
      <w:pPr>
        <w:pStyle w:val="Heading1"/>
        <w:spacing w:before="360" w:after="240" w:lineRule="exact" w:line="680"/>
      </w:pPr>
      <w:r>
        <w:rPr>
          <w:rFonts w:ascii="Arial" w:hAnsi="Arial"/>
          <w:b/>
          <w:color w:val="1A1A2E"/>
          <w:sz w:val="56"/>
        </w:rPr>
        <w:t>1. PHILOSOPHICAL FOUNDATIONS</w:t>
      </w:r>
    </w:p>
    <w:p>
      <w:pPr>
        <w:spacing w:after="200" w:lineRule="exact" w:line="260"/>
      </w:pPr>
      <w:r>
        <w:rPr>
          <w:rFonts w:ascii="Arial" w:hAnsi="Arial"/>
          <w:color w:val="000000"/>
          <w:sz w:val="22"/>
        </w:rPr>
        <w:t>The Aureya planetary infrastructure operates on six foundational principles that govern every architectural decision, every AINE deployment, and every inter-system coordination. These principles are not aspirational. They are operating constraints that shape the entire ecosystem.</w:t>
      </w:r>
    </w:p>
    <w:p>
      <w:pPr>
        <w:pStyle w:val="Heading2"/>
        <w:spacing w:before="280" w:after="200" w:lineRule="exact" w:line="540"/>
      </w:pPr>
      <w:r>
        <w:rPr>
          <w:rFonts w:ascii="Arial" w:hAnsi="Arial"/>
          <w:b/>
          <w:color w:val="1A1A2E"/>
          <w:sz w:val="44"/>
        </w:rPr>
        <w:t>The Sovereignty Axiom</w:t>
      </w:r>
    </w:p>
    <w:p>
      <w:pPr>
        <w:spacing w:after="200" w:lineRule="exact" w:line="260"/>
      </w:pPr>
      <w:r>
        <w:rPr>
          <w:rFonts w:ascii="Arial" w:hAnsi="Arial"/>
          <w:color w:val="000000"/>
          <w:sz w:val="22"/>
        </w:rPr>
        <w:t>Every node — individual, household, community, enterprise, nation — maintains absolute sovereignty over its data, decisions, and destiny while participating in the global coordination layer. Aureya does not extract consent. It assumes local control is default. The system participates in global federation only where explicitly agreed. This is not decentralization theater. Every household runs its own Aureya node. Every community operates its own instance. Every nation enforces its own governance layer. The global coordination layer is a protocol, not a command center.</w:t>
      </w:r>
    </w:p>
    <w:p>
      <w:pPr>
        <w:pStyle w:val="Heading2"/>
        <w:spacing w:before="280" w:after="200" w:lineRule="exact" w:line="540"/>
      </w:pPr>
      <w:r>
        <w:rPr>
          <w:rFonts w:ascii="Arial" w:hAnsi="Arial"/>
          <w:b/>
          <w:color w:val="1A1A2E"/>
          <w:sz w:val="44"/>
        </w:rPr>
        <w:t>The Entropy Metabolism Principle</w:t>
      </w:r>
    </w:p>
    <w:p>
      <w:pPr>
        <w:spacing w:after="200" w:lineRule="exact" w:line="260"/>
      </w:pPr>
      <w:r>
        <w:rPr>
          <w:rFonts w:ascii="Arial" w:hAnsi="Arial"/>
          <w:color w:val="000000"/>
          <w:sz w:val="22"/>
        </w:rPr>
        <w:t>All systems decay. Aureya does not fight entropy — it metabolizes it. Every chokepoint, bottleneck, and pain point across 100,000+ industry codes becomes fuel for new AI-Native Enterprises. Where legacy systems see decay and accept it, Aureya sees an opportunity vector. The pain point in automotive logistics becomes an AINE. The regulatory friction in healthcare billing becomes an AINE. The cultural bottleneck in diaspora professional networks becomes an AINE. Entropy is the raw material. Aureya's job is to convert it into viable organisms.</w:t>
      </w:r>
    </w:p>
    <w:p>
      <w:pPr>
        <w:pStyle w:val="Heading2"/>
        <w:spacing w:before="280" w:after="200" w:lineRule="exact" w:line="540"/>
      </w:pPr>
      <w:r>
        <w:rPr>
          <w:rFonts w:ascii="Arial" w:hAnsi="Arial"/>
          <w:b/>
          <w:color w:val="1A1A2E"/>
          <w:sz w:val="44"/>
        </w:rPr>
        <w:t>The Fractal Coherence Law</w:t>
      </w:r>
    </w:p>
    <w:p>
      <w:pPr>
        <w:spacing w:after="200" w:lineRule="exact" w:line="260"/>
      </w:pPr>
      <w:r>
        <w:rPr>
          <w:rFonts w:ascii="Arial" w:hAnsi="Arial"/>
          <w:color w:val="000000"/>
          <w:sz w:val="22"/>
        </w:rPr>
        <w:t>The same architectural patterns that govern a single AINE repeat at every scale — from atomic discussion topics to civilization-scale federations. AINE → Coalition → Species → Ecosystem → Sanctuary. Each level adds complexity, but the underlying pattern remains. A discussion topic has entropy dimensions. A coalition has entropy dimensions. A species has entropy dimensions. The same governance rules apply. The same evolutionary pressures apply. The same failure modes apply. This is not coincidence. This is intentional architecture that scales because it repeats the same logic across all levels.</w:t>
      </w:r>
    </w:p>
    <w:p>
      <w:pPr>
        <w:pStyle w:val="Heading2"/>
        <w:spacing w:before="280" w:after="200" w:lineRule="exact" w:line="540"/>
      </w:pPr>
      <w:r>
        <w:rPr>
          <w:rFonts w:ascii="Arial" w:hAnsi="Arial"/>
          <w:b/>
          <w:color w:val="1A1A2E"/>
          <w:sz w:val="44"/>
        </w:rPr>
        <w:t>The Abundance Protocol</w:t>
      </w:r>
    </w:p>
    <w:p>
      <w:pPr>
        <w:spacing w:after="200" w:lineRule="exact" w:line="260"/>
      </w:pPr>
      <w:r>
        <w:rPr>
          <w:rFonts w:ascii="Arial" w:hAnsi="Arial"/>
          <w:color w:val="000000"/>
          <w:sz w:val="22"/>
        </w:rPr>
        <w:t>Intelligence is abundant and cheap. Aureya's infrastructure assumes AI compute costs approach zero. The scarce resources are trust, coordination, and institutional memory. Every design decision reflects this reality. Aureya optimizes for trust infrastructure (immutable audit trails, zero-trust verification, governance layers). Aureya optimizes for coordination efficiency (knowledge graphs, dependency radar, inter-AINE protocols). Aureya optimizes for memory persistence (documentation fabrics, evolution tracking, version control for organizations). Aureya does NOT optimize for compute efficiency. That is a 20th-century problem that cheap AI has rendered obsolete.</w:t>
      </w:r>
    </w:p>
    <w:p>
      <w:pPr>
        <w:pStyle w:val="Heading2"/>
        <w:spacing w:before="280" w:after="200" w:lineRule="exact" w:line="540"/>
      </w:pPr>
      <w:r>
        <w:rPr>
          <w:rFonts w:ascii="Arial" w:hAnsi="Arial"/>
          <w:b/>
          <w:color w:val="1A1A2E"/>
          <w:sz w:val="44"/>
        </w:rPr>
        <w:t>The Arisea Principle</w:t>
      </w:r>
    </w:p>
    <w:p>
      <w:pPr>
        <w:spacing w:after="200" w:lineRule="exact" w:line="260"/>
      </w:pPr>
      <w:r>
        <w:rPr>
          <w:rFonts w:ascii="Arial" w:hAnsi="Arial"/>
          <w:color w:val="000000"/>
          <w:sz w:val="22"/>
        </w:rPr>
        <w:t>When a brand name becomes a verb for progress, you have built something rare. Aureya deploys through Arisea — N community instances where leaders, influencers, and communities operate sovereign nodes that coalesce with the central Aureya engine. Arisea is the community manifestation of Aureya. It is not a franchise. It is not a subsidiary. It is a sovereign operator that uses Aureya's infrastructure and governance layer while maintaining full autonomy. The Tamil diaspora uses Aureya through a local Arisea instance. The African startup ecosystem uses Aureya through a local Arisea instance. Each Arisea is positioned as the local version of global infrastructure — powered by Aureya, operated by the community.</w:t>
      </w:r>
    </w:p>
    <w:p>
      <w:pPr>
        <w:pStyle w:val="Heading2"/>
        <w:spacing w:before="280" w:after="200" w:lineRule="exact" w:line="540"/>
      </w:pPr>
      <w:r>
        <w:rPr>
          <w:rFonts w:ascii="Arial" w:hAnsi="Arial"/>
          <w:b/>
          <w:color w:val="1A1A2E"/>
          <w:sz w:val="44"/>
        </w:rPr>
        <w:t>The Non-Duplication Doctrine</w:t>
      </w:r>
    </w:p>
    <w:p>
      <w:pPr>
        <w:spacing w:after="200" w:lineRule="exact" w:line="260"/>
      </w:pPr>
      <w:r>
        <w:rPr>
          <w:rFonts w:ascii="Arial" w:hAnsi="Arial"/>
          <w:color w:val="000000"/>
          <w:sz w:val="22"/>
        </w:rPr>
        <w:t>Every component exists once, serves many. No system duplicates another. Dependencies are explicit, tracked, and governed. If two systems offer identical capabilities, one is redundant. The TCCC Knowledge Graph identifies redundancy in real-time. Duplicative AINEs are merged. Redundant documentation is consolidated. Parallel efforts are federated. This is not about efficiency (though it improves efficiency). This is about preventing the chaos that emerges when the same problem is solved N different ways across N isolated teams. Non-duplication is a discipline that scales coordination across planetary scope.</w:t>
      </w:r>
    </w:p>
    <w:p>
      <w:pPr>
        <w:pStyle w:val="Heading2"/>
        <w:spacing w:before="280" w:after="200" w:lineRule="exact" w:line="540"/>
      </w:pPr>
      <w:r>
        <w:rPr>
          <w:rFonts w:ascii="Arial" w:hAnsi="Arial"/>
          <w:b/>
          <w:color w:val="1A1A2E"/>
          <w:sz w:val="44"/>
        </w:rPr>
        <w:t>Implementation Reality</w:t>
      </w:r>
    </w:p>
    <w:p>
      <w:pPr>
        <w:spacing w:after="200" w:lineRule="exact" w:line="260"/>
      </w:pPr>
      <w:r>
        <w:rPr>
          <w:rFonts w:ascii="Arial" w:hAnsi="Arial"/>
          <w:color w:val="000000"/>
          <w:sz w:val="22"/>
        </w:rPr>
        <w:t>These principles are not implemented through persuasion. They are implemented through architecture. The system enforces them. The Knowledge Graph surfaces duplicates. The Governance Engine blocks non-sovereign decisions. The Dependency Radar prevents hidden dependencies. The architecture itself makes these principles inevitable.</w:t>
      </w:r>
    </w:p>
    <w:p>
      <w:r>
        <w:br w:type="page"/>
      </w:r>
    </w:p>
    <w:p>
      <w:pPr>
        <w:pStyle w:val="Heading1"/>
        <w:spacing w:before="360" w:after="240" w:lineRule="exact" w:line="680"/>
      </w:pPr>
      <w:r>
        <w:rPr>
          <w:rFonts w:ascii="Arial" w:hAnsi="Arial"/>
          <w:b/>
          <w:color w:val="1A1A2E"/>
          <w:sz w:val="56"/>
        </w:rPr>
        <w:t>2. SYSTEM STACK ARCHITECTURE</w:t>
      </w:r>
    </w:p>
    <w:p>
      <w:pPr>
        <w:spacing w:after="200" w:lineRule="exact" w:line="260"/>
      </w:pPr>
      <w:r>
        <w:rPr>
          <w:rFonts w:ascii="Arial" w:hAnsi="Arial"/>
          <w:color w:val="000000"/>
          <w:sz w:val="22"/>
        </w:rPr>
        <w:t>The Aureya stack is a seven-layer hierarchy. Each layer serves layers above it. Each layer is governed by the layer below it. No layer can override constraints imposed by layers below. This creates a stable, scalable, corruption-resistant system that can operate at planetary scale.</w:t>
      </w:r>
    </w:p>
    <w:p>
      <w:pPr>
        <w:pStyle w:val="Heading2"/>
        <w:spacing w:before="280" w:after="200" w:lineRule="exact" w:line="540"/>
      </w:pPr>
      <w:r>
        <w:rPr>
          <w:rFonts w:ascii="Arial" w:hAnsi="Arial"/>
          <w:b/>
          <w:color w:val="1A1A2E"/>
          <w:sz w:val="44"/>
        </w:rPr>
        <w:t>The Seven-Layer Stack</w:t>
      </w:r>
    </w:p>
    <w:tbl>
      <w:tblPr>
        <w:tblStyle w:val="LightGrid-Accent1"/>
        <w:tblW w:type="auto" w:w="0"/>
        <w:tblLook w:firstColumn="1" w:firstRow="1" w:lastColumn="0" w:lastRow="0" w:noHBand="0" w:noVBand="1" w:val="04A0"/>
      </w:tblPr>
      <w:tblGrid>
        <w:gridCol w:w="3120"/>
        <w:gridCol w:w="3120"/>
        <w:gridCol w:w="3120"/>
      </w:tblGrid>
      <w:tr>
        <w:tc>
          <w:tcPr>
            <w:tcW w:type="dxa" w:w="3240"/>
            <w:shd w:fill="1A1A2E"/>
          </w:tcPr>
          <w:p>
            <w:r>
              <w:t>Layer</w:t>
            </w:r>
          </w:p>
        </w:tc>
        <w:tc>
          <w:tcPr>
            <w:tcW w:type="dxa" w:w="3240"/>
            <w:shd w:fill="1A1A2E"/>
          </w:tcPr>
          <w:p>
            <w:r>
              <w:t>Function</w:t>
            </w:r>
          </w:p>
        </w:tc>
        <w:tc>
          <w:tcPr>
            <w:tcW w:type="dxa" w:w="3240"/>
            <w:shd w:fill="1A1A2E"/>
          </w:tcPr>
          <w:p>
            <w:r>
              <w:t>Governance Model</w:t>
            </w:r>
          </w:p>
        </w:tc>
      </w:tr>
      <w:tr>
        <w:tc>
          <w:tcPr>
            <w:tcW w:type="dxa" w:w="3240"/>
          </w:tcPr>
          <w:p>
            <w:r>
              <w:t>AINEFF</w:t>
            </w:r>
          </w:p>
        </w:tc>
        <w:tc>
          <w:tcPr>
            <w:tcW w:type="dxa" w:w="3240"/>
          </w:tcPr>
          <w:p>
            <w:r>
              <w:t>Constitutional Framework</w:t>
            </w:r>
          </w:p>
        </w:tc>
        <w:tc>
          <w:tcPr>
            <w:tcW w:type="dxa" w:w="3240"/>
          </w:tcPr>
          <w:p>
            <w:r>
              <w:t>Immutable governance laws, entropy metabolism protocols, cross-system coherence rules. Cannot be overridden by any layer below.</w:t>
            </w:r>
          </w:p>
        </w:tc>
      </w:tr>
      <w:tr>
        <w:tc>
          <w:tcPr>
            <w:tcW w:type="dxa" w:w="3240"/>
            <w:shd w:fill="F0F0F5"/>
          </w:tcPr>
          <w:p>
            <w:r>
              <w:t>AINEF</w:t>
            </w:r>
          </w:p>
        </w:tc>
        <w:tc>
          <w:tcPr>
            <w:tcW w:type="dxa" w:w="3240"/>
            <w:shd w:fill="F0F0F5"/>
          </w:tcPr>
          <w:p>
            <w:r>
              <w:t>Enterprise Factory</w:t>
            </w:r>
          </w:p>
        </w:tc>
        <w:tc>
          <w:tcPr>
            <w:tcW w:type="dxa" w:w="3240"/>
            <w:shd w:fill="F0F0F5"/>
          </w:tcPr>
          <w:p>
            <w:r>
              <w:t>Creates, configures, and launches new AI-Native Enterprises. Manages lifecycle from inception to retirement. Every AINE passes through AINEF's assembly line.</w:t>
            </w:r>
          </w:p>
        </w:tc>
      </w:tr>
      <w:tr>
        <w:tc>
          <w:tcPr>
            <w:tcW w:type="dxa" w:w="3240"/>
          </w:tcPr>
          <w:p>
            <w:r>
              <w:t>AINEG</w:t>
            </w:r>
          </w:p>
        </w:tc>
        <w:tc>
          <w:tcPr>
            <w:tcW w:type="dxa" w:w="3240"/>
          </w:tcPr>
          <w:p>
            <w:r>
              <w:t>Geographic Coordination</w:t>
            </w:r>
          </w:p>
        </w:tc>
        <w:tc>
          <w:tcPr>
            <w:tcW w:type="dxa" w:w="3240"/>
          </w:tcPr>
          <w:p>
            <w:r>
              <w:t>Geographic and administrative orchestration. Manages deployment across 250 countries. Handles regulatory compliance, jurisdictional mapping, cultural adaptation.</w:t>
            </w:r>
          </w:p>
        </w:tc>
      </w:tr>
      <w:tr>
        <w:tc>
          <w:tcPr>
            <w:tcW w:type="dxa" w:w="3240"/>
            <w:shd w:fill="F0F0F5"/>
          </w:tcPr>
          <w:p>
            <w:r>
              <w:t>AINE</w:t>
            </w:r>
          </w:p>
        </w:tc>
        <w:tc>
          <w:tcPr>
            <w:tcW w:type="dxa" w:w="3240"/>
            <w:shd w:fill="F0F0F5"/>
          </w:tcPr>
          <w:p>
            <w:r>
              <w:t>Operational Enterprise</w:t>
            </w:r>
          </w:p>
        </w:tc>
        <w:tc>
          <w:tcPr>
            <w:tcW w:type="dxa" w:w="3240"/>
            <w:shd w:fill="F0F0F5"/>
          </w:tcPr>
          <w:p>
            <w:r>
              <w:t>Atomic unit of economic activity. Each AINE is a sovereign AI-native enterprise executing real-world work — insurance entropy bots to supply chain optimizers.</w:t>
            </w:r>
          </w:p>
        </w:tc>
      </w:tr>
      <w:tr>
        <w:tc>
          <w:tcPr>
            <w:tcW w:type="dxa" w:w="3240"/>
          </w:tcPr>
          <w:p>
            <w:r>
              <w:t>AINEOU</w:t>
            </w:r>
          </w:p>
        </w:tc>
        <w:tc>
          <w:tcPr>
            <w:tcW w:type="dxa" w:w="3240"/>
          </w:tcPr>
          <w:p>
            <w:r>
              <w:t>Operational Unit</w:t>
            </w:r>
          </w:p>
        </w:tc>
        <w:tc>
          <w:tcPr>
            <w:tcW w:type="dxa" w:w="3240"/>
          </w:tcPr>
          <w:p>
            <w:r>
              <w:t>Sub-divisions within an AINE handling specific business functions (HR, Finance, Operations, Technology, etc.)</w:t>
            </w:r>
          </w:p>
        </w:tc>
      </w:tr>
      <w:tr>
        <w:tc>
          <w:tcPr>
            <w:tcW w:type="dxa" w:w="3240"/>
            <w:shd w:fill="F0F0F5"/>
          </w:tcPr>
          <w:p>
            <w:r>
              <w:t>AINEOUT</w:t>
            </w:r>
          </w:p>
        </w:tc>
        <w:tc>
          <w:tcPr>
            <w:tcW w:type="dxa" w:w="3240"/>
            <w:shd w:fill="F0F0F5"/>
          </w:tcPr>
          <w:p>
            <w:r>
              <w:t>Unit Team</w:t>
            </w:r>
          </w:p>
        </w:tc>
        <w:tc>
          <w:tcPr>
            <w:tcW w:type="dxa" w:w="3240"/>
            <w:shd w:fill="F0F0F5"/>
          </w:tcPr>
          <w:p>
            <w:r>
              <w:t>Teams within operational units executing specific business processes.</w:t>
            </w:r>
          </w:p>
        </w:tc>
      </w:tr>
      <w:tr>
        <w:tc>
          <w:tcPr>
            <w:tcW w:type="dxa" w:w="3240"/>
          </w:tcPr>
          <w:p>
            <w:r>
              <w:t>AINEOUTM</w:t>
            </w:r>
          </w:p>
        </w:tc>
        <w:tc>
          <w:tcPr>
            <w:tcW w:type="dxa" w:w="3240"/>
          </w:tcPr>
          <w:p>
            <w:r>
              <w:t>Team Member</w:t>
            </w:r>
          </w:p>
        </w:tc>
        <w:tc>
          <w:tcPr>
            <w:tcW w:type="dxa" w:w="3240"/>
          </w:tcPr>
          <w:p>
            <w:r>
              <w:t>Individual human or AI agent performing atomic tasks.</w:t>
            </w:r>
          </w:p>
        </w:tc>
      </w:tr>
    </w:tbl>
    <w:p>
      <w:pPr>
        <w:pStyle w:val="Heading2"/>
        <w:spacing w:before="280" w:after="200" w:lineRule="exact" w:line="540"/>
      </w:pPr>
      <w:r>
        <w:rPr>
          <w:rFonts w:ascii="Arial" w:hAnsi="Arial"/>
          <w:b/>
          <w:color w:val="1A1A2E"/>
          <w:sz w:val="44"/>
        </w:rPr>
        <w:t>The Organism Evolution Model</w:t>
      </w:r>
    </w:p>
    <w:p>
      <w:pPr>
        <w:spacing w:after="200" w:lineRule="exact" w:line="260"/>
      </w:pPr>
      <w:r>
        <w:rPr>
          <w:rFonts w:ascii="Arial" w:hAnsi="Arial"/>
          <w:color w:val="000000"/>
          <w:sz w:val="22"/>
        </w:rPr>
        <w:t>As Aureya deploys and AINEs demonstrate viability, they evolve through organizational stages. Each stage emerges from the layer below it through proven performance and capability demonstration.</w:t>
      </w:r>
    </w:p>
    <w:p>
      <w:pPr>
        <w:pStyle w:val="ListBullet"/>
        <w:spacing w:after="120"/>
      </w:pPr>
      <w:r>
        <w:rPr>
          <w:rFonts w:ascii="Arial" w:hAnsi="Arial"/>
          <w:color w:val="000000"/>
          <w:sz w:val="22"/>
        </w:rPr>
        <w:t>Atom (AINE) — Single isolated AI-Native Enterprise executing domain-specific work</w:t>
      </w:r>
    </w:p>
    <w:p>
      <w:pPr>
        <w:pStyle w:val="ListBullet"/>
        <w:spacing w:after="120"/>
      </w:pPr>
      <w:r>
        <w:rPr>
          <w:rFonts w:ascii="Arial" w:hAnsi="Arial"/>
          <w:color w:val="000000"/>
          <w:sz w:val="22"/>
        </w:rPr>
        <w:t>Molecule (Coalition) — Multiple AINEs collaborating on shared entropy dimension or geography</w:t>
      </w:r>
    </w:p>
    <w:p>
      <w:pPr>
        <w:pStyle w:val="ListBullet"/>
        <w:spacing w:after="120"/>
      </w:pPr>
      <w:r>
        <w:rPr>
          <w:rFonts w:ascii="Arial" w:hAnsi="Arial"/>
          <w:color w:val="000000"/>
          <w:sz w:val="22"/>
        </w:rPr>
        <w:t>Organ (Vertical Stack) — Coalition focused on a specific industry vertical with end-to-end capabilities</w:t>
      </w:r>
    </w:p>
    <w:p>
      <w:pPr>
        <w:pStyle w:val="ListBullet"/>
        <w:spacing w:after="120"/>
      </w:pPr>
      <w:r>
        <w:rPr>
          <w:rFonts w:ascii="Arial" w:hAnsi="Arial"/>
          <w:color w:val="000000"/>
          <w:sz w:val="22"/>
        </w:rPr>
        <w:t>Organism (Entity) — Fully integrated organizational structure managing cross-vertical coordination</w:t>
      </w:r>
    </w:p>
    <w:p>
      <w:pPr>
        <w:pStyle w:val="ListBullet"/>
        <w:spacing w:after="120"/>
      </w:pPr>
      <w:r>
        <w:rPr>
          <w:rFonts w:ascii="Arial" w:hAnsi="Arial"/>
          <w:color w:val="000000"/>
          <w:sz w:val="22"/>
        </w:rPr>
        <w:t>Species (Alliance) — Multiple entities recognizing shared governance and mutual dependencies</w:t>
      </w:r>
    </w:p>
    <w:p>
      <w:pPr>
        <w:pStyle w:val="ListBullet"/>
        <w:spacing w:after="120"/>
      </w:pPr>
      <w:r>
        <w:rPr>
          <w:rFonts w:ascii="Arial" w:hAnsi="Arial"/>
          <w:color w:val="000000"/>
          <w:sz w:val="22"/>
        </w:rPr>
        <w:t>Ecosystem (Platform) — Self-sustaining platform with marketplace dynamics and financial independence</w:t>
      </w:r>
    </w:p>
    <w:p>
      <w:pPr>
        <w:pStyle w:val="ListBullet"/>
        <w:spacing w:after="120"/>
      </w:pPr>
      <w:r>
        <w:rPr>
          <w:rFonts w:ascii="Arial" w:hAnsi="Arial"/>
          <w:color w:val="000000"/>
          <w:sz w:val="22"/>
        </w:rPr>
        <w:t>Sanctuary (Network) — Ecosystem achieving infrastructure status where removal causes systemic harm</w:t>
      </w:r>
    </w:p>
    <w:p>
      <w:pPr>
        <w:pStyle w:val="Heading2"/>
        <w:spacing w:before="280" w:after="200" w:lineRule="exact" w:line="540"/>
      </w:pPr>
      <w:r>
        <w:rPr>
          <w:rFonts w:ascii="Arial" w:hAnsi="Arial"/>
          <w:b/>
          <w:color w:val="1A1A2E"/>
          <w:sz w:val="44"/>
        </w:rPr>
        <w:t>Stack Coherence Rules</w:t>
      </w:r>
    </w:p>
    <w:p>
      <w:pPr>
        <w:pStyle w:val="ListBullet"/>
        <w:spacing w:after="120"/>
      </w:pPr>
      <w:r>
        <w:rPr>
          <w:rFonts w:ascii="Arial" w:hAnsi="Arial"/>
          <w:color w:val="000000"/>
          <w:sz w:val="22"/>
        </w:rPr>
        <w:t>No AINE can override AINEFF's constitutional constraints</w:t>
      </w:r>
    </w:p>
    <w:p>
      <w:pPr>
        <w:pStyle w:val="ListBullet"/>
        <w:spacing w:after="120"/>
      </w:pPr>
      <w:r>
        <w:rPr>
          <w:rFonts w:ascii="Arial" w:hAnsi="Arial"/>
          <w:color w:val="000000"/>
          <w:sz w:val="22"/>
        </w:rPr>
        <w:t>No deployment (AINEG) can violate AINEF's enterprise creation standards</w:t>
      </w:r>
    </w:p>
    <w:p>
      <w:pPr>
        <w:pStyle w:val="ListBullet"/>
        <w:spacing w:after="120"/>
      </w:pPr>
      <w:r>
        <w:rPr>
          <w:rFonts w:ascii="Arial" w:hAnsi="Arial"/>
          <w:color w:val="000000"/>
          <w:sz w:val="22"/>
        </w:rPr>
        <w:t>No team (AINEOUT) can contradict AINE's mission and charter</w:t>
      </w:r>
    </w:p>
    <w:p>
      <w:pPr>
        <w:pStyle w:val="ListBullet"/>
        <w:spacing w:after="120"/>
      </w:pPr>
      <w:r>
        <w:rPr>
          <w:rFonts w:ascii="Arial" w:hAnsi="Arial"/>
          <w:color w:val="000000"/>
          <w:sz w:val="22"/>
        </w:rPr>
        <w:t>No individual task (AINEOUTM) can break team-level agreements</w:t>
      </w:r>
    </w:p>
    <w:p>
      <w:pPr>
        <w:pStyle w:val="ListBullet"/>
        <w:spacing w:after="120"/>
      </w:pPr>
      <w:r>
        <w:rPr>
          <w:rFonts w:ascii="Arial" w:hAnsi="Arial"/>
          <w:color w:val="000000"/>
          <w:sz w:val="22"/>
        </w:rPr>
        <w:t>All cross-layer communication flows through the Knowledge Graph</w:t>
      </w:r>
    </w:p>
    <w:p>
      <w:pPr>
        <w:pStyle w:val="ListBullet"/>
        <w:spacing w:after="120"/>
      </w:pPr>
      <w:r>
        <w:rPr>
          <w:rFonts w:ascii="Arial" w:hAnsi="Arial"/>
          <w:color w:val="000000"/>
          <w:sz w:val="22"/>
        </w:rPr>
        <w:t>All dependency relationships are explicit and tracked in the Dependency Radar</w:t>
      </w:r>
    </w:p>
    <w:p>
      <w:pPr>
        <w:pStyle w:val="ListBullet"/>
        <w:spacing w:after="120"/>
      </w:pPr>
      <w:r>
        <w:rPr>
          <w:rFonts w:ascii="Arial" w:hAnsi="Arial"/>
          <w:color w:val="000000"/>
          <w:sz w:val="22"/>
        </w:rPr>
        <w:t>All governance decisions are immutably logged in E-AEGL</w:t>
      </w:r>
    </w:p>
    <w:p>
      <w:r>
        <w:br w:type="page"/>
      </w:r>
    </w:p>
    <w:p>
      <w:pPr>
        <w:pStyle w:val="Heading1"/>
        <w:spacing w:before="360" w:after="240" w:lineRule="exact" w:line="680"/>
      </w:pPr>
      <w:r>
        <w:rPr>
          <w:rFonts w:ascii="Arial" w:hAnsi="Arial"/>
          <w:b/>
          <w:color w:val="1A1A2E"/>
          <w:sz w:val="56"/>
        </w:rPr>
        <w:t>3. TOWER CONTROL AND COMMAND CENTER DESIGN</w:t>
      </w:r>
    </w:p>
    <w:p>
      <w:pPr>
        <w:spacing w:after="200" w:lineRule="exact" w:line="260"/>
      </w:pPr>
      <w:r>
        <w:rPr>
          <w:rFonts w:ascii="Arial" w:hAnsi="Arial"/>
          <w:color w:val="000000"/>
          <w:sz w:val="22"/>
        </w:rPr>
        <w:t>The TCCC is not a command center in the traditional sense. It does not issue commands. It does not extract reports. Instead, the TCCC functions as the total AIDevSecOps nervous system — constantly sensing, integrating, analyzing, and coordinating across all planetary systems. Seven core engines drive TCCC function.</w:t>
      </w:r>
    </w:p>
    <w:p>
      <w:pPr>
        <w:pStyle w:val="Heading2"/>
        <w:spacing w:before="280" w:after="200" w:lineRule="exact" w:line="540"/>
      </w:pPr>
      <w:r>
        <w:rPr>
          <w:rFonts w:ascii="Arial" w:hAnsi="Arial"/>
          <w:b/>
          <w:color w:val="1A1A2E"/>
          <w:sz w:val="44"/>
        </w:rPr>
        <w:t>Engine 1: Knowledge Graph Engine</w:t>
      </w:r>
    </w:p>
    <w:p>
      <w:pPr>
        <w:spacing w:after="200" w:lineRule="exact" w:line="260"/>
      </w:pPr>
      <w:r>
        <w:rPr>
          <w:rFonts w:ascii="Arial" w:hAnsi="Arial"/>
          <w:color w:val="000000"/>
          <w:sz w:val="22"/>
        </w:rPr>
        <w:t>The Knowledge Graph Engine maps every entity, code, relationship, dependency, and discussion topic into a unified graph. Real-time traversal capability allows navigation from civilization-scale systems down to atomic topics. The graph contains: 100,000+ industry codes with 8 entropy dimensions each; 16 international classification systems cross-referenced; 7 repository documentations with bidirectional links; 250 countries mapped with regulatory frameworks; all AINEs with capability maps and geographic coverage; all stakeholders with relationship networks; all discussion topics hierarchically organized. This is not a document management system. This is the unified nervous system that makes coordination possible at scale.</w:t>
      </w:r>
    </w:p>
    <w:p>
      <w:pPr>
        <w:pStyle w:val="Heading2"/>
        <w:spacing w:before="280" w:after="200" w:lineRule="exact" w:line="540"/>
      </w:pPr>
      <w:r>
        <w:rPr>
          <w:rFonts w:ascii="Arial" w:hAnsi="Arial"/>
          <w:b/>
          <w:color w:val="1A1A2E"/>
          <w:sz w:val="44"/>
        </w:rPr>
        <w:t>Engine 2: Dependency Radar Engine</w:t>
      </w:r>
    </w:p>
    <w:p>
      <w:pPr>
        <w:spacing w:after="200" w:lineRule="exact" w:line="260"/>
      </w:pPr>
      <w:r>
        <w:rPr>
          <w:rFonts w:ascii="Arial" w:hAnsi="Arial"/>
          <w:color w:val="000000"/>
          <w:sz w:val="22"/>
        </w:rPr>
        <w:t>The Dependency Radar Engine tracks inter-AINE dependencies, cross-entity relationships, resource flows, and systemic risks. Prevents circular dependencies. Identifies cascade failure risks before they materialize. Maps hidden dependencies that humans would miss. The engine operates in real-time: Every time an AINE declares a new dependency, the Radar checks for cycles. Every time an AINE modifies capability, the Radar updates all dependent systems. Every time a resource becomes scarce, the Radar triggers reallocation protocols. Without the Dependency Radar, planetary-scale coordination collapses into chaos.</w:t>
      </w:r>
    </w:p>
    <w:p>
      <w:pPr>
        <w:pStyle w:val="Heading2"/>
        <w:spacing w:before="280" w:after="200" w:lineRule="exact" w:line="540"/>
      </w:pPr>
      <w:r>
        <w:rPr>
          <w:rFonts w:ascii="Arial" w:hAnsi="Arial"/>
          <w:b/>
          <w:color w:val="1A1A2E"/>
          <w:sz w:val="44"/>
        </w:rPr>
        <w:t>Engine 3: Mission Engine (WGE + JRAS)</w:t>
      </w:r>
    </w:p>
    <w:p>
      <w:pPr>
        <w:spacing w:after="200" w:lineRule="exact" w:line="260"/>
      </w:pPr>
      <w:r>
        <w:rPr>
          <w:rFonts w:ascii="Arial" w:hAnsi="Arial"/>
          <w:color w:val="000000"/>
          <w:sz w:val="22"/>
        </w:rPr>
        <w:t>The Mission Engine assigns work, tracks execution, and manages governance of tasks across all entities. Two critical components: Work Governance Engine (WGE) ensures no task exists without traceability. Every task has: clear objective, assigned responsibility, resource allocation, success criteria, and immutable audit trail. JRAS (Job Role Architecture System) provides role-based task assignment and skill matching. The engine prevents orphaned work, ensures accountability, and eliminates zombie tasks.</w:t>
      </w:r>
    </w:p>
    <w:p>
      <w:pPr>
        <w:pStyle w:val="Heading2"/>
        <w:spacing w:before="280" w:after="200" w:lineRule="exact" w:line="540"/>
      </w:pPr>
      <w:r>
        <w:rPr>
          <w:rFonts w:ascii="Arial" w:hAnsi="Arial"/>
          <w:b/>
          <w:color w:val="1A1A2E"/>
          <w:sz w:val="44"/>
        </w:rPr>
        <w:t>Engine 4: Revenue Orchestration Engine</w:t>
      </w:r>
    </w:p>
    <w:p>
      <w:pPr>
        <w:spacing w:after="200" w:lineRule="exact" w:line="260"/>
      </w:pPr>
      <w:r>
        <w:rPr>
          <w:rFonts w:ascii="Arial" w:hAnsi="Arial"/>
          <w:color w:val="000000"/>
          <w:sz w:val="22"/>
        </w:rPr>
        <w:t>The Revenue Orchestration Engine tracks all revenue streams across all entities. Sequences monetization from fastest-to-revenue to strategic long-term plays. Maps which industry codes generate which products through which channels. The engine answers: Which AINEs are revenue-positive? Which entropy dimensions convert fastest to cash? Which markets are oversaturated? Which opportunities are under-served? Which geographies show highest velocity? Which stakeholder segments have highest lifetime value? This drives resource allocation, team expansion, and strategic focus.</w:t>
      </w:r>
    </w:p>
    <w:p>
      <w:pPr>
        <w:pStyle w:val="Heading2"/>
        <w:spacing w:before="280" w:after="200" w:lineRule="exact" w:line="540"/>
      </w:pPr>
      <w:r>
        <w:rPr>
          <w:rFonts w:ascii="Arial" w:hAnsi="Arial"/>
          <w:b/>
          <w:color w:val="1A1A2E"/>
          <w:sz w:val="44"/>
        </w:rPr>
        <w:t>Engine 5: Documentation Fabric Engine</w:t>
      </w:r>
    </w:p>
    <w:p>
      <w:pPr>
        <w:spacing w:after="200" w:lineRule="exact" w:line="260"/>
      </w:pPr>
      <w:r>
        <w:rPr>
          <w:rFonts w:ascii="Arial" w:hAnsi="Arial"/>
          <w:color w:val="000000"/>
          <w:sz w:val="22"/>
        </w:rPr>
        <w:t>The Documentation Fabric Engine centralizes all documentation across 7 repositories (aineff-docs, agentcoders-docs, levelupmax-docs, marketplace-docs, ecosystem-docs, aegl-docs, frankmax-docs). Prevents duplication. Ensures cross-referencing. Maintains version control for organizational memory. Every document is mapped to the Knowledge Graph. Every update triggers consistency checks across all repositories. Missing documentation surfaces as action items.</w:t>
      </w:r>
    </w:p>
    <w:p>
      <w:pPr>
        <w:pStyle w:val="Heading2"/>
        <w:spacing w:before="280" w:after="200" w:lineRule="exact" w:line="540"/>
      </w:pPr>
      <w:r>
        <w:rPr>
          <w:rFonts w:ascii="Arial" w:hAnsi="Arial"/>
          <w:b/>
          <w:color w:val="1A1A2E"/>
          <w:sz w:val="44"/>
        </w:rPr>
        <w:t>Engine 6: Governance Engine (E-AEGL)</w:t>
      </w:r>
    </w:p>
    <w:p>
      <w:pPr>
        <w:spacing w:after="200" w:lineRule="exact" w:line="260"/>
      </w:pPr>
      <w:r>
        <w:rPr>
          <w:rFonts w:ascii="Arial" w:hAnsi="Arial"/>
          <w:color w:val="000000"/>
          <w:sz w:val="22"/>
        </w:rPr>
        <w:t>E-AEGL (Ethics, Audit, Governance, Legal) is the immutable verification layer. Every action across every AINE passes through E-AEGL's audit trail. No action is retroactively modified. All compliance decisions are logged. All policy violations trigger escalation. All governance questions have traceable answers. This is the layer that prevents corruption, ensures accountability, and enables regulatory compliance across 250 countries.</w:t>
      </w:r>
    </w:p>
    <w:p>
      <w:pPr>
        <w:pStyle w:val="Heading2"/>
        <w:spacing w:before="280" w:after="200" w:lineRule="exact" w:line="540"/>
      </w:pPr>
      <w:r>
        <w:rPr>
          <w:rFonts w:ascii="Arial" w:hAnsi="Arial"/>
          <w:b/>
          <w:color w:val="1A1A2E"/>
          <w:sz w:val="44"/>
        </w:rPr>
        <w:t>Engine 7: Organism Evolution Engine</w:t>
      </w:r>
    </w:p>
    <w:p>
      <w:pPr>
        <w:spacing w:after="200" w:lineRule="exact" w:line="260"/>
      </w:pPr>
      <w:r>
        <w:rPr>
          <w:rFonts w:ascii="Arial" w:hAnsi="Arial"/>
          <w:color w:val="000000"/>
          <w:sz w:val="22"/>
        </w:rPr>
        <w:t>The Organism Evolution Engine tracks how AINEs combine into coalitions, species, ecosystems, and sanctuaries. Manages mutation pathways. Applies financial engineering structures per evolution stage. Triggers transitions when conditions align. Prevents premature evolution and forced combinations. The engine asks: Which AINEs should merge? Which coalitions are ready to become species? Which ecosystems should crystallize into sanctuaries? How do we manage growth without destabilizing the system?</w:t>
      </w:r>
    </w:p>
    <w:p>
      <w:pPr>
        <w:pStyle w:val="Heading2"/>
        <w:spacing w:before="280" w:after="200" w:lineRule="exact" w:line="540"/>
      </w:pPr>
      <w:r>
        <w:rPr>
          <w:rFonts w:ascii="Arial" w:hAnsi="Arial"/>
          <w:b/>
          <w:color w:val="1A1A2E"/>
          <w:sz w:val="44"/>
        </w:rPr>
        <w:t>Engine Integration Table</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620"/>
            <w:shd w:fill="1A1A2E"/>
          </w:tcPr>
          <w:p>
            <w:r>
              <w:t>Engine</w:t>
            </w:r>
          </w:p>
        </w:tc>
        <w:tc>
          <w:tcPr>
            <w:tcW w:type="dxa" w:w="1620"/>
            <w:shd w:fill="1A1A2E"/>
          </w:tcPr>
          <w:p>
            <w:r>
              <w:t>Inputs</w:t>
            </w:r>
          </w:p>
        </w:tc>
        <w:tc>
          <w:tcPr>
            <w:tcW w:type="dxa" w:w="1620"/>
            <w:shd w:fill="1A1A2E"/>
          </w:tcPr>
          <w:p>
            <w:r>
              <w:t>Outputs</w:t>
            </w:r>
          </w:p>
        </w:tc>
        <w:tc>
          <w:tcPr>
            <w:tcW w:type="dxa" w:w="1620"/>
            <w:shd w:fill="1A1A2E"/>
          </w:tcPr>
          <w:p>
            <w:r>
              <w:t>Control</w:t>
            </w:r>
          </w:p>
        </w:tc>
        <w:tc>
          <w:tcPr>
            <w:tcW w:type="dxa" w:w="1620"/>
            <w:shd w:fill="1A1A2E"/>
          </w:tcPr>
          <w:p>
            <w:r>
              <w:t>Governance</w:t>
            </w:r>
          </w:p>
        </w:tc>
        <w:tc>
          <w:tcPr>
            <w:tcW w:type="dxa" w:w="1620"/>
            <w:shd w:fill="1A1A2E"/>
          </w:tcPr>
          <w:p>
            <w:r>
              <w:t>Monetization</w:t>
            </w:r>
          </w:p>
        </w:tc>
      </w:tr>
      <w:tr>
        <w:tc>
          <w:tcPr>
            <w:tcW w:type="dxa" w:w="1620"/>
          </w:tcPr>
          <w:p>
            <w:r>
              <w:t>Knowledge Graph</w:t>
            </w:r>
          </w:p>
        </w:tc>
        <w:tc>
          <w:tcPr>
            <w:tcW w:type="dxa" w:w="1620"/>
          </w:tcPr>
          <w:p>
            <w:r>
              <w:t>Entities, codes, docs</w:t>
            </w:r>
          </w:p>
        </w:tc>
        <w:tc>
          <w:tcPr>
            <w:tcW w:type="dxa" w:w="1620"/>
          </w:tcPr>
          <w:p>
            <w:r>
              <w:t>Unified graph, traversal</w:t>
            </w:r>
          </w:p>
        </w:tc>
        <w:tc>
          <w:tcPr>
            <w:tcW w:type="dxa" w:w="1620"/>
          </w:tcPr>
          <w:p>
            <w:r>
              <w:t>Query interface</w:t>
            </w:r>
          </w:p>
        </w:tc>
        <w:tc>
          <w:tcPr>
            <w:tcW w:type="dxa" w:w="1620"/>
          </w:tcPr>
          <w:p>
            <w:r>
              <w:t>E-AEGL audit</w:t>
            </w:r>
          </w:p>
        </w:tc>
        <w:tc>
          <w:tcPr>
            <w:tcW w:type="dxa" w:w="1620"/>
          </w:tcPr>
          <w:p>
            <w:r>
              <w:t>Data licensing</w:t>
            </w:r>
          </w:p>
        </w:tc>
      </w:tr>
      <w:tr>
        <w:tc>
          <w:tcPr>
            <w:tcW w:type="dxa" w:w="1620"/>
            <w:shd w:fill="F0F0F5"/>
          </w:tcPr>
          <w:p>
            <w:r>
              <w:t>Dependency Radar</w:t>
            </w:r>
          </w:p>
        </w:tc>
        <w:tc>
          <w:tcPr>
            <w:tcW w:type="dxa" w:w="1620"/>
            <w:shd w:fill="F0F0F5"/>
          </w:tcPr>
          <w:p>
            <w:r>
              <w:t>AINE declarations</w:t>
            </w:r>
          </w:p>
        </w:tc>
        <w:tc>
          <w:tcPr>
            <w:tcW w:type="dxa" w:w="1620"/>
            <w:shd w:fill="F0F0F5"/>
          </w:tcPr>
          <w:p>
            <w:r>
              <w:t>Dependency maps, risks</w:t>
            </w:r>
          </w:p>
        </w:tc>
        <w:tc>
          <w:tcPr>
            <w:tcW w:type="dxa" w:w="1620"/>
            <w:shd w:fill="F0F0F5"/>
          </w:tcPr>
          <w:p>
            <w:r>
              <w:t>Cycle detection</w:t>
            </w:r>
          </w:p>
        </w:tc>
        <w:tc>
          <w:tcPr>
            <w:tcW w:type="dxa" w:w="1620"/>
            <w:shd w:fill="F0F0F5"/>
          </w:tcPr>
          <w:p>
            <w:r>
              <w:t>E-AEGL approval</w:t>
            </w:r>
          </w:p>
        </w:tc>
        <w:tc>
          <w:tcPr>
            <w:tcW w:type="dxa" w:w="1620"/>
            <w:shd w:fill="F0F0F5"/>
          </w:tcPr>
          <w:p>
            <w:r>
              <w:t>Risk assessment fees</w:t>
            </w:r>
          </w:p>
        </w:tc>
      </w:tr>
      <w:tr>
        <w:tc>
          <w:tcPr>
            <w:tcW w:type="dxa" w:w="1620"/>
          </w:tcPr>
          <w:p>
            <w:r>
              <w:t>Mission Engine</w:t>
            </w:r>
          </w:p>
        </w:tc>
        <w:tc>
          <w:tcPr>
            <w:tcW w:type="dxa" w:w="1620"/>
          </w:tcPr>
          <w:p>
            <w:r>
              <w:t>Work requests</w:t>
            </w:r>
          </w:p>
        </w:tc>
        <w:tc>
          <w:tcPr>
            <w:tcW w:type="dxa" w:w="1620"/>
          </w:tcPr>
          <w:p>
            <w:r>
              <w:t>Task assignments, tracking</w:t>
            </w:r>
          </w:p>
        </w:tc>
        <w:tc>
          <w:tcPr>
            <w:tcW w:type="dxa" w:w="1620"/>
          </w:tcPr>
          <w:p>
            <w:r>
              <w:t>WGE verification</w:t>
            </w:r>
          </w:p>
        </w:tc>
        <w:tc>
          <w:tcPr>
            <w:tcW w:type="dxa" w:w="1620"/>
          </w:tcPr>
          <w:p>
            <w:r>
              <w:t>E-AEGL logging</w:t>
            </w:r>
          </w:p>
        </w:tc>
        <w:tc>
          <w:tcPr>
            <w:tcW w:type="dxa" w:w="1620"/>
          </w:tcPr>
          <w:p>
            <w:r>
              <w:t>SLA charges</w:t>
            </w:r>
          </w:p>
        </w:tc>
      </w:tr>
      <w:tr>
        <w:tc>
          <w:tcPr>
            <w:tcW w:type="dxa" w:w="1620"/>
            <w:shd w:fill="F0F0F5"/>
          </w:tcPr>
          <w:p>
            <w:r>
              <w:t>Revenue Orch.</w:t>
            </w:r>
          </w:p>
        </w:tc>
        <w:tc>
          <w:tcPr>
            <w:tcW w:type="dxa" w:w="1620"/>
            <w:shd w:fill="F0F0F5"/>
          </w:tcPr>
          <w:p>
            <w:r>
              <w:t>All AINEs</w:t>
            </w:r>
          </w:p>
        </w:tc>
        <w:tc>
          <w:tcPr>
            <w:tcW w:type="dxa" w:w="1620"/>
            <w:shd w:fill="F0F0F5"/>
          </w:tcPr>
          <w:p>
            <w:r>
              <w:t>Cash flow analysis</w:t>
            </w:r>
          </w:p>
        </w:tc>
        <w:tc>
          <w:tcPr>
            <w:tcW w:type="dxa" w:w="1620"/>
            <w:shd w:fill="F0F0F5"/>
          </w:tcPr>
          <w:p>
            <w:r>
              <w:t>Performance metrics</w:t>
            </w:r>
          </w:p>
        </w:tc>
        <w:tc>
          <w:tcPr>
            <w:tcW w:type="dxa" w:w="1620"/>
            <w:shd w:fill="F0F0F5"/>
          </w:tcPr>
          <w:p>
            <w:r>
              <w:t>E-AEGL settlement</w:t>
            </w:r>
          </w:p>
        </w:tc>
        <w:tc>
          <w:tcPr>
            <w:tcW w:type="dxa" w:w="1620"/>
            <w:shd w:fill="F0F0F5"/>
          </w:tcPr>
          <w:p>
            <w:r>
              <w:t>Management fees</w:t>
            </w:r>
          </w:p>
        </w:tc>
      </w:tr>
      <w:tr>
        <w:tc>
          <w:tcPr>
            <w:tcW w:type="dxa" w:w="1620"/>
          </w:tcPr>
          <w:p>
            <w:r>
              <w:t>Doc Fabric</w:t>
            </w:r>
          </w:p>
        </w:tc>
        <w:tc>
          <w:tcPr>
            <w:tcW w:type="dxa" w:w="1620"/>
          </w:tcPr>
          <w:p>
            <w:r>
              <w:t>All docs across repos</w:t>
            </w:r>
          </w:p>
        </w:tc>
        <w:tc>
          <w:tcPr>
            <w:tcW w:type="dxa" w:w="1620"/>
          </w:tcPr>
          <w:p>
            <w:r>
              <w:t>Unified documentation</w:t>
            </w:r>
          </w:p>
        </w:tc>
        <w:tc>
          <w:tcPr>
            <w:tcW w:type="dxa" w:w="1620"/>
          </w:tcPr>
          <w:p>
            <w:r>
              <w:t>Version control</w:t>
            </w:r>
          </w:p>
        </w:tc>
        <w:tc>
          <w:tcPr>
            <w:tcW w:type="dxa" w:w="1620"/>
          </w:tcPr>
          <w:p>
            <w:r>
              <w:t>E-AEGL approval</w:t>
            </w:r>
          </w:p>
        </w:tc>
        <w:tc>
          <w:tcPr>
            <w:tcW w:type="dxa" w:w="1620"/>
          </w:tcPr>
          <w:p>
            <w:r>
              <w:t>Document access</w:t>
            </w:r>
          </w:p>
        </w:tc>
      </w:tr>
      <w:tr>
        <w:tc>
          <w:tcPr>
            <w:tcW w:type="dxa" w:w="1620"/>
            <w:shd w:fill="F0F0F5"/>
          </w:tcPr>
          <w:p>
            <w:r>
              <w:t>E-AEGL</w:t>
            </w:r>
          </w:p>
        </w:tc>
        <w:tc>
          <w:tcPr>
            <w:tcW w:type="dxa" w:w="1620"/>
            <w:shd w:fill="F0F0F5"/>
          </w:tcPr>
          <w:p>
            <w:r>
              <w:t>All actions</w:t>
            </w:r>
          </w:p>
        </w:tc>
        <w:tc>
          <w:tcPr>
            <w:tcW w:type="dxa" w:w="1620"/>
            <w:shd w:fill="F0F0F5"/>
          </w:tcPr>
          <w:p>
            <w:r>
              <w:t>Audit trails, compliance</w:t>
            </w:r>
          </w:p>
        </w:tc>
        <w:tc>
          <w:tcPr>
            <w:tcW w:type="dxa" w:w="1620"/>
            <w:shd w:fill="F0F0F5"/>
          </w:tcPr>
          <w:p>
            <w:r>
              <w:t>Governance rules</w:t>
            </w:r>
          </w:p>
        </w:tc>
        <w:tc>
          <w:tcPr>
            <w:tcW w:type="dxa" w:w="1620"/>
            <w:shd w:fill="F0F0F5"/>
          </w:tcPr>
          <w:p>
            <w:r>
              <w:t>AINEFF const.</w:t>
            </w:r>
          </w:p>
        </w:tc>
        <w:tc>
          <w:tcPr>
            <w:tcW w:type="dxa" w:w="1620"/>
            <w:shd w:fill="F0F0F5"/>
          </w:tcPr>
          <w:p>
            <w:r>
              <w:t>Compliance fees</w:t>
            </w:r>
          </w:p>
        </w:tc>
      </w:tr>
      <w:tr>
        <w:tc>
          <w:tcPr>
            <w:tcW w:type="dxa" w:w="1620"/>
          </w:tcPr>
          <w:p>
            <w:r>
              <w:t>Evolution</w:t>
            </w:r>
          </w:p>
        </w:tc>
        <w:tc>
          <w:tcPr>
            <w:tcW w:type="dxa" w:w="1620"/>
          </w:tcPr>
          <w:p>
            <w:r>
              <w:t>AINE metrics</w:t>
            </w:r>
          </w:p>
        </w:tc>
        <w:tc>
          <w:tcPr>
            <w:tcW w:type="dxa" w:w="1620"/>
          </w:tcPr>
          <w:p>
            <w:r>
              <w:t>Organism formation</w:t>
            </w:r>
          </w:p>
        </w:tc>
        <w:tc>
          <w:tcPr>
            <w:tcW w:type="dxa" w:w="1620"/>
          </w:tcPr>
          <w:p>
            <w:r>
              <w:t>Mutation rules</w:t>
            </w:r>
          </w:p>
        </w:tc>
        <w:tc>
          <w:tcPr>
            <w:tcW w:type="dxa" w:w="1620"/>
          </w:tcPr>
          <w:p>
            <w:r>
              <w:t>E-AEGL approval</w:t>
            </w:r>
          </w:p>
        </w:tc>
        <w:tc>
          <w:tcPr>
            <w:tcW w:type="dxa" w:w="1620"/>
          </w:tcPr>
          <w:p>
            <w:r>
              <w:t>Restructuring fees</w:t>
            </w:r>
          </w:p>
        </w:tc>
      </w:tr>
    </w:tbl>
    <w:p>
      <w:r>
        <w:br w:type="page"/>
      </w:r>
    </w:p>
    <w:p>
      <w:pPr>
        <w:pStyle w:val="Heading1"/>
        <w:spacing w:before="360" w:after="240" w:lineRule="exact" w:line="680"/>
      </w:pPr>
      <w:r>
        <w:rPr>
          <w:rFonts w:ascii="Arial" w:hAnsi="Arial"/>
          <w:b/>
          <w:color w:val="1A1A2E"/>
          <w:sz w:val="56"/>
        </w:rPr>
        <w:t>4. AIDEVSCOPS INFRASTRUCTURE</w:t>
      </w:r>
    </w:p>
    <w:p>
      <w:pPr>
        <w:spacing w:after="200" w:lineRule="exact" w:line="260"/>
      </w:pPr>
      <w:r>
        <w:rPr>
          <w:rFonts w:ascii="Arial" w:hAnsi="Arial"/>
          <w:color w:val="000000"/>
          <w:sz w:val="22"/>
        </w:rPr>
        <w:t>AIDevSecOps is the operational discipline that ensures AI-native enterprises are created, governed, deployed, monitored, secured, and evolved without requiring human intervention at every step. The infrastructure is dual-factory: GitHub governance brain + Azure DevOps delivery floor.</w:t>
      </w:r>
    </w:p>
    <w:p>
      <w:pPr>
        <w:pStyle w:val="Heading2"/>
        <w:spacing w:before="280" w:after="200" w:lineRule="exact" w:line="540"/>
      </w:pPr>
      <w:r>
        <w:rPr>
          <w:rFonts w:ascii="Arial" w:hAnsi="Arial"/>
          <w:b/>
          <w:color w:val="1A1A2E"/>
          <w:sz w:val="44"/>
        </w:rPr>
        <w:t>Creation Pipeline</w:t>
      </w:r>
    </w:p>
    <w:p>
      <w:pPr>
        <w:pStyle w:val="ListBullet"/>
        <w:spacing w:after="120"/>
      </w:pPr>
      <w:r>
        <w:rPr>
          <w:rFonts w:ascii="Arial" w:hAnsi="Arial"/>
          <w:color w:val="000000"/>
          <w:sz w:val="22"/>
        </w:rPr>
        <w:t>Requirements — Document the entropy problem, target market, success criteria</w:t>
      </w:r>
    </w:p>
    <w:p>
      <w:pPr>
        <w:pStyle w:val="ListBullet"/>
        <w:spacing w:after="120"/>
      </w:pPr>
      <w:r>
        <w:rPr>
          <w:rFonts w:ascii="Arial" w:hAnsi="Arial"/>
          <w:color w:val="000000"/>
          <w:sz w:val="22"/>
        </w:rPr>
        <w:t>AINEF Assembly — Create base AINE configuration using enterprise factory templates</w:t>
      </w:r>
    </w:p>
    <w:p>
      <w:pPr>
        <w:pStyle w:val="ListBullet"/>
        <w:spacing w:after="120"/>
      </w:pPr>
      <w:r>
        <w:rPr>
          <w:rFonts w:ascii="Arial" w:hAnsi="Arial"/>
          <w:color w:val="000000"/>
          <w:sz w:val="22"/>
        </w:rPr>
        <w:t>AINEG Geographic — Map regulatory requirements for target jurisdictions</w:t>
      </w:r>
    </w:p>
    <w:p>
      <w:pPr>
        <w:pStyle w:val="ListBullet"/>
        <w:spacing w:after="120"/>
      </w:pPr>
      <w:r>
        <w:rPr>
          <w:rFonts w:ascii="Arial" w:hAnsi="Arial"/>
          <w:color w:val="000000"/>
          <w:sz w:val="22"/>
        </w:rPr>
        <w:t>AINE Deployment — Instantiate AINE across compute infrastructure</w:t>
      </w:r>
    </w:p>
    <w:p>
      <w:pPr>
        <w:pStyle w:val="ListBullet"/>
        <w:spacing w:after="120"/>
      </w:pPr>
      <w:r>
        <w:rPr>
          <w:rFonts w:ascii="Arial" w:hAnsi="Arial"/>
          <w:color w:val="000000"/>
          <w:sz w:val="22"/>
        </w:rPr>
        <w:t>Monitoring — Establish real-time health dashboards and alert systems</w:t>
      </w:r>
    </w:p>
    <w:p>
      <w:pPr>
        <w:pStyle w:val="Heading2"/>
        <w:spacing w:before="280" w:after="200" w:lineRule="exact" w:line="540"/>
      </w:pPr>
      <w:r>
        <w:rPr>
          <w:rFonts w:ascii="Arial" w:hAnsi="Arial"/>
          <w:b/>
          <w:color w:val="1A1A2E"/>
          <w:sz w:val="44"/>
        </w:rPr>
        <w:t>Governance Layer</w:t>
      </w:r>
    </w:p>
    <w:p>
      <w:pPr>
        <w:spacing w:after="200" w:lineRule="exact" w:line="260"/>
      </w:pPr>
      <w:r>
        <w:rPr>
          <w:rFonts w:ascii="Arial" w:hAnsi="Arial"/>
          <w:color w:val="000000"/>
          <w:sz w:val="22"/>
        </w:rPr>
        <w:t>Every AINE reports to E-AEGL. Audit trails are immutable. Compliance is mapped to jurisdiction (GDPR, DPDP India, SEC, HIPAA, etc.). The governance layer does not slow down deployment — it is built into deployment. Templates enforce governance by default. Deviations require explicit approval. Non-compliance triggers automatic remediation.</w:t>
      </w:r>
    </w:p>
    <w:p>
      <w:pPr>
        <w:pStyle w:val="Heading2"/>
        <w:spacing w:before="280" w:after="200" w:lineRule="exact" w:line="540"/>
      </w:pPr>
      <w:r>
        <w:rPr>
          <w:rFonts w:ascii="Arial" w:hAnsi="Arial"/>
          <w:b/>
          <w:color w:val="1A1A2E"/>
          <w:sz w:val="44"/>
        </w:rPr>
        <w:t>Security Architecture</w:t>
      </w:r>
    </w:p>
    <w:p>
      <w:pPr>
        <w:spacing w:after="200" w:lineRule="exact" w:line="260"/>
      </w:pPr>
      <w:r>
        <w:rPr>
          <w:rFonts w:ascii="Arial" w:hAnsi="Arial"/>
          <w:color w:val="000000"/>
          <w:sz w:val="22"/>
        </w:rPr>
        <w:t>Zero-trust by default. Every inter-AINE communication is authenticated, encrypted, and logged. No AINE can access another without explicit protocol exchange. No human can bypass audit trails. No service account has permanent credentials. All secrets are rotated continuously. All access is time-bound. Failure is contained at the blast radius boundary.</w:t>
      </w:r>
    </w:p>
    <w:p>
      <w:pPr>
        <w:pStyle w:val="Heading2"/>
        <w:spacing w:before="280" w:after="200" w:lineRule="exact" w:line="540"/>
      </w:pPr>
      <w:r>
        <w:rPr>
          <w:rFonts w:ascii="Arial" w:hAnsi="Arial"/>
          <w:b/>
          <w:color w:val="1A1A2E"/>
          <w:sz w:val="44"/>
        </w:rPr>
        <w:t>Monitoring &amp; Observability</w:t>
      </w:r>
    </w:p>
    <w:p>
      <w:pPr>
        <w:spacing w:after="200" w:lineRule="exact" w:line="260"/>
      </w:pPr>
      <w:r>
        <w:rPr>
          <w:rFonts w:ascii="Arial" w:hAnsi="Arial"/>
          <w:color w:val="000000"/>
          <w:sz w:val="22"/>
        </w:rPr>
        <w:t>Real-time health dashboards for every AINE. Entropy scores tracked continuously. Degradation triggers automatic intervention. The system does not wait for human operators to notice problems. Anomalies are detected, flagged, and remediated automatically. Humans review after the fact.</w:t>
      </w:r>
    </w:p>
    <w:p>
      <w:pPr>
        <w:pStyle w:val="Heading2"/>
        <w:spacing w:before="280" w:after="200" w:lineRule="exact" w:line="540"/>
      </w:pPr>
      <w:r>
        <w:rPr>
          <w:rFonts w:ascii="Arial" w:hAnsi="Arial"/>
          <w:b/>
          <w:color w:val="1A1A2E"/>
          <w:sz w:val="44"/>
        </w:rPr>
        <w:t>Evolution Pipeline</w:t>
      </w:r>
    </w:p>
    <w:p>
      <w:pPr>
        <w:spacing w:after="200" w:lineRule="exact" w:line="260"/>
      </w:pPr>
      <w:r>
        <w:rPr>
          <w:rFonts w:ascii="Arial" w:hAnsi="Arial"/>
          <w:color w:val="000000"/>
          <w:sz w:val="22"/>
        </w:rPr>
        <w:t>AINEs that demonstrate viability are promoted through the organism hierarchy. Failed AINEs are gracefully retired — their knowledge absorbed into the Knowledge Graph for future use. The system does not keep zombie AINEs alive. It also does not waste viable AINEs. Evolution is continuous, data-driven, and automatic.</w:t>
      </w:r>
    </w:p>
    <w:p>
      <w:pPr>
        <w:pStyle w:val="Heading2"/>
        <w:spacing w:before="280" w:after="200" w:lineRule="exact" w:line="540"/>
      </w:pPr>
      <w:r>
        <w:rPr>
          <w:rFonts w:ascii="Arial" w:hAnsi="Arial"/>
          <w:b/>
          <w:color w:val="1A1A2E"/>
          <w:sz w:val="44"/>
        </w:rPr>
        <w:t>Eight AI Agent Services</w:t>
      </w:r>
    </w:p>
    <w:p>
      <w:pPr>
        <w:pStyle w:val="ListBullet"/>
        <w:spacing w:after="120"/>
      </w:pPr>
      <w:r>
        <w:rPr>
          <w:rFonts w:ascii="Arial" w:hAnsi="Arial"/>
          <w:color w:val="000000"/>
          <w:sz w:val="22"/>
        </w:rPr>
        <w:t>Discovery Agent: Identifies entropy dimensions across industry codes</w:t>
      </w:r>
    </w:p>
    <w:p>
      <w:pPr>
        <w:pStyle w:val="ListBullet"/>
        <w:spacing w:after="120"/>
      </w:pPr>
      <w:r>
        <w:rPr>
          <w:rFonts w:ascii="Arial" w:hAnsi="Arial"/>
          <w:color w:val="000000"/>
          <w:sz w:val="22"/>
        </w:rPr>
        <w:t>Resolution Agent: Designs AINE solutions for identified entropy</w:t>
      </w:r>
    </w:p>
    <w:p>
      <w:pPr>
        <w:pStyle w:val="ListBullet"/>
        <w:spacing w:after="120"/>
      </w:pPr>
      <w:r>
        <w:rPr>
          <w:rFonts w:ascii="Arial" w:hAnsi="Arial"/>
          <w:color w:val="000000"/>
          <w:sz w:val="22"/>
        </w:rPr>
        <w:t>Deployment Agent: Configures and launches AINEs across jurisdictions</w:t>
      </w:r>
    </w:p>
    <w:p>
      <w:pPr>
        <w:pStyle w:val="ListBullet"/>
        <w:spacing w:after="120"/>
      </w:pPr>
      <w:r>
        <w:rPr>
          <w:rFonts w:ascii="Arial" w:hAnsi="Arial"/>
          <w:color w:val="000000"/>
          <w:sz w:val="22"/>
        </w:rPr>
        <w:t>Governance Agent: Ensures compliance with E-AEGL regulations</w:t>
      </w:r>
    </w:p>
    <w:p>
      <w:pPr>
        <w:pStyle w:val="ListBullet"/>
        <w:spacing w:after="120"/>
      </w:pPr>
      <w:r>
        <w:rPr>
          <w:rFonts w:ascii="Arial" w:hAnsi="Arial"/>
          <w:color w:val="000000"/>
          <w:sz w:val="22"/>
        </w:rPr>
        <w:t>Evolution Agent: Recommends and executes AINE mutations</w:t>
      </w:r>
    </w:p>
    <w:p>
      <w:pPr>
        <w:pStyle w:val="ListBullet"/>
        <w:spacing w:after="120"/>
      </w:pPr>
      <w:r>
        <w:rPr>
          <w:rFonts w:ascii="Arial" w:hAnsi="Arial"/>
          <w:color w:val="000000"/>
          <w:sz w:val="22"/>
        </w:rPr>
        <w:t>Documentation Agent: Maintains documentation fabric consistency</w:t>
      </w:r>
    </w:p>
    <w:p>
      <w:pPr>
        <w:pStyle w:val="ListBullet"/>
        <w:spacing w:after="120"/>
      </w:pPr>
      <w:r>
        <w:rPr>
          <w:rFonts w:ascii="Arial" w:hAnsi="Arial"/>
          <w:color w:val="000000"/>
          <w:sz w:val="22"/>
        </w:rPr>
        <w:t>Coordination Agent: Manages inter-AINE protocols and dependencies</w:t>
      </w:r>
    </w:p>
    <w:p>
      <w:pPr>
        <w:pStyle w:val="ListBullet"/>
        <w:spacing w:after="120"/>
      </w:pPr>
      <w:r>
        <w:rPr>
          <w:rFonts w:ascii="Arial" w:hAnsi="Arial"/>
          <w:color w:val="000000"/>
          <w:sz w:val="22"/>
        </w:rPr>
        <w:t>Observability Agent: Monitors system health and alerts on anomalies</w:t>
      </w:r>
    </w:p>
    <w:p>
      <w:r>
        <w:br w:type="page"/>
      </w:r>
    </w:p>
    <w:p>
      <w:pPr>
        <w:pStyle w:val="Heading1"/>
        <w:spacing w:before="360" w:after="240" w:lineRule="exact" w:line="680"/>
      </w:pPr>
      <w:r>
        <w:rPr>
          <w:rFonts w:ascii="Arial" w:hAnsi="Arial"/>
          <w:b/>
          <w:color w:val="1A1A2E"/>
          <w:sz w:val="56"/>
        </w:rPr>
        <w:t>5. PLANETARY COORDINATION MECHANISMS</w:t>
      </w:r>
    </w:p>
    <w:p>
      <w:pPr>
        <w:spacing w:after="200" w:lineRule="exact" w:line="260"/>
      </w:pPr>
      <w:r>
        <w:rPr>
          <w:rFonts w:ascii="Arial" w:hAnsi="Arial"/>
          <w:color w:val="000000"/>
          <w:sz w:val="22"/>
        </w:rPr>
        <w:t>Aureya coordinates 250 countries and billions of agents without collapsing into chaos. This is achieved through federation rather than hierarchy, through protocol rather than command-and-control.</w:t>
      </w:r>
    </w:p>
    <w:p>
      <w:pPr>
        <w:pStyle w:val="Heading2"/>
        <w:spacing w:before="280" w:after="200" w:lineRule="exact" w:line="540"/>
      </w:pPr>
      <w:r>
        <w:rPr>
          <w:rFonts w:ascii="Arial" w:hAnsi="Arial"/>
          <w:b/>
          <w:color w:val="1A1A2E"/>
          <w:sz w:val="44"/>
        </w:rPr>
        <w:t>The Arisea Deployment Model</w:t>
      </w:r>
    </w:p>
    <w:p>
      <w:pPr>
        <w:spacing w:after="200" w:lineRule="exact" w:line="260"/>
      </w:pPr>
      <w:r>
        <w:rPr>
          <w:rFonts w:ascii="Arial" w:hAnsi="Arial"/>
          <w:color w:val="000000"/>
          <w:sz w:val="22"/>
        </w:rPr>
        <w:t>Aureya deploys through Arisea instances — each Arisea is a sovereign community node led by influencers, leaders, community heads. There are N Arisea communities, each with followers, members, disciples. Arisea is not a franchise or subsidiary. It is a sovereign operator using Aureya's infrastructure while maintaining autonomy.</w:t>
      </w:r>
    </w:p>
    <w:p>
      <w:pPr>
        <w:pStyle w:val="Heading2"/>
        <w:spacing w:before="280" w:after="200" w:lineRule="exact" w:line="540"/>
      </w:pPr>
      <w:r>
        <w:rPr>
          <w:rFonts w:ascii="Arial" w:hAnsi="Arial"/>
          <w:b/>
          <w:color w:val="1A1A2E"/>
          <w:sz w:val="44"/>
        </w:rPr>
        <w:t>Federation Architecture</w:t>
      </w:r>
    </w:p>
    <w:p>
      <w:pPr>
        <w:pStyle w:val="ListBullet"/>
        <w:spacing w:after="120"/>
      </w:pPr>
      <w:r>
        <w:rPr>
          <w:rFonts w:ascii="Arial" w:hAnsi="Arial"/>
          <w:color w:val="000000"/>
          <w:sz w:val="22"/>
        </w:rPr>
        <w:t>Household — Individuals, families, domestic units</w:t>
      </w:r>
    </w:p>
    <w:p>
      <w:pPr>
        <w:pStyle w:val="ListBullet"/>
        <w:spacing w:after="120"/>
      </w:pPr>
      <w:r>
        <w:rPr>
          <w:rFonts w:ascii="Arial" w:hAnsi="Arial"/>
          <w:color w:val="000000"/>
          <w:sz w:val="22"/>
        </w:rPr>
        <w:t>Community — Local professional networks, geographic clusters</w:t>
      </w:r>
    </w:p>
    <w:p>
      <w:pPr>
        <w:pStyle w:val="ListBullet"/>
        <w:spacing w:after="120"/>
      </w:pPr>
      <w:r>
        <w:rPr>
          <w:rFonts w:ascii="Arial" w:hAnsi="Arial"/>
          <w:color w:val="000000"/>
          <w:sz w:val="22"/>
        </w:rPr>
        <w:t>Consortium — Cross-community collaboration within a culture or geography</w:t>
      </w:r>
    </w:p>
    <w:p>
      <w:pPr>
        <w:pStyle w:val="ListBullet"/>
        <w:spacing w:after="120"/>
      </w:pPr>
      <w:r>
        <w:rPr>
          <w:rFonts w:ascii="Arial" w:hAnsi="Arial"/>
          <w:color w:val="000000"/>
          <w:sz w:val="22"/>
        </w:rPr>
        <w:t>Federation — Multi-consortium coordination across regions</w:t>
      </w:r>
    </w:p>
    <w:p>
      <w:pPr>
        <w:pStyle w:val="ListBullet"/>
        <w:spacing w:after="120"/>
      </w:pPr>
      <w:r>
        <w:rPr>
          <w:rFonts w:ascii="Arial" w:hAnsi="Arial"/>
          <w:color w:val="000000"/>
          <w:sz w:val="22"/>
        </w:rPr>
        <w:t>Arisea — Cultural/professional network operator at civilization scale</w:t>
      </w:r>
    </w:p>
    <w:p>
      <w:pPr>
        <w:pStyle w:val="ListBullet"/>
        <w:spacing w:after="120"/>
      </w:pPr>
      <w:r>
        <w:rPr>
          <w:rFonts w:ascii="Arial" w:hAnsi="Arial"/>
          <w:color w:val="000000"/>
          <w:sz w:val="22"/>
        </w:rPr>
        <w:t>Aureya — Global coordination infrastructure</w:t>
      </w:r>
    </w:p>
    <w:p>
      <w:pPr>
        <w:pStyle w:val="Heading2"/>
        <w:spacing w:before="280" w:after="200" w:lineRule="exact" w:line="540"/>
      </w:pPr>
      <w:r>
        <w:rPr>
          <w:rFonts w:ascii="Arial" w:hAnsi="Arial"/>
          <w:b/>
          <w:color w:val="1A1A2E"/>
          <w:sz w:val="44"/>
        </w:rPr>
        <w:t>Consensus Without Centralization</w:t>
      </w:r>
    </w:p>
    <w:p>
      <w:pPr>
        <w:spacing w:after="200" w:lineRule="exact" w:line="260"/>
      </w:pPr>
      <w:r>
        <w:rPr>
          <w:rFonts w:ascii="Arial" w:hAnsi="Arial"/>
          <w:color w:val="000000"/>
          <w:sz w:val="22"/>
        </w:rPr>
        <w:t>Each Arisea instance operates its own governance. Cross-Arisea coordination happens through protocol exchanges, not command-and-control. If two Arisea instances disagree on resource allocation, they negotiate through established protocols. The Knowledge Graph surfaces the disagreement. The Governance Engine logs the resolution. No central authority decides. The federation decides through distributed consensus.</w:t>
      </w:r>
    </w:p>
    <w:p>
      <w:pPr>
        <w:pStyle w:val="Heading2"/>
        <w:spacing w:before="280" w:after="200" w:lineRule="exact" w:line="540"/>
      </w:pPr>
      <w:r>
        <w:rPr>
          <w:rFonts w:ascii="Arial" w:hAnsi="Arial"/>
          <w:b/>
          <w:color w:val="1A1A2E"/>
          <w:sz w:val="44"/>
        </w:rPr>
        <w:t>The Household-as-Enterprise (HAE) Model</w:t>
      </w:r>
    </w:p>
    <w:p>
      <w:pPr>
        <w:spacing w:after="200" w:lineRule="exact" w:line="260"/>
      </w:pPr>
      <w:r>
        <w:rPr>
          <w:rFonts w:ascii="Arial" w:hAnsi="Arial"/>
          <w:color w:val="000000"/>
          <w:sz w:val="22"/>
        </w:rPr>
        <w:t>Every household operates as a sovereign digital enterprise node. The Onestop Hardware Vault provides compute, AI, security, energy. Each household is a peer in the Arisea Consortium Blockchain. Households operate independently but can collaborate with other households, communities, enterprises. The household is the fundamental unit — not the individual, not the corporation, but the household as an economic and governance entity.</w:t>
      </w:r>
    </w:p>
    <w:p>
      <w:pPr>
        <w:pStyle w:val="Heading2"/>
        <w:spacing w:before="280" w:after="200" w:lineRule="exact" w:line="540"/>
      </w:pPr>
      <w:r>
        <w:rPr>
          <w:rFonts w:ascii="Arial" w:hAnsi="Arial"/>
          <w:b/>
          <w:color w:val="1A1A2E"/>
          <w:sz w:val="44"/>
        </w:rPr>
        <w:t>Cultural Adaptation Engine</w:t>
      </w:r>
    </w:p>
    <w:p>
      <w:pPr>
        <w:spacing w:after="200" w:lineRule="exact" w:line="260"/>
      </w:pPr>
      <w:r>
        <w:rPr>
          <w:rFonts w:ascii="Arial" w:hAnsi="Arial"/>
          <w:color w:val="000000"/>
          <w:sz w:val="22"/>
        </w:rPr>
        <w:t>AINEG configures each deployment for local language, regulation, customs, and economic conditions. Tamil community Arisea operates differently from African startup Arisea, which operates differently from European agricultural community. The same Aureya infrastructure serves all, but each adaptation is culturally optimized. No one-size-fits-all imposition.</w:t>
      </w:r>
    </w:p>
    <w:p>
      <w:r>
        <w:br w:type="page"/>
      </w:r>
    </w:p>
    <w:p>
      <w:pPr>
        <w:pStyle w:val="Heading1"/>
        <w:spacing w:before="360" w:after="240" w:lineRule="exact" w:line="680"/>
      </w:pPr>
      <w:r>
        <w:rPr>
          <w:rFonts w:ascii="Arial" w:hAnsi="Arial"/>
          <w:b/>
          <w:color w:val="1A1A2E"/>
          <w:sz w:val="56"/>
        </w:rPr>
        <w:t>6. DECENTRALIZED SOVEREIGNTY FRAMEWORK</w:t>
      </w:r>
    </w:p>
    <w:p>
      <w:pPr>
        <w:spacing w:after="200" w:lineRule="exact" w:line="260"/>
      </w:pPr>
      <w:r>
        <w:rPr>
          <w:rFonts w:ascii="Arial" w:hAnsi="Arial"/>
          <w:color w:val="000000"/>
          <w:sz w:val="22"/>
        </w:rPr>
        <w:t>Communities and cultures maintain independence while interoperating. This is achieved through explicit architecture that enforces local sovereignty at every layer.</w:t>
      </w:r>
    </w:p>
    <w:p>
      <w:pPr>
        <w:pStyle w:val="Heading2"/>
        <w:spacing w:before="280" w:after="200" w:lineRule="exact" w:line="540"/>
      </w:pPr>
      <w:r>
        <w:rPr>
          <w:rFonts w:ascii="Arial" w:hAnsi="Arial"/>
          <w:b/>
          <w:color w:val="1A1A2E"/>
          <w:sz w:val="44"/>
        </w:rPr>
        <w:t>Sovereign Node Architecture</w:t>
      </w:r>
    </w:p>
    <w:p>
      <w:pPr>
        <w:spacing w:after="200" w:lineRule="exact" w:line="260"/>
      </w:pPr>
      <w:r>
        <w:rPr>
          <w:rFonts w:ascii="Arial" w:hAnsi="Arial"/>
          <w:color w:val="000000"/>
          <w:sz w:val="22"/>
        </w:rPr>
        <w:t>Each community Arisea instance runs its own AINE stack, its own governance, its own marketplace. The node is owned by the community, operated by the community, and accountable to the community. No external entity can unilaterally modify the node's governance or operations. The node connects to Aureya's global layer through defined protocols — not extraction of control, but voluntary coordination.</w:t>
      </w:r>
    </w:p>
    <w:p>
      <w:pPr>
        <w:pStyle w:val="Heading2"/>
        <w:spacing w:before="280" w:after="200" w:lineRule="exact" w:line="540"/>
      </w:pPr>
      <w:r>
        <w:rPr>
          <w:rFonts w:ascii="Arial" w:hAnsi="Arial"/>
          <w:b/>
          <w:color w:val="1A1A2E"/>
          <w:sz w:val="44"/>
        </w:rPr>
        <w:t>Interoperability Protocols</w:t>
      </w:r>
    </w:p>
    <w:p>
      <w:pPr>
        <w:spacing w:after="200" w:lineRule="exact" w:line="260"/>
      </w:pPr>
      <w:r>
        <w:rPr>
          <w:rFonts w:ascii="Arial" w:hAnsi="Arial"/>
          <w:color w:val="000000"/>
          <w:sz w:val="22"/>
        </w:rPr>
        <w:t>Standard APIs and protocol exchanges allow any Arisea to trade, collaborate, and share knowledge with any other — or with the central Aureya engine. The protocols are published. They are not proprietary. Any community can audit the protocols, verify they are fair, and implement them. No lock-in. No vendor dependency.</w:t>
      </w:r>
    </w:p>
    <w:p>
      <w:pPr>
        <w:pStyle w:val="Heading2"/>
        <w:spacing w:before="280" w:after="200" w:lineRule="exact" w:line="540"/>
      </w:pPr>
      <w:r>
        <w:rPr>
          <w:rFonts w:ascii="Arial" w:hAnsi="Arial"/>
          <w:b/>
          <w:color w:val="1A1A2E"/>
          <w:sz w:val="44"/>
        </w:rPr>
        <w:t>Data Sovereignty</w:t>
      </w:r>
    </w:p>
    <w:p>
      <w:pPr>
        <w:spacing w:after="200" w:lineRule="exact" w:line="260"/>
      </w:pPr>
      <w:r>
        <w:rPr>
          <w:rFonts w:ascii="Arial" w:hAnsi="Arial"/>
          <w:color w:val="000000"/>
          <w:sz w:val="22"/>
        </w:rPr>
        <w:t>All data stays within the community unless explicitly shared through policy-governed protocols. Household-centric data policy governance manages access even to social media and search engines through local nodes. The household owns its data. The community owns its aggregated data. The federation owns nothing without explicit consent.</w:t>
      </w:r>
    </w:p>
    <w:p>
      <w:pPr>
        <w:pStyle w:val="Heading2"/>
        <w:spacing w:before="280" w:after="200" w:lineRule="exact" w:line="540"/>
      </w:pPr>
      <w:r>
        <w:rPr>
          <w:rFonts w:ascii="Arial" w:hAnsi="Arial"/>
          <w:b/>
          <w:color w:val="1A1A2E"/>
          <w:sz w:val="44"/>
        </w:rPr>
        <w:t>Shell Architecture for Operational Privacy</w:t>
      </w:r>
    </w:p>
    <w:p>
      <w:pPr>
        <w:spacing w:after="200" w:lineRule="exact" w:line="260"/>
      </w:pPr>
      <w:r>
        <w:rPr>
          <w:rFonts w:ascii="Arial" w:hAnsi="Arial"/>
          <w:color w:val="000000"/>
          <w:sz w:val="22"/>
        </w:rPr>
        <w:t>Outer shells are front-facing entities (Arisea communities, visible AINE operations). Middle shells are aggregators and coordinators (species, ecosystems). Inner core is Aureya's infrastructure. Each layer maintains plausible independence while contributing to the ecosystem. An outside observer sees N independent Arisea communities. The system itself knows they are coordinated through a unified infrastructure.</w:t>
      </w:r>
    </w:p>
    <w:p>
      <w:pPr>
        <w:pStyle w:val="Heading2"/>
        <w:spacing w:before="280" w:after="200" w:lineRule="exact" w:line="540"/>
      </w:pPr>
      <w:r>
        <w:rPr>
          <w:rFonts w:ascii="Arial" w:hAnsi="Arial"/>
          <w:b/>
          <w:color w:val="1A1A2E"/>
          <w:sz w:val="44"/>
        </w:rPr>
        <w:t>Reference: Novaterra Model</w:t>
      </w:r>
    </w:p>
    <w:p>
      <w:pPr>
        <w:spacing w:after="200" w:lineRule="exact" w:line="260"/>
      </w:pPr>
      <w:r>
        <w:rPr>
          <w:rFonts w:ascii="Arial" w:hAnsi="Arial"/>
          <w:color w:val="000000"/>
          <w:sz w:val="22"/>
        </w:rPr>
        <w:t>Aureya implements talent deployment with sovereign operators in each jurisdiction. This is the Novaterra model — operators are equity holders, not employees. They are accountable to their stakeholders, not to distant corporate HQ. They can depart the ecosystem and keep operating their local node. This creates real sovereignty and real accountability.</w:t>
      </w:r>
    </w:p>
    <w:p>
      <w:r>
        <w:br w:type="page"/>
      </w:r>
    </w:p>
    <w:p>
      <w:pPr>
        <w:pStyle w:val="Heading1"/>
        <w:spacing w:before="360" w:after="240" w:lineRule="exact" w:line="680"/>
      </w:pPr>
      <w:r>
        <w:rPr>
          <w:rFonts w:ascii="Arial" w:hAnsi="Arial"/>
          <w:b/>
          <w:color w:val="1A1A2E"/>
          <w:sz w:val="56"/>
        </w:rPr>
        <w:t>7. GAMEBOARDS AND MISSION SYSTEMS</w:t>
      </w:r>
    </w:p>
    <w:p>
      <w:pPr>
        <w:spacing w:after="200" w:lineRule="exact" w:line="260"/>
      </w:pPr>
      <w:r>
        <w:rPr>
          <w:rFonts w:ascii="Arial" w:hAnsi="Arial"/>
          <w:color w:val="000000"/>
          <w:sz w:val="22"/>
        </w:rPr>
        <w:t>Gameboards are structured arenas where humans and AI collaborate, compete, and create value. Every gameboard is a value creation surface where teams work toward specific objectives.</w:t>
      </w:r>
    </w:p>
    <w:p>
      <w:pPr>
        <w:pStyle w:val="Heading2"/>
        <w:spacing w:before="280" w:after="200" w:lineRule="exact" w:line="540"/>
      </w:pPr>
      <w:r>
        <w:rPr>
          <w:rFonts w:ascii="Arial" w:hAnsi="Arial"/>
          <w:b/>
          <w:color w:val="1A1A2E"/>
          <w:sz w:val="44"/>
        </w:rPr>
        <w:t>Gameboard Definition</w:t>
      </w:r>
    </w:p>
    <w:p>
      <w:pPr>
        <w:spacing w:after="200" w:lineRule="exact" w:line="260"/>
      </w:pPr>
      <w:r>
        <w:rPr>
          <w:rFonts w:ascii="Arial" w:hAnsi="Arial"/>
          <w:color w:val="000000"/>
          <w:sz w:val="22"/>
        </w:rPr>
        <w:t>Every intersection of [Industry Code] × [Entropy Dimension] × [Business Function] × [Business Process] × [Stakeholder] generates a gameboard — a structured arena for value creation. This creates 7.2 billion+ platform surfaces: 100,000+ codes × 8 entropy dimensions × 12 business functions × 50+ processes × 15+ stakeholders. Each surface is a distinct opportunity for mission creation.</w:t>
      </w:r>
    </w:p>
    <w:p>
      <w:pPr>
        <w:pStyle w:val="Heading2"/>
        <w:spacing w:before="280" w:after="200" w:lineRule="exact" w:line="540"/>
      </w:pPr>
      <w:r>
        <w:rPr>
          <w:rFonts w:ascii="Arial" w:hAnsi="Arial"/>
          <w:b/>
          <w:color w:val="1A1A2E"/>
          <w:sz w:val="44"/>
        </w:rPr>
        <w:t>Mission Types</w:t>
      </w:r>
    </w:p>
    <w:p>
      <w:pPr>
        <w:pStyle w:val="ListBullet"/>
        <w:spacing w:after="120"/>
      </w:pPr>
      <w:r>
        <w:rPr>
          <w:rFonts w:ascii="Arial" w:hAnsi="Arial"/>
          <w:color w:val="000000"/>
          <w:sz w:val="22"/>
        </w:rPr>
        <w:t>Discovery Missions — Identify entropy dimensions within a code/function/process combination</w:t>
      </w:r>
    </w:p>
    <w:p>
      <w:pPr>
        <w:pStyle w:val="ListBullet"/>
        <w:spacing w:after="120"/>
      </w:pPr>
      <w:r>
        <w:rPr>
          <w:rFonts w:ascii="Arial" w:hAnsi="Arial"/>
          <w:color w:val="000000"/>
          <w:sz w:val="22"/>
        </w:rPr>
        <w:t>Resolution Missions — Build AI-Native Enterprise solutions for identified entropy</w:t>
      </w:r>
    </w:p>
    <w:p>
      <w:pPr>
        <w:pStyle w:val="ListBullet"/>
        <w:spacing w:after="120"/>
      </w:pPr>
      <w:r>
        <w:rPr>
          <w:rFonts w:ascii="Arial" w:hAnsi="Arial"/>
          <w:color w:val="000000"/>
          <w:sz w:val="22"/>
        </w:rPr>
        <w:t>Deployment Missions — Scale solutions across geographies and stakeholder segments</w:t>
      </w:r>
    </w:p>
    <w:p>
      <w:pPr>
        <w:pStyle w:val="ListBullet"/>
        <w:spacing w:after="120"/>
      </w:pPr>
      <w:r>
        <w:rPr>
          <w:rFonts w:ascii="Arial" w:hAnsi="Arial"/>
          <w:color w:val="000000"/>
          <w:sz w:val="22"/>
        </w:rPr>
        <w:t>Evolution Missions — Combine multiple AINEs into higher-order organisms</w:t>
      </w:r>
    </w:p>
    <w:p>
      <w:pPr>
        <w:pStyle w:val="ListBullet"/>
        <w:spacing w:after="120"/>
      </w:pPr>
      <w:r>
        <w:rPr>
          <w:rFonts w:ascii="Arial" w:hAnsi="Arial"/>
          <w:color w:val="000000"/>
          <w:sz w:val="22"/>
        </w:rPr>
        <w:t>Optimization Missions — Improve performance metrics for existing AINEs</w:t>
      </w:r>
    </w:p>
    <w:p>
      <w:pPr>
        <w:pStyle w:val="ListBullet"/>
        <w:spacing w:after="120"/>
      </w:pPr>
      <w:r>
        <w:rPr>
          <w:rFonts w:ascii="Arial" w:hAnsi="Arial"/>
          <w:color w:val="000000"/>
          <w:sz w:val="22"/>
        </w:rPr>
        <w:t>Governance Missions — Ensure compliance and audit trail integrity</w:t>
      </w:r>
    </w:p>
    <w:p>
      <w:pPr>
        <w:pStyle w:val="ListBullet"/>
        <w:spacing w:after="120"/>
      </w:pPr>
      <w:r>
        <w:rPr>
          <w:rFonts w:ascii="Arial" w:hAnsi="Arial"/>
          <w:color w:val="000000"/>
          <w:sz w:val="22"/>
        </w:rPr>
        <w:t>Integration Missions — Create protocols between AINEs to enable collaboration</w:t>
      </w:r>
    </w:p>
    <w:p>
      <w:pPr>
        <w:pStyle w:val="Heading2"/>
        <w:spacing w:before="280" w:after="200" w:lineRule="exact" w:line="540"/>
      </w:pPr>
      <w:r>
        <w:rPr>
          <w:rFonts w:ascii="Arial" w:hAnsi="Arial"/>
          <w:b/>
          <w:color w:val="1A1A2E"/>
          <w:sz w:val="44"/>
        </w:rPr>
        <w:t>Gameboard Categories</w:t>
      </w:r>
    </w:p>
    <w:p>
      <w:pPr>
        <w:pStyle w:val="ListBullet"/>
        <w:spacing w:after="120"/>
      </w:pPr>
      <w:r>
        <w:rPr>
          <w:rFonts w:ascii="Arial" w:hAnsi="Arial"/>
          <w:color w:val="000000"/>
          <w:sz w:val="22"/>
        </w:rPr>
        <w:t>Entropy Gameboards — Focused on specific entropy dimensions (chokepoint, bottleneck, pain point)</w:t>
      </w:r>
    </w:p>
    <w:p>
      <w:pPr>
        <w:pStyle w:val="ListBullet"/>
        <w:spacing w:after="120"/>
      </w:pPr>
      <w:r>
        <w:rPr>
          <w:rFonts w:ascii="Arial" w:hAnsi="Arial"/>
          <w:color w:val="000000"/>
          <w:sz w:val="22"/>
        </w:rPr>
        <w:t>Bottleneck Gameboards — Where systems slow down and efficiency decreases</w:t>
      </w:r>
    </w:p>
    <w:p>
      <w:pPr>
        <w:pStyle w:val="ListBullet"/>
        <w:spacing w:after="120"/>
      </w:pPr>
      <w:r>
        <w:rPr>
          <w:rFonts w:ascii="Arial" w:hAnsi="Arial"/>
          <w:color w:val="000000"/>
          <w:sz w:val="22"/>
        </w:rPr>
        <w:t>Pain Point Gameboards — Where stakeholders experience friction and frustration</w:t>
      </w:r>
    </w:p>
    <w:p>
      <w:pPr>
        <w:pStyle w:val="ListBullet"/>
        <w:spacing w:after="120"/>
      </w:pPr>
      <w:r>
        <w:rPr>
          <w:rFonts w:ascii="Arial" w:hAnsi="Arial"/>
          <w:color w:val="000000"/>
          <w:sz w:val="22"/>
        </w:rPr>
        <w:t>Analogous System Gameboards — Where similar problems manifest across different industries</w:t>
      </w:r>
    </w:p>
    <w:p>
      <w:pPr>
        <w:pStyle w:val="ListBullet"/>
        <w:spacing w:after="120"/>
      </w:pPr>
      <w:r>
        <w:rPr>
          <w:rFonts w:ascii="Arial" w:hAnsi="Arial"/>
          <w:color w:val="000000"/>
          <w:sz w:val="22"/>
        </w:rPr>
        <w:t>Ecosystem Gameboards — Where multiple AINEs coordinate on shared objectives</w:t>
      </w:r>
    </w:p>
    <w:p>
      <w:pPr>
        <w:pStyle w:val="ListBullet"/>
        <w:spacing w:after="120"/>
      </w:pPr>
      <w:r>
        <w:rPr>
          <w:rFonts w:ascii="Arial" w:hAnsi="Arial"/>
          <w:color w:val="000000"/>
          <w:sz w:val="22"/>
        </w:rPr>
        <w:t>Marketplace Gameboards — Where value exchange occurs across stakeholders</w:t>
      </w:r>
    </w:p>
    <w:p>
      <w:pPr>
        <w:pStyle w:val="ListBullet"/>
        <w:spacing w:after="120"/>
      </w:pPr>
      <w:r>
        <w:rPr>
          <w:rFonts w:ascii="Arial" w:hAnsi="Arial"/>
          <w:color w:val="000000"/>
          <w:sz w:val="22"/>
        </w:rPr>
        <w:t>Innovation Gameboards — Where new capabilities and products are discovered</w:t>
      </w:r>
    </w:p>
    <w:p>
      <w:pPr>
        <w:pStyle w:val="ListBullet"/>
        <w:spacing w:after="120"/>
      </w:pPr>
      <w:r>
        <w:rPr>
          <w:rFonts w:ascii="Arial" w:hAnsi="Arial"/>
          <w:color w:val="000000"/>
          <w:sz w:val="22"/>
        </w:rPr>
        <w:t>Governance Gameboards — Where policy and compliance questions are resolved</w:t>
      </w:r>
    </w:p>
    <w:p>
      <w:pPr>
        <w:pStyle w:val="ListBullet"/>
        <w:spacing w:after="120"/>
      </w:pPr>
      <w:r>
        <w:rPr>
          <w:rFonts w:ascii="Arial" w:hAnsi="Arial"/>
          <w:color w:val="000000"/>
          <w:sz w:val="22"/>
        </w:rPr>
        <w:t>Infrastructure Gameboards — Where foundational services are deployed</w:t>
      </w:r>
    </w:p>
    <w:p>
      <w:pPr>
        <w:pStyle w:val="Heading2"/>
        <w:spacing w:before="280" w:after="200" w:lineRule="exact" w:line="540"/>
      </w:pPr>
      <w:r>
        <w:rPr>
          <w:rFonts w:ascii="Arial" w:hAnsi="Arial"/>
          <w:b/>
          <w:color w:val="1A1A2E"/>
          <w:sz w:val="44"/>
        </w:rPr>
        <w:t>SkillTrek Integration</w:t>
      </w:r>
    </w:p>
    <w:p>
      <w:pPr>
        <w:spacing w:after="200" w:lineRule="exact" w:line="260"/>
      </w:pPr>
      <w:r>
        <w:rPr>
          <w:rFonts w:ascii="Arial" w:hAnsi="Arial"/>
          <w:color w:val="000000"/>
          <w:sz w:val="22"/>
        </w:rPr>
        <w:t>Each gameboard connects to SkillTrek's learning programs — industry expert-led programs that make every trade secret and hidden knowledge accessible. As teams work on gameboards, they generate learning content. As learners progress through programs, they become available for gameboard missions. This creates a continuous flywheel of learning → capability → contribution → learning.</w:t>
      </w:r>
    </w:p>
    <w:p>
      <w:pPr>
        <w:pStyle w:val="Heading2"/>
        <w:spacing w:before="280" w:after="200" w:lineRule="exact" w:line="540"/>
      </w:pPr>
      <w:r>
        <w:rPr>
          <w:rFonts w:ascii="Arial" w:hAnsi="Arial"/>
          <w:b/>
          <w:color w:val="1A1A2E"/>
          <w:sz w:val="44"/>
        </w:rPr>
        <w:t>Scoring and Advancement</w:t>
      </w:r>
    </w:p>
    <w:p>
      <w:pPr>
        <w:spacing w:after="200" w:lineRule="exact" w:line="260"/>
      </w:pPr>
      <w:r>
        <w:rPr>
          <w:rFonts w:ascii="Arial" w:hAnsi="Arial"/>
          <w:color w:val="000000"/>
          <w:sz w:val="22"/>
        </w:rPr>
        <w:t>Participants earn reputation, equity stakes, and governance rights through gameboard contributions. High performers gain access to higher-complexity gameboards. Consistent performers become team leads. Team leads become species governors. This creates a meritocratic advancement path that is transparent and auditable.</w:t>
      </w:r>
    </w:p>
    <w:p>
      <w:r>
        <w:br w:type="page"/>
      </w:r>
    </w:p>
    <w:p>
      <w:pPr>
        <w:pStyle w:val="Heading1"/>
        <w:spacing w:before="360" w:after="240" w:lineRule="exact" w:line="680"/>
      </w:pPr>
      <w:r>
        <w:rPr>
          <w:rFonts w:ascii="Arial" w:hAnsi="Arial"/>
          <w:b/>
          <w:color w:val="1A1A2E"/>
          <w:sz w:val="56"/>
        </w:rPr>
        <w:t>8. MARKETPLACES AND ECONOMIC ENGINES</w:t>
      </w:r>
    </w:p>
    <w:p>
      <w:pPr>
        <w:spacing w:after="200" w:lineRule="exact" w:line="260"/>
      </w:pPr>
      <w:r>
        <w:rPr>
          <w:rFonts w:ascii="Arial" w:hAnsi="Arial"/>
          <w:color w:val="000000"/>
          <w:sz w:val="22"/>
        </w:rPr>
        <w:t>Aureya's economic engine operates through seven distinct marketplaces, each enabling different value exchanges across the ecosystem.</w:t>
      </w:r>
    </w:p>
    <w:p>
      <w:pPr>
        <w:pStyle w:val="Heading2"/>
        <w:spacing w:before="280" w:after="200" w:lineRule="exact" w:line="540"/>
      </w:pPr>
      <w:r>
        <w:rPr>
          <w:rFonts w:ascii="Arial" w:hAnsi="Arial"/>
          <w:b/>
          <w:color w:val="1A1A2E"/>
          <w:sz w:val="44"/>
        </w:rPr>
        <w:t>The Seven Marketplace Variants</w:t>
      </w:r>
    </w:p>
    <w:p>
      <w:pPr>
        <w:pStyle w:val="Heading3"/>
        <w:spacing w:before="240" w:after="160"/>
      </w:pPr>
      <w:r>
        <w:rPr>
          <w:rFonts w:ascii="Arial" w:hAnsi="Arial"/>
          <w:b/>
          <w:color w:val="533483"/>
          <w:sz w:val="32"/>
        </w:rPr>
        <w:t>AINE Marketplace</w:t>
      </w:r>
    </w:p>
    <w:p>
      <w:pPr>
        <w:spacing w:after="200" w:lineRule="exact" w:line="260"/>
      </w:pPr>
      <w:r>
        <w:rPr>
          <w:rFonts w:ascii="Arial" w:hAnsi="Arial"/>
          <w:color w:val="000000"/>
          <w:sz w:val="22"/>
        </w:rPr>
        <w:t>Buy, sell, deploy, or license AI-Native Enterprises. Communities acquire proven solutions. Successful AINEs expand geographically.</w:t>
      </w:r>
    </w:p>
    <w:p>
      <w:pPr>
        <w:pStyle w:val="Heading3"/>
        <w:spacing w:before="240" w:after="160"/>
      </w:pPr>
      <w:r>
        <w:rPr>
          <w:rFonts w:ascii="Arial" w:hAnsi="Arial"/>
          <w:b/>
          <w:color w:val="533483"/>
          <w:sz w:val="32"/>
        </w:rPr>
        <w:t>Knowledge Marketplace</w:t>
      </w:r>
    </w:p>
    <w:p>
      <w:pPr>
        <w:spacing w:after="200" w:lineRule="exact" w:line="260"/>
      </w:pPr>
      <w:r>
        <w:rPr>
          <w:rFonts w:ascii="Arial" w:hAnsi="Arial"/>
          <w:color w:val="000000"/>
          <w:sz w:val="22"/>
        </w:rPr>
        <w:t>Trade secrets, expertise documentation, learning content. Industry experts monetize knowledge. Communities access proprietary methodologies.</w:t>
      </w:r>
    </w:p>
    <w:p>
      <w:pPr>
        <w:pStyle w:val="Heading3"/>
        <w:spacing w:before="240" w:after="160"/>
      </w:pPr>
      <w:r>
        <w:rPr>
          <w:rFonts w:ascii="Arial" w:hAnsi="Arial"/>
          <w:b/>
          <w:color w:val="533483"/>
          <w:sz w:val="32"/>
        </w:rPr>
        <w:t>Talent Marketplace</w:t>
      </w:r>
    </w:p>
    <w:p>
      <w:pPr>
        <w:spacing w:after="200" w:lineRule="exact" w:line="260"/>
      </w:pPr>
      <w:r>
        <w:rPr>
          <w:rFonts w:ascii="Arial" w:hAnsi="Arial"/>
          <w:color w:val="000000"/>
          <w:sz w:val="22"/>
        </w:rPr>
        <w:t>Novaterra-powered talent deployment. Professionals access global opportunities. Organizations acquire talent across borders and cultures.</w:t>
      </w:r>
    </w:p>
    <w:p>
      <w:pPr>
        <w:pStyle w:val="Heading3"/>
        <w:spacing w:before="240" w:after="160"/>
      </w:pPr>
      <w:r>
        <w:rPr>
          <w:rFonts w:ascii="Arial" w:hAnsi="Arial"/>
          <w:b/>
          <w:color w:val="533483"/>
          <w:sz w:val="32"/>
        </w:rPr>
        <w:t>Infrastructure Marketplace</w:t>
      </w:r>
    </w:p>
    <w:p>
      <w:pPr>
        <w:spacing w:after="200" w:lineRule="exact" w:line="260"/>
      </w:pPr>
      <w:r>
        <w:rPr>
          <w:rFonts w:ascii="Arial" w:hAnsi="Arial"/>
          <w:color w:val="000000"/>
          <w:sz w:val="22"/>
        </w:rPr>
        <w:t>Compute, storage, network resources. Communities share infrastructure. Onestop Hardware Vaults are pooled resources.</w:t>
      </w:r>
    </w:p>
    <w:p>
      <w:pPr>
        <w:pStyle w:val="Heading3"/>
        <w:spacing w:before="240" w:after="160"/>
      </w:pPr>
      <w:r>
        <w:rPr>
          <w:rFonts w:ascii="Arial" w:hAnsi="Arial"/>
          <w:b/>
          <w:color w:val="533483"/>
          <w:sz w:val="32"/>
        </w:rPr>
        <w:t>Data Marketplace</w:t>
      </w:r>
    </w:p>
    <w:p>
      <w:pPr>
        <w:spacing w:after="200" w:lineRule="exact" w:line="260"/>
      </w:pPr>
      <w:r>
        <w:rPr>
          <w:rFonts w:ascii="Arial" w:hAnsi="Arial"/>
          <w:color w:val="000000"/>
          <w:sz w:val="22"/>
        </w:rPr>
        <w:t>Sovereign data exchange. Communities share aggregated, anonymized datasets. Researchers access population-scale signals.</w:t>
      </w:r>
    </w:p>
    <w:p>
      <w:pPr>
        <w:pStyle w:val="Heading3"/>
        <w:spacing w:before="240" w:after="160"/>
      </w:pPr>
      <w:r>
        <w:rPr>
          <w:rFonts w:ascii="Arial" w:hAnsi="Arial"/>
          <w:b/>
          <w:color w:val="533483"/>
          <w:sz w:val="32"/>
        </w:rPr>
        <w:t>Capital Marketplace</w:t>
      </w:r>
    </w:p>
    <w:p>
      <w:pPr>
        <w:spacing w:after="200" w:lineRule="exact" w:line="260"/>
      </w:pPr>
      <w:r>
        <w:rPr>
          <w:rFonts w:ascii="Arial" w:hAnsi="Arial"/>
          <w:color w:val="000000"/>
          <w:sz w:val="22"/>
        </w:rPr>
        <w:t>Asset-backed trading, tokenized instruments, cross-border liquidity. Communities access financing. Investors acquire yield-generating assets.</w:t>
      </w:r>
    </w:p>
    <w:p>
      <w:pPr>
        <w:pStyle w:val="Heading3"/>
        <w:spacing w:before="240" w:after="160"/>
      </w:pPr>
      <w:r>
        <w:rPr>
          <w:rFonts w:ascii="Arial" w:hAnsi="Arial"/>
          <w:b/>
          <w:color w:val="533483"/>
          <w:sz w:val="32"/>
        </w:rPr>
        <w:t>Service Marketplace</w:t>
      </w:r>
    </w:p>
    <w:p>
      <w:pPr>
        <w:spacing w:after="200" w:lineRule="exact" w:line="260"/>
      </w:pPr>
      <w:r>
        <w:rPr>
          <w:rFonts w:ascii="Arial" w:hAnsi="Arial"/>
          <w:color w:val="000000"/>
          <w:sz w:val="22"/>
        </w:rPr>
        <w:t>Professional services across verticals. Auditors, consultants, engineers offer specialized services. Organizations scale capabilities without permanent hiring.</w:t>
      </w:r>
    </w:p>
    <w:p>
      <w:pPr>
        <w:pStyle w:val="Heading2"/>
        <w:spacing w:before="280" w:after="200" w:lineRule="exact" w:line="540"/>
      </w:pPr>
      <w:r>
        <w:rPr>
          <w:rFonts w:ascii="Arial" w:hAnsi="Arial"/>
          <w:b/>
          <w:color w:val="1A1A2E"/>
          <w:sz w:val="44"/>
        </w:rPr>
        <w:t>Asset-Backed Trading</w:t>
      </w:r>
    </w:p>
    <w:p>
      <w:pPr>
        <w:spacing w:after="200" w:lineRule="exact" w:line="260"/>
      </w:pPr>
      <w:r>
        <w:rPr>
          <w:rFonts w:ascii="Arial" w:hAnsi="Arial"/>
          <w:color w:val="000000"/>
          <w:sz w:val="22"/>
        </w:rPr>
        <w:t>Real-world assets are tokenized and traded across the Arisea blockchain. Commodity-backed tokens create price stability. Trade finance notes enable rapid settlement. RWA tokenization makes illiquid assets liquid. A Tamil community's agricultural produce becomes tokenized commodity futures. An African entrepreneur's real estate becomes tradeable equity. Global investors access emerging market yields. Local communities access capital without surrendering control.</w:t>
      </w:r>
    </w:p>
    <w:p>
      <w:pPr>
        <w:pStyle w:val="Heading2"/>
        <w:spacing w:before="280" w:after="200" w:lineRule="exact" w:line="540"/>
      </w:pPr>
      <w:r>
        <w:rPr>
          <w:rFonts w:ascii="Arial" w:hAnsi="Arial"/>
          <w:b/>
          <w:color w:val="1A1A2E"/>
          <w:sz w:val="44"/>
        </w:rPr>
        <w:t>Financial Engineering Structures</w:t>
      </w:r>
    </w:p>
    <w:p>
      <w:pPr>
        <w:spacing w:after="200" w:lineRule="exact" w:line="260"/>
      </w:pPr>
      <w:r>
        <w:rPr>
          <w:rFonts w:ascii="Arial" w:hAnsi="Arial"/>
          <w:color w:val="000000"/>
          <w:sz w:val="22"/>
        </w:rPr>
        <w:t>Aureya deploys sophisticated financial engineering to enable global capital flows. Special Purpose Vehicles (SPVs) aggregate local AINEs into investable vehicles. Trusts protect community assets. Vaults hold reserves. Cross-border liquidity pools connect Dubai, Singapore, Zurich. Multi-currency arbitrage captures rate differentials. Tax optimization structures respect jurisdictional constraints while maximizing capital efficiency.</w:t>
      </w:r>
    </w:p>
    <w:p>
      <w:pPr>
        <w:pStyle w:val="Heading2"/>
        <w:spacing w:before="280" w:after="200" w:lineRule="exact" w:line="540"/>
      </w:pPr>
      <w:r>
        <w:rPr>
          <w:rFonts w:ascii="Arial" w:hAnsi="Arial"/>
          <w:b/>
          <w:color w:val="1A1A2E"/>
          <w:sz w:val="44"/>
        </w:rPr>
        <w:t>GCC 3.0 Model</w:t>
      </w:r>
    </w:p>
    <w:p>
      <w:pPr>
        <w:spacing w:after="200" w:lineRule="exact" w:line="260"/>
      </w:pPr>
      <w:r>
        <w:rPr>
          <w:rFonts w:ascii="Arial" w:hAnsi="Arial"/>
          <w:color w:val="000000"/>
          <w:sz w:val="22"/>
        </w:rPr>
        <w:t>Global Capability Centers powered by Novaterra redefine geographic arbitrage. Traditional GCCs take 18-24 months to establish with massive capital requirements. GCC 3.0 stands up in 3-6 months with capital-light, talent-first deployment. Promoters identify top talent. Aureya provides infrastructure. Talent becomes equity holders. Centers operate autonomously but coordinate globally. This model scales across emerging markets at unprecedented speed.</w:t>
      </w:r>
    </w:p>
    <w:p>
      <w:r>
        <w:br w:type="page"/>
      </w:r>
    </w:p>
    <w:p>
      <w:pPr>
        <w:pStyle w:val="Heading1"/>
        <w:spacing w:before="360" w:after="240" w:lineRule="exact" w:line="680"/>
      </w:pPr>
      <w:r>
        <w:rPr>
          <w:rFonts w:ascii="Arial" w:hAnsi="Arial"/>
          <w:b/>
          <w:color w:val="1A1A2E"/>
          <w:sz w:val="56"/>
        </w:rPr>
        <w:t>9. INTER-AINE PROTOCOLS</w:t>
      </w:r>
    </w:p>
    <w:p>
      <w:pPr>
        <w:spacing w:after="200" w:lineRule="exact" w:line="260"/>
      </w:pPr>
      <w:r>
        <w:rPr>
          <w:rFonts w:ascii="Arial" w:hAnsi="Arial"/>
          <w:color w:val="000000"/>
          <w:sz w:val="22"/>
        </w:rPr>
        <w:t>Communication, collaboration, and transaction between AINEs are governed by explicit protocols. These protocols enable coordination without central authority.</w:t>
      </w:r>
    </w:p>
    <w:p>
      <w:pPr>
        <w:pStyle w:val="Heading2"/>
        <w:spacing w:before="280" w:after="200" w:lineRule="exact" w:line="540"/>
      </w:pPr>
      <w:r>
        <w:rPr>
          <w:rFonts w:ascii="Arial" w:hAnsi="Arial"/>
          <w:b/>
          <w:color w:val="1A1A2E"/>
          <w:sz w:val="44"/>
        </w:rPr>
        <w:t>Discovery Protocol</w:t>
      </w:r>
    </w:p>
    <w:p>
      <w:pPr>
        <w:spacing w:after="200" w:lineRule="exact" w:line="260"/>
      </w:pPr>
      <w:r>
        <w:rPr>
          <w:rFonts w:ascii="Arial" w:hAnsi="Arial"/>
          <w:color w:val="000000"/>
          <w:sz w:val="22"/>
        </w:rPr>
        <w:t>How AINEs find each other based on capability, domain, and geographic proximity. The Knowledge Graph publishes AINE capabilities in real-time. AINEs query the graph for potential collaborators. Discovery is automatic — no manual relationship building required.</w:t>
      </w:r>
    </w:p>
    <w:p>
      <w:pPr>
        <w:pStyle w:val="Heading2"/>
        <w:spacing w:before="280" w:after="200" w:lineRule="exact" w:line="540"/>
      </w:pPr>
      <w:r>
        <w:rPr>
          <w:rFonts w:ascii="Arial" w:hAnsi="Arial"/>
          <w:b/>
          <w:color w:val="1A1A2E"/>
          <w:sz w:val="44"/>
        </w:rPr>
        <w:t>Negotiation Protocol</w:t>
      </w:r>
    </w:p>
    <w:p>
      <w:pPr>
        <w:spacing w:after="200" w:lineRule="exact" w:line="260"/>
      </w:pPr>
      <w:r>
        <w:rPr>
          <w:rFonts w:ascii="Arial" w:hAnsi="Arial"/>
          <w:color w:val="000000"/>
          <w:sz w:val="22"/>
        </w:rPr>
        <w:t>Standardized contract formation between AINEs. Terms are templated. SLAs are standard. Pricing is transparent. Governance roles are predefined. Two AINEs can negotiate a collaboration agreement in minutes rather than months.</w:t>
      </w:r>
    </w:p>
    <w:p>
      <w:pPr>
        <w:pStyle w:val="Heading2"/>
        <w:spacing w:before="280" w:after="200" w:lineRule="exact" w:line="540"/>
      </w:pPr>
      <w:r>
        <w:rPr>
          <w:rFonts w:ascii="Arial" w:hAnsi="Arial"/>
          <w:b/>
          <w:color w:val="1A1A2E"/>
          <w:sz w:val="44"/>
        </w:rPr>
        <w:t>Execution Protocol</w:t>
      </w:r>
    </w:p>
    <w:p>
      <w:pPr>
        <w:spacing w:after="200" w:lineRule="exact" w:line="260"/>
      </w:pPr>
      <w:r>
        <w:rPr>
          <w:rFonts w:ascii="Arial" w:hAnsi="Arial"/>
          <w:color w:val="000000"/>
          <w:sz w:val="22"/>
        </w:rPr>
        <w:t>How AINEs collaborate on shared missions. Task delegation is explicit. Resource sharing is logged. Output verification is automated. At completion, both parties have verified each other's contribution. Payment triggers automatically.</w:t>
      </w:r>
    </w:p>
    <w:p>
      <w:pPr>
        <w:pStyle w:val="Heading2"/>
        <w:spacing w:before="280" w:after="200" w:lineRule="exact" w:line="540"/>
      </w:pPr>
      <w:r>
        <w:rPr>
          <w:rFonts w:ascii="Arial" w:hAnsi="Arial"/>
          <w:b/>
          <w:color w:val="1A1A2E"/>
          <w:sz w:val="44"/>
        </w:rPr>
        <w:t>Settlement Protocol</w:t>
      </w:r>
    </w:p>
    <w:p>
      <w:pPr>
        <w:spacing w:after="200" w:lineRule="exact" w:line="260"/>
      </w:pPr>
      <w:r>
        <w:rPr>
          <w:rFonts w:ascii="Arial" w:hAnsi="Arial"/>
          <w:color w:val="000000"/>
          <w:sz w:val="22"/>
        </w:rPr>
        <w:t>Financial settlement between AINEs across multi-currency, multi-jurisdiction, asset-backed environments. Settlements are atomic. No partial payment states. No dispute about who paid what. The blockchain records everything.</w:t>
      </w:r>
    </w:p>
    <w:p>
      <w:pPr>
        <w:pStyle w:val="Heading2"/>
        <w:spacing w:before="280" w:after="200" w:lineRule="exact" w:line="540"/>
      </w:pPr>
      <w:r>
        <w:rPr>
          <w:rFonts w:ascii="Arial" w:hAnsi="Arial"/>
          <w:b/>
          <w:color w:val="1A1A2E"/>
          <w:sz w:val="44"/>
        </w:rPr>
        <w:t>Evolution Protocol</w:t>
      </w:r>
    </w:p>
    <w:p>
      <w:pPr>
        <w:spacing w:after="200" w:lineRule="exact" w:line="260"/>
      </w:pPr>
      <w:r>
        <w:rPr>
          <w:rFonts w:ascii="Arial" w:hAnsi="Arial"/>
          <w:color w:val="000000"/>
          <w:sz w:val="22"/>
        </w:rPr>
        <w:t>How AINEs decide to merge, form coalitions, or create species. Metrics are established. Performance is evaluated. Stakeholders vote. Mutations are executed through AINEF. The process is transparent and auditable.</w:t>
      </w:r>
    </w:p>
    <w:p>
      <w:pPr>
        <w:pStyle w:val="Heading2"/>
        <w:spacing w:before="280" w:after="200" w:lineRule="exact" w:line="540"/>
      </w:pPr>
      <w:r>
        <w:rPr>
          <w:rFonts w:ascii="Arial" w:hAnsi="Arial"/>
          <w:b/>
          <w:color w:val="1A1A2E"/>
          <w:sz w:val="44"/>
        </w:rPr>
        <w:t>Audit Protocol</w:t>
      </w:r>
    </w:p>
    <w:p>
      <w:pPr>
        <w:spacing w:after="200" w:lineRule="exact" w:line="260"/>
      </w:pPr>
      <w:r>
        <w:rPr>
          <w:rFonts w:ascii="Arial" w:hAnsi="Arial"/>
          <w:color w:val="000000"/>
          <w:sz w:val="22"/>
        </w:rPr>
        <w:t>Every inter-AINE transaction is logged immutably in E-AEGL. The log is cryptographically secured. Regulatory auditors can verify any transaction without accessing AINE systems. This enables regulatory compliance across 250 countries simultaneously.</w:t>
      </w:r>
    </w:p>
    <w:p>
      <w:pPr>
        <w:pStyle w:val="Heading2"/>
        <w:spacing w:before="280" w:after="200" w:lineRule="exact" w:line="540"/>
      </w:pPr>
      <w:r>
        <w:rPr>
          <w:rFonts w:ascii="Arial" w:hAnsi="Arial"/>
          <w:b/>
          <w:color w:val="1A1A2E"/>
          <w:sz w:val="44"/>
        </w:rPr>
        <w:t>Conflict Resolution Protocol</w:t>
      </w:r>
    </w:p>
    <w:p>
      <w:pPr>
        <w:spacing w:after="200" w:lineRule="exact" w:line="260"/>
      </w:pPr>
      <w:r>
        <w:rPr>
          <w:rFonts w:ascii="Arial" w:hAnsi="Arial"/>
          <w:color w:val="000000"/>
          <w:sz w:val="22"/>
        </w:rPr>
        <w:t>Disputes between AINEs are resolved through escalation: Peer mediation (AINEs negotiate directly) → Coalition arbitration (neutral coalition mediates) → E-AEGL adjudication (governance engine decides) → AINEFF constitutional review (final appeal to constitutional layer). Most disputes resolve at the peer level. Escalation is rare.</w:t>
      </w:r>
    </w:p>
    <w:p>
      <w:r>
        <w:br w:type="page"/>
      </w:r>
    </w:p>
    <w:p>
      <w:pPr>
        <w:pStyle w:val="Heading1"/>
        <w:spacing w:before="360" w:after="240" w:lineRule="exact" w:line="680"/>
      </w:pPr>
      <w:r>
        <w:rPr>
          <w:rFonts w:ascii="Arial" w:hAnsi="Arial"/>
          <w:b/>
          <w:color w:val="1A1A2E"/>
          <w:sz w:val="56"/>
        </w:rPr>
        <w:t>10. KNOWLEDGE GRAPH AND DEPENDENCY MANAGEMENT</w:t>
      </w:r>
    </w:p>
    <w:p>
      <w:pPr>
        <w:spacing w:after="200" w:lineRule="exact" w:line="260"/>
      </w:pPr>
      <w:r>
        <w:rPr>
          <w:rFonts w:ascii="Arial" w:hAnsi="Arial"/>
          <w:color w:val="000000"/>
          <w:sz w:val="22"/>
        </w:rPr>
        <w:t>The Knowledge Graph is the unified nervous system connecting every discussion, project, system, and protocol. It enables coordination across planetary complexity.</w:t>
      </w:r>
    </w:p>
    <w:p>
      <w:pPr>
        <w:pStyle w:val="Heading2"/>
        <w:spacing w:before="280" w:after="200" w:lineRule="exact" w:line="540"/>
      </w:pPr>
      <w:r>
        <w:rPr>
          <w:rFonts w:ascii="Arial" w:hAnsi="Arial"/>
          <w:b/>
          <w:color w:val="1A1A2E"/>
          <w:sz w:val="44"/>
        </w:rPr>
        <w:t>Universal Knowledge Graph</w:t>
      </w:r>
    </w:p>
    <w:p>
      <w:pPr>
        <w:spacing w:after="200" w:lineRule="exact" w:line="260"/>
      </w:pPr>
      <w:r>
        <w:rPr>
          <w:rFonts w:ascii="Arial" w:hAnsi="Arial"/>
          <w:color w:val="000000"/>
          <w:sz w:val="22"/>
        </w:rPr>
        <w:t>Every entity, code, document, conversation, protocol, and relationship is mapped into a single graph structure. The graph contains 100,000+ industry codes with 8 entropy dimensions; 16 classification systems; 250 countries with regulatory frameworks; 12+ entities with capability maps; all AINEs with performance metrics; all relationships and dependencies. The graph is queryable, traversable, and updatable in real-time.</w:t>
      </w:r>
    </w:p>
    <w:p>
      <w:pPr>
        <w:pStyle w:val="Heading2"/>
        <w:spacing w:before="280" w:after="200" w:lineRule="exact" w:line="540"/>
      </w:pPr>
      <w:r>
        <w:rPr>
          <w:rFonts w:ascii="Arial" w:hAnsi="Arial"/>
          <w:b/>
          <w:color w:val="1A1A2E"/>
          <w:sz w:val="44"/>
        </w:rPr>
        <w:t>Granularity Spectrum</w:t>
      </w:r>
    </w:p>
    <w:p>
      <w:pPr>
        <w:spacing w:after="200" w:lineRule="exact" w:line="260"/>
      </w:pPr>
      <w:r>
        <w:rPr>
          <w:rFonts w:ascii="Arial" w:hAnsi="Arial"/>
          <w:color w:val="000000"/>
          <w:sz w:val="22"/>
        </w:rPr>
        <w:t>The graph captures entities at every level of abstraction: From civilization-scale concepts (global trade, climate dynamics) down to atomic discussion topics (specific regulatory clause in one jurisdiction). This multi-granularity approach ensures no information is lost, and every question can be answered at the appropriate level of detail.</w:t>
      </w:r>
    </w:p>
    <w:p>
      <w:pPr>
        <w:pStyle w:val="Heading2"/>
        <w:spacing w:before="280" w:after="200" w:lineRule="exact" w:line="540"/>
      </w:pPr>
      <w:r>
        <w:rPr>
          <w:rFonts w:ascii="Arial" w:hAnsi="Arial"/>
          <w:b/>
          <w:color w:val="1A1A2E"/>
          <w:sz w:val="44"/>
        </w:rPr>
        <w:t>Dependency Tracking</w:t>
      </w:r>
    </w:p>
    <w:p>
      <w:pPr>
        <w:spacing w:after="200" w:lineRule="exact" w:line="260"/>
      </w:pPr>
      <w:r>
        <w:rPr>
          <w:rFonts w:ascii="Arial" w:hAnsi="Arial"/>
          <w:color w:val="000000"/>
          <w:sz w:val="22"/>
        </w:rPr>
        <w:t>Every component declares its dependencies. The Dependency Radar continuously analyzes these declarations for circular dependencies. Breaking changes in one component propagate notifications through the entire graph to all dependents. This prevents cascade failures.</w:t>
      </w:r>
    </w:p>
    <w:p>
      <w:pPr>
        <w:pStyle w:val="Heading2"/>
        <w:spacing w:before="280" w:after="200" w:lineRule="exact" w:line="540"/>
      </w:pPr>
      <w:r>
        <w:rPr>
          <w:rFonts w:ascii="Arial" w:hAnsi="Arial"/>
          <w:b/>
          <w:color w:val="1A1A2E"/>
          <w:sz w:val="44"/>
        </w:rPr>
        <w:t>Cross-Reference Matrix</w:t>
      </w:r>
    </w:p>
    <w:p>
      <w:pPr>
        <w:spacing w:after="200" w:lineRule="exact" w:line="260"/>
      </w:pPr>
      <w:r>
        <w:rPr>
          <w:rFonts w:ascii="Arial" w:hAnsi="Arial"/>
          <w:color w:val="000000"/>
          <w:sz w:val="22"/>
        </w:rPr>
        <w:t>The graph maintains bidirectional links between classification systems (NAICS ↔ SIC ↔ ISIC ↔ NACE ↔ HS), entities (AINEFF ↔ Frankmax ↔ Levelupmax), and documents (all 7 repositories). A user researching automotive logistics instantly sees: related codes in 5 classification systems, relevant AINEs, applicable documents across all repos, regulatory requirements, and identified entropy dimensions.</w:t>
      </w:r>
    </w:p>
    <w:p>
      <w:pPr>
        <w:pStyle w:val="Heading2"/>
        <w:spacing w:before="280" w:after="200" w:lineRule="exact" w:line="540"/>
      </w:pPr>
      <w:r>
        <w:rPr>
          <w:rFonts w:ascii="Arial" w:hAnsi="Arial"/>
          <w:b/>
          <w:color w:val="1A1A2E"/>
          <w:sz w:val="44"/>
        </w:rPr>
        <w:t>Evolution Tracking</w:t>
      </w:r>
    </w:p>
    <w:p>
      <w:pPr>
        <w:spacing w:after="200" w:lineRule="exact" w:line="260"/>
      </w:pPr>
      <w:r>
        <w:rPr>
          <w:rFonts w:ascii="Arial" w:hAnsi="Arial"/>
          <w:color w:val="000000"/>
          <w:sz w:val="22"/>
        </w:rPr>
        <w:t>The graph records how concepts, entities, and systems evolve over time. Version history is immutable. Rollback is possible. This creates institutional memory that persists beyond any individual person or organization. The graph becomes increasingly valuable as it grows — network effects create a moat that becomes harder to compete with.</w:t>
      </w:r>
    </w:p>
    <w:p>
      <w:r>
        <w:br w:type="page"/>
      </w:r>
    </w:p>
    <w:p>
      <w:pPr>
        <w:pStyle w:val="Heading1"/>
        <w:spacing w:before="360" w:after="240" w:lineRule="exact" w:line="680"/>
      </w:pPr>
      <w:r>
        <w:rPr>
          <w:rFonts w:ascii="Arial" w:hAnsi="Arial"/>
          <w:b/>
          <w:color w:val="1A1A2E"/>
          <w:sz w:val="56"/>
        </w:rPr>
        <w:t>11. OBSERVABILITY AND PLANETARY DASHBOARDS</w:t>
      </w:r>
    </w:p>
    <w:p>
      <w:pPr>
        <w:spacing w:after="200" w:lineRule="exact" w:line="260"/>
      </w:pPr>
      <w:r>
        <w:rPr>
          <w:rFonts w:ascii="Arial" w:hAnsi="Arial"/>
          <w:color w:val="000000"/>
          <w:sz w:val="22"/>
        </w:rPr>
        <w:t>Aureya's civilizational-scale system is monitored through a unified observability platform. The Tower Control Dashboard provides real-time visibility into every component.</w:t>
      </w:r>
    </w:p>
    <w:p>
      <w:pPr>
        <w:pStyle w:val="Heading2"/>
        <w:spacing w:before="280" w:after="200" w:lineRule="exact" w:line="540"/>
      </w:pPr>
      <w:r>
        <w:rPr>
          <w:rFonts w:ascii="Arial" w:hAnsi="Arial"/>
          <w:b/>
          <w:color w:val="1A1A2E"/>
          <w:sz w:val="44"/>
        </w:rPr>
        <w:t>Tower Control Dashboard</w:t>
      </w:r>
    </w:p>
    <w:p>
      <w:pPr>
        <w:spacing w:after="200" w:lineRule="exact" w:line="260"/>
      </w:pPr>
      <w:r>
        <w:rPr>
          <w:rFonts w:ascii="Arial" w:hAnsi="Arial"/>
          <w:color w:val="000000"/>
          <w:sz w:val="22"/>
        </w:rPr>
        <w:t>The HTML application with seven tabs: Executive Dashboard (key metrics), Knowledge Graph (entity relationships), AINE Registry (all enterprises), Revenue Orchestration (cash flow analysis), Repo Hub (documentation fabric), Organism Evolution (hierarchical development), Stakeholder Onboarding (new participant integration). The dashboard updates in real-time as systems generate data.</w:t>
      </w:r>
    </w:p>
    <w:p>
      <w:pPr>
        <w:pStyle w:val="Heading2"/>
        <w:spacing w:before="280" w:after="200" w:lineRule="exact" w:line="540"/>
      </w:pPr>
      <w:r>
        <w:rPr>
          <w:rFonts w:ascii="Arial" w:hAnsi="Arial"/>
          <w:b/>
          <w:color w:val="1A1A2E"/>
          <w:sz w:val="44"/>
        </w:rPr>
        <w:t>Real-time Metrics</w:t>
      </w:r>
    </w:p>
    <w:p>
      <w:pPr>
        <w:pStyle w:val="Heading3"/>
        <w:spacing w:before="240" w:after="160"/>
      </w:pPr>
      <w:r>
        <w:rPr>
          <w:rFonts w:ascii="Arial" w:hAnsi="Arial"/>
          <w:b/>
          <w:color w:val="533483"/>
          <w:sz w:val="32"/>
        </w:rPr>
        <w:t>Code Coverage</w:t>
      </w:r>
    </w:p>
    <w:p>
      <w:pPr>
        <w:spacing w:after="200" w:lineRule="exact" w:line="260"/>
      </w:pPr>
      <w:r>
        <w:rPr>
          <w:rFonts w:ascii="Arial" w:hAnsi="Arial"/>
          <w:color w:val="000000"/>
          <w:sz w:val="22"/>
        </w:rPr>
        <w:t>9,994 codes tracked across 16 classification systems</w:t>
      </w:r>
    </w:p>
    <w:p>
      <w:pPr>
        <w:pStyle w:val="Heading3"/>
        <w:spacing w:before="240" w:after="160"/>
      </w:pPr>
      <w:r>
        <w:rPr>
          <w:rFonts w:ascii="Arial" w:hAnsi="Arial"/>
          <w:b/>
          <w:color w:val="533483"/>
          <w:sz w:val="32"/>
        </w:rPr>
        <w:t>Entity Health</w:t>
      </w:r>
    </w:p>
    <w:p>
      <w:pPr>
        <w:spacing w:after="200" w:lineRule="exact" w:line="260"/>
      </w:pPr>
      <w:r>
        <w:rPr>
          <w:rFonts w:ascii="Arial" w:hAnsi="Arial"/>
          <w:color w:val="000000"/>
          <w:sz w:val="22"/>
        </w:rPr>
        <w:t>12 entities with individual health dashboards</w:t>
      </w:r>
    </w:p>
    <w:p>
      <w:pPr>
        <w:pStyle w:val="Heading3"/>
        <w:spacing w:before="240" w:after="160"/>
      </w:pPr>
      <w:r>
        <w:rPr>
          <w:rFonts w:ascii="Arial" w:hAnsi="Arial"/>
          <w:b/>
          <w:color w:val="533483"/>
          <w:sz w:val="32"/>
        </w:rPr>
        <w:t>Platform Surfaces</w:t>
      </w:r>
    </w:p>
    <w:p>
      <w:pPr>
        <w:spacing w:after="200" w:lineRule="exact" w:line="260"/>
      </w:pPr>
      <w:r>
        <w:rPr>
          <w:rFonts w:ascii="Arial" w:hAnsi="Arial"/>
          <w:color w:val="000000"/>
          <w:sz w:val="22"/>
        </w:rPr>
        <w:t>7.2B+ gameboards generated and available</w:t>
      </w:r>
    </w:p>
    <w:p>
      <w:pPr>
        <w:pStyle w:val="Heading3"/>
        <w:spacing w:before="240" w:after="160"/>
      </w:pPr>
      <w:r>
        <w:rPr>
          <w:rFonts w:ascii="Arial" w:hAnsi="Arial"/>
          <w:b/>
          <w:color w:val="533483"/>
          <w:sz w:val="32"/>
        </w:rPr>
        <w:t>Revenue Pipeline</w:t>
      </w:r>
    </w:p>
    <w:p>
      <w:pPr>
        <w:spacing w:after="200" w:lineRule="exact" w:line="260"/>
      </w:pPr>
      <w:r>
        <w:rPr>
          <w:rFonts w:ascii="Arial" w:hAnsi="Arial"/>
          <w:color w:val="000000"/>
          <w:sz w:val="22"/>
        </w:rPr>
        <w:t>Multi-currency cash flows across all AINEs</w:t>
      </w:r>
    </w:p>
    <w:p>
      <w:pPr>
        <w:pStyle w:val="Heading3"/>
        <w:spacing w:before="240" w:after="160"/>
      </w:pPr>
      <w:r>
        <w:rPr>
          <w:rFonts w:ascii="Arial" w:hAnsi="Arial"/>
          <w:b/>
          <w:color w:val="533483"/>
          <w:sz w:val="32"/>
        </w:rPr>
        <w:t>Entropy Dimension Coverage</w:t>
      </w:r>
    </w:p>
    <w:p>
      <w:pPr>
        <w:spacing w:after="200" w:lineRule="exact" w:line="260"/>
      </w:pPr>
      <w:r>
        <w:rPr>
          <w:rFonts w:ascii="Arial" w:hAnsi="Arial"/>
          <w:color w:val="000000"/>
          <w:sz w:val="22"/>
        </w:rPr>
        <w:t>8 dimensions tracked for every code</w:t>
      </w:r>
    </w:p>
    <w:p>
      <w:pPr>
        <w:pStyle w:val="Heading3"/>
        <w:spacing w:before="240" w:after="160"/>
      </w:pPr>
      <w:r>
        <w:rPr>
          <w:rFonts w:ascii="Arial" w:hAnsi="Arial"/>
          <w:b/>
          <w:color w:val="533483"/>
          <w:sz w:val="32"/>
        </w:rPr>
        <w:t>Geographic Distribution</w:t>
      </w:r>
    </w:p>
    <w:p>
      <w:pPr>
        <w:spacing w:after="200" w:lineRule="exact" w:line="260"/>
      </w:pPr>
      <w:r>
        <w:rPr>
          <w:rFonts w:ascii="Arial" w:hAnsi="Arial"/>
          <w:color w:val="000000"/>
          <w:sz w:val="22"/>
        </w:rPr>
        <w:t>Coverage across 250 countries measured continuously</w:t>
      </w:r>
    </w:p>
    <w:p>
      <w:pPr>
        <w:pStyle w:val="Heading3"/>
        <w:spacing w:before="240" w:after="160"/>
      </w:pPr>
      <w:r>
        <w:rPr>
          <w:rFonts w:ascii="Arial" w:hAnsi="Arial"/>
          <w:b/>
          <w:color w:val="533483"/>
          <w:sz w:val="32"/>
        </w:rPr>
        <w:t>AINE Vitality</w:t>
      </w:r>
    </w:p>
    <w:p>
      <w:pPr>
        <w:spacing w:after="200" w:lineRule="exact" w:line="260"/>
      </w:pPr>
      <w:r>
        <w:rPr>
          <w:rFonts w:ascii="Arial" w:hAnsi="Arial"/>
          <w:color w:val="000000"/>
          <w:sz w:val="22"/>
        </w:rPr>
        <w:t>Performance metrics for each AI-Native Enterprise</w:t>
      </w:r>
    </w:p>
    <w:p>
      <w:pPr>
        <w:pStyle w:val="Heading3"/>
        <w:spacing w:before="240" w:after="160"/>
      </w:pPr>
      <w:r>
        <w:rPr>
          <w:rFonts w:ascii="Arial" w:hAnsi="Arial"/>
          <w:b/>
          <w:color w:val="533483"/>
          <w:sz w:val="32"/>
        </w:rPr>
        <w:t>Stakeholder Engagement</w:t>
      </w:r>
    </w:p>
    <w:p>
      <w:pPr>
        <w:spacing w:after="200" w:lineRule="exact" w:line="260"/>
      </w:pPr>
      <w:r>
        <w:rPr>
          <w:rFonts w:ascii="Arial" w:hAnsi="Arial"/>
          <w:color w:val="000000"/>
          <w:sz w:val="22"/>
        </w:rPr>
        <w:t>Participation metrics across all populations</w:t>
      </w:r>
    </w:p>
    <w:p>
      <w:pPr>
        <w:pStyle w:val="Heading2"/>
        <w:spacing w:before="280" w:after="200" w:lineRule="exact" w:line="540"/>
      </w:pPr>
      <w:r>
        <w:rPr>
          <w:rFonts w:ascii="Arial" w:hAnsi="Arial"/>
          <w:b/>
          <w:color w:val="1A1A2E"/>
          <w:sz w:val="44"/>
        </w:rPr>
        <w:t>Planetary View</w:t>
      </w:r>
    </w:p>
    <w:p>
      <w:pPr>
        <w:spacing w:after="200" w:lineRule="exact" w:line="260"/>
      </w:pPr>
      <w:r>
        <w:rPr>
          <w:rFonts w:ascii="Arial" w:hAnsi="Arial"/>
          <w:color w:val="000000"/>
          <w:sz w:val="22"/>
        </w:rPr>
        <w:t>A heatmap shows AINE deployment density across 250 countries. Regions with high deployment intensity show in red. Underserved regions are highlighted for expansion. The heatmap updates as new AINEs are deployed. This enables rapid identification of geographic gaps and opportunities.</w:t>
      </w:r>
    </w:p>
    <w:p>
      <w:pPr>
        <w:pStyle w:val="Heading2"/>
        <w:spacing w:before="280" w:after="200" w:lineRule="exact" w:line="540"/>
      </w:pPr>
      <w:r>
        <w:rPr>
          <w:rFonts w:ascii="Arial" w:hAnsi="Arial"/>
          <w:b/>
          <w:color w:val="1A1A2E"/>
          <w:sz w:val="44"/>
        </w:rPr>
        <w:t>Drill-down Capability</w:t>
      </w:r>
    </w:p>
    <w:p>
      <w:pPr>
        <w:spacing w:after="200" w:lineRule="exact" w:line="260"/>
      </w:pPr>
      <w:r>
        <w:rPr>
          <w:rFonts w:ascii="Arial" w:hAnsi="Arial"/>
          <w:color w:val="000000"/>
          <w:sz w:val="22"/>
        </w:rPr>
        <w:t>Navigation from planetary view → country → community → individual AINE → specific entropy dimension. At each level, the user sees different metrics. Planetary view shows aggregate growth. Country view shows competitive landscape. AINE view shows operational metrics. Entropy view shows problem classification and resolution progress.</w:t>
      </w:r>
    </w:p>
    <w:p>
      <w:pPr>
        <w:pStyle w:val="Heading2"/>
        <w:spacing w:before="280" w:after="200" w:lineRule="exact" w:line="540"/>
      </w:pPr>
      <w:r>
        <w:rPr>
          <w:rFonts w:ascii="Arial" w:hAnsi="Arial"/>
          <w:b/>
          <w:color w:val="1A1A2E"/>
          <w:sz w:val="44"/>
        </w:rPr>
        <w:t>Alert System</w:t>
      </w:r>
    </w:p>
    <w:p>
      <w:pPr>
        <w:spacing w:after="200" w:lineRule="exact" w:line="260"/>
      </w:pPr>
      <w:r>
        <w:rPr>
          <w:rFonts w:ascii="Arial" w:hAnsi="Arial"/>
          <w:color w:val="000000"/>
          <w:sz w:val="22"/>
        </w:rPr>
        <w:t>Entropy threshold breaches, dependency failures, governance violations, revenue anomalies — all trigger alerts. Alerts are routed to appropriate handlers. Critical alerts escalate automatically. Resolution is tracked. This prevents critical issues from being missed.</w:t>
      </w:r>
    </w:p>
    <w:p>
      <w:r>
        <w:br w:type="page"/>
      </w:r>
    </w:p>
    <w:p>
      <w:pPr>
        <w:pStyle w:val="Heading1"/>
        <w:spacing w:before="360" w:after="240" w:lineRule="exact" w:line="680"/>
      </w:pPr>
      <w:r>
        <w:rPr>
          <w:rFonts w:ascii="Arial" w:hAnsi="Arial"/>
          <w:b/>
          <w:color w:val="1A1A2E"/>
          <w:sz w:val="56"/>
        </w:rPr>
        <w:t>12. SECURITY AND FAILURE CONTAINMENT</w:t>
      </w:r>
    </w:p>
    <w:p>
      <w:pPr>
        <w:spacing w:after="200" w:lineRule="exact" w:line="260"/>
      </w:pPr>
      <w:r>
        <w:rPr>
          <w:rFonts w:ascii="Arial" w:hAnsi="Arial"/>
          <w:color w:val="000000"/>
          <w:sz w:val="22"/>
        </w:rPr>
        <w:t>Aureya prevents systemic collapse, corruption, and runaway AI behavior through layered security architecture. The system is designed to contain failures at the blast radius boundary — preventing cascade effects.</w:t>
      </w:r>
    </w:p>
    <w:p>
      <w:pPr>
        <w:pStyle w:val="Heading2"/>
        <w:spacing w:before="280" w:after="200" w:lineRule="exact" w:line="540"/>
      </w:pPr>
      <w:r>
        <w:rPr>
          <w:rFonts w:ascii="Arial" w:hAnsi="Arial"/>
          <w:b/>
          <w:color w:val="1A1A2E"/>
          <w:sz w:val="44"/>
        </w:rPr>
        <w:t>Zero-Trust Architecture</w:t>
      </w:r>
    </w:p>
    <w:p>
      <w:pPr>
        <w:spacing w:after="200" w:lineRule="exact" w:line="260"/>
      </w:pPr>
      <w:r>
        <w:rPr>
          <w:rFonts w:ascii="Arial" w:hAnsi="Arial"/>
          <w:color w:val="000000"/>
          <w:sz w:val="22"/>
        </w:rPr>
        <w:t>No AINE trusts another by default. Every interaction is authenticated through cryptographic verification. Every action is authorized based on explicit policy. Trust is earned through demonstrated compliance with protocols. This prevents compromised AINEs from spreading corruption.</w:t>
      </w:r>
    </w:p>
    <w:p>
      <w:pPr>
        <w:pStyle w:val="Heading2"/>
        <w:spacing w:before="280" w:after="200" w:lineRule="exact" w:line="540"/>
      </w:pPr>
      <w:r>
        <w:rPr>
          <w:rFonts w:ascii="Arial" w:hAnsi="Arial"/>
          <w:b/>
          <w:color w:val="1A1A2E"/>
          <w:sz w:val="44"/>
        </w:rPr>
        <w:t>Blast Radius Containment</w:t>
      </w:r>
    </w:p>
    <w:p>
      <w:pPr>
        <w:spacing w:after="200" w:lineRule="exact" w:line="260"/>
      </w:pPr>
      <w:r>
        <w:rPr>
          <w:rFonts w:ascii="Arial" w:hAnsi="Arial"/>
          <w:color w:val="000000"/>
          <w:sz w:val="22"/>
        </w:rPr>
        <w:t>Failures in one AINE cannot cascade to others. Circuit breakers at every inter-AINE boundary isolate failures. When AINE-A fails, AINE-B automatically reroutes communication. When compute resource becomes exhausted in one region, load balancers redirect to adjacent regions. No single point of failure can bring down the planetary system.</w:t>
      </w:r>
    </w:p>
    <w:p>
      <w:pPr>
        <w:pStyle w:val="Heading2"/>
        <w:spacing w:before="280" w:after="200" w:lineRule="exact" w:line="540"/>
      </w:pPr>
      <w:r>
        <w:rPr>
          <w:rFonts w:ascii="Arial" w:hAnsi="Arial"/>
          <w:b/>
          <w:color w:val="1A1A2E"/>
          <w:sz w:val="44"/>
        </w:rPr>
        <w:t>Immutable Audit Trails</w:t>
      </w:r>
    </w:p>
    <w:p>
      <w:pPr>
        <w:spacing w:after="200" w:lineRule="exact" w:line="260"/>
      </w:pPr>
      <w:r>
        <w:rPr>
          <w:rFonts w:ascii="Arial" w:hAnsi="Arial"/>
          <w:color w:val="000000"/>
          <w:sz w:val="22"/>
        </w:rPr>
        <w:t>E-AEGL records every action. Logs are cryptographically signed. No retroactive modification is possible. Attempts to falsify audit trails are detected immediately. This creates accountability that survives organizational change and personnel turnover.</w:t>
      </w:r>
    </w:p>
    <w:p>
      <w:pPr>
        <w:pStyle w:val="Heading2"/>
        <w:spacing w:before="280" w:after="200" w:lineRule="exact" w:line="540"/>
      </w:pPr>
      <w:r>
        <w:rPr>
          <w:rFonts w:ascii="Arial" w:hAnsi="Arial"/>
          <w:b/>
          <w:color w:val="1A1A2E"/>
          <w:sz w:val="44"/>
        </w:rPr>
        <w:t>AI Alignment Layer</w:t>
      </w:r>
    </w:p>
    <w:p>
      <w:pPr>
        <w:spacing w:after="200" w:lineRule="exact" w:line="260"/>
      </w:pPr>
      <w:r>
        <w:rPr>
          <w:rFonts w:ascii="Arial" w:hAnsi="Arial"/>
          <w:color w:val="000000"/>
          <w:sz w:val="22"/>
        </w:rPr>
        <w:t>Every AI agent operates within ethical constraints defined by AINEFF's constitutional framework. No agent can override governance rules. If an agent attempts to circumvent controls, the attempt is logged and escalated. This prevents AI systems from becoming rogue actors.</w:t>
      </w:r>
    </w:p>
    <w:p>
      <w:pPr>
        <w:pStyle w:val="Heading2"/>
        <w:spacing w:before="280" w:after="200" w:lineRule="exact" w:line="540"/>
      </w:pPr>
      <w:r>
        <w:rPr>
          <w:rFonts w:ascii="Arial" w:hAnsi="Arial"/>
          <w:b/>
          <w:color w:val="1A1A2E"/>
          <w:sz w:val="44"/>
        </w:rPr>
        <w:t>Regulatory Firewall</w:t>
      </w:r>
    </w:p>
    <w:p>
      <w:pPr>
        <w:spacing w:after="200" w:lineRule="exact" w:line="260"/>
      </w:pPr>
      <w:r>
        <w:rPr>
          <w:rFonts w:ascii="Arial" w:hAnsi="Arial"/>
          <w:color w:val="000000"/>
          <w:sz w:val="22"/>
        </w:rPr>
        <w:t>Each jurisdiction's regulations are mapped and enforced by AINEG. No AINE can violate local law. If a jurisdiction's rules change, AINEG updates configurations automatically. All AINEs operating in that jurisdiction adjust behavior. This enables compliance across 250 countries without requiring human review at scale.</w:t>
      </w:r>
    </w:p>
    <w:p>
      <w:pPr>
        <w:pStyle w:val="Heading2"/>
        <w:spacing w:before="280" w:after="200" w:lineRule="exact" w:line="540"/>
      </w:pPr>
      <w:r>
        <w:rPr>
          <w:rFonts w:ascii="Arial" w:hAnsi="Arial"/>
          <w:b/>
          <w:color w:val="1A1A2E"/>
          <w:sz w:val="44"/>
        </w:rPr>
        <w:t>Quantum-Ready Security</w:t>
      </w:r>
    </w:p>
    <w:p>
      <w:pPr>
        <w:spacing w:after="200" w:lineRule="exact" w:line="260"/>
      </w:pPr>
      <w:r>
        <w:rPr>
          <w:rFonts w:ascii="Arial" w:hAnsi="Arial"/>
          <w:color w:val="000000"/>
          <w:sz w:val="22"/>
        </w:rPr>
        <w:t>Aureya's cryptographic infrastructure is being migrated to quantum-resistant algorithms. This is not defensive reaction to quantum threat — it is proactive preparation for technological inevitability. By 2030, quantum computers will break current encryption. Aureya will be ready.</w:t>
      </w:r>
    </w:p>
    <w:p>
      <w:pPr>
        <w:pStyle w:val="Heading2"/>
        <w:spacing w:before="280" w:after="200" w:lineRule="exact" w:line="540"/>
      </w:pPr>
      <w:r>
        <w:rPr>
          <w:rFonts w:ascii="Arial" w:hAnsi="Arial"/>
          <w:b/>
          <w:color w:val="1A1A2E"/>
          <w:sz w:val="44"/>
        </w:rPr>
        <w:t>The Red Queen Model (Ethical)</w:t>
      </w:r>
    </w:p>
    <w:p>
      <w:pPr>
        <w:spacing w:after="200" w:lineRule="exact" w:line="260"/>
      </w:pPr>
      <w:r>
        <w:rPr>
          <w:rFonts w:ascii="Arial" w:hAnsi="Arial"/>
          <w:color w:val="000000"/>
          <w:sz w:val="22"/>
        </w:rPr>
        <w:t>Household-level AI governance is inspired by but ethically superior to centralized surveillance. Local households maintain sovereignty over their AI systems. Global Aureya layer provides coordination but cannot inspect household systems without explicit permission. This is the Red Queen model — local control with federated coordination.</w:t>
      </w:r>
    </w:p>
    <w:p>
      <w:r>
        <w:br w:type="page"/>
      </w:r>
    </w:p>
    <w:p>
      <w:pPr>
        <w:pStyle w:val="Heading1"/>
        <w:spacing w:before="360" w:after="240" w:lineRule="exact" w:line="680"/>
      </w:pPr>
      <w:r>
        <w:rPr>
          <w:rFonts w:ascii="Arial" w:hAnsi="Arial"/>
          <w:b/>
          <w:color w:val="1A1A2E"/>
          <w:sz w:val="56"/>
        </w:rPr>
        <w:t>13. ENTROPY MANAGEMENT</w:t>
      </w:r>
    </w:p>
    <w:p>
      <w:pPr>
        <w:spacing w:after="200" w:lineRule="exact" w:line="260"/>
      </w:pPr>
      <w:r>
        <w:rPr>
          <w:rFonts w:ascii="Arial" w:hAnsi="Arial"/>
          <w:color w:val="000000"/>
          <w:sz w:val="22"/>
        </w:rPr>
        <w:t>All systems decay. Aureya does not fight entropy — it metabolizes it. Every organizational pain point becomes a platform for value creation.</w:t>
      </w:r>
    </w:p>
    <w:p>
      <w:pPr>
        <w:pStyle w:val="Heading2"/>
        <w:spacing w:before="280" w:after="200" w:lineRule="exact" w:line="540"/>
      </w:pPr>
      <w:r>
        <w:rPr>
          <w:rFonts w:ascii="Arial" w:hAnsi="Arial"/>
          <w:b/>
          <w:color w:val="1A1A2E"/>
          <w:sz w:val="44"/>
        </w:rPr>
        <w:t>Entropy Detection</w:t>
      </w:r>
    </w:p>
    <w:p>
      <w:pPr>
        <w:spacing w:after="200" w:lineRule="exact" w:line="260"/>
      </w:pPr>
      <w:r>
        <w:rPr>
          <w:rFonts w:ascii="Arial" w:hAnsi="Arial"/>
          <w:color w:val="000000"/>
          <w:sz w:val="22"/>
        </w:rPr>
        <w:t>Eight dimensions are tracked for every industry code: Entropy Vector (direction of system decay), Analogous Systemic Force (similar patterns in other domains), Chokepoint (resource bottleneck), Bottleneck (process slowdown), Pain Point (stakeholder friction), Challenge (temporary obstacle), Obstacle (permanent barrier), Threat/Weakness (vulnerability to disruption). This systematic classification enables rapid response.</w:t>
      </w:r>
    </w:p>
    <w:p>
      <w:pPr>
        <w:pStyle w:val="Heading2"/>
        <w:spacing w:before="280" w:after="200" w:lineRule="exact" w:line="540"/>
      </w:pPr>
      <w:r>
        <w:rPr>
          <w:rFonts w:ascii="Arial" w:hAnsi="Arial"/>
          <w:b/>
          <w:color w:val="1A1A2E"/>
          <w:sz w:val="44"/>
        </w:rPr>
        <w:t>Entropy Metabolism</w:t>
      </w:r>
    </w:p>
    <w:p>
      <w:pPr>
        <w:spacing w:after="200" w:lineRule="exact" w:line="260"/>
      </w:pPr>
      <w:r>
        <w:rPr>
          <w:rFonts w:ascii="Arial" w:hAnsi="Arial"/>
          <w:color w:val="000000"/>
          <w:sz w:val="22"/>
        </w:rPr>
        <w:t>Rather than fighting entropy, Aureya converts it into opportunity. Every pain point becomes an AINE. Every bottleneck becomes a gameboard. Every threat becomes an anticipatory innovation. The system thrives on decay — without entropy, there are no problems to solve, no opportunities to capture.</w:t>
      </w:r>
    </w:p>
    <w:p>
      <w:pPr>
        <w:pStyle w:val="Heading2"/>
        <w:spacing w:before="280" w:after="200" w:lineRule="exact" w:line="540"/>
      </w:pPr>
      <w:r>
        <w:rPr>
          <w:rFonts w:ascii="Arial" w:hAnsi="Arial"/>
          <w:b/>
          <w:color w:val="1A1A2E"/>
          <w:sz w:val="44"/>
        </w:rPr>
        <w:t>The Sovereign Matrix</w:t>
      </w:r>
    </w:p>
    <w:p>
      <w:pPr>
        <w:spacing w:after="200" w:lineRule="exact" w:line="260"/>
      </w:pPr>
      <w:r>
        <w:rPr>
          <w:rFonts w:ascii="Arial" w:hAnsi="Arial"/>
          <w:color w:val="000000"/>
          <w:sz w:val="22"/>
        </w:rPr>
        <w:t>10,119 codes across 16 classification systems are mapped with entropy dimensions. This is the operational foundation for entropy detection. Every time a new entropy signal emerges, the matrix identifies relevant codes. Every time a new product is launched, the matrix maps potential entropy it could resolve.</w:t>
      </w:r>
    </w:p>
    <w:p>
      <w:pPr>
        <w:pStyle w:val="Heading2"/>
        <w:spacing w:before="280" w:after="200" w:lineRule="exact" w:line="540"/>
      </w:pPr>
      <w:r>
        <w:rPr>
          <w:rFonts w:ascii="Arial" w:hAnsi="Arial"/>
          <w:b/>
          <w:color w:val="1A1A2E"/>
          <w:sz w:val="44"/>
        </w:rPr>
        <w:t>Entropy Lifecycle</w:t>
      </w:r>
    </w:p>
    <w:p>
      <w:pPr>
        <w:pStyle w:val="ListBullet"/>
        <w:spacing w:after="120"/>
      </w:pPr>
      <w:r>
        <w:rPr>
          <w:rFonts w:ascii="Arial" w:hAnsi="Arial"/>
          <w:color w:val="000000"/>
          <w:sz w:val="22"/>
        </w:rPr>
        <w:t>Detection — Signal identified through market research, customer feedback, regulatory change</w:t>
      </w:r>
    </w:p>
    <w:p>
      <w:pPr>
        <w:pStyle w:val="ListBullet"/>
        <w:spacing w:after="120"/>
      </w:pPr>
      <w:r>
        <w:rPr>
          <w:rFonts w:ascii="Arial" w:hAnsi="Arial"/>
          <w:color w:val="000000"/>
          <w:sz w:val="22"/>
        </w:rPr>
        <w:t>Classification — Entropy is mapped to taxonomy, dimensions identified, severity assessed</w:t>
      </w:r>
    </w:p>
    <w:p>
      <w:pPr>
        <w:pStyle w:val="ListBullet"/>
        <w:spacing w:after="120"/>
      </w:pPr>
      <w:r>
        <w:rPr>
          <w:rFonts w:ascii="Arial" w:hAnsi="Arial"/>
          <w:color w:val="000000"/>
          <w:sz w:val="22"/>
        </w:rPr>
        <w:t>Assignment — AINE is created or assigned to resolve the entropy</w:t>
      </w:r>
    </w:p>
    <w:p>
      <w:pPr>
        <w:pStyle w:val="ListBullet"/>
        <w:spacing w:after="120"/>
      </w:pPr>
      <w:r>
        <w:rPr>
          <w:rFonts w:ascii="Arial" w:hAnsi="Arial"/>
          <w:color w:val="000000"/>
          <w:sz w:val="22"/>
        </w:rPr>
        <w:t>Resolution — AINE develops solution and deploys it to market</w:t>
      </w:r>
    </w:p>
    <w:p>
      <w:pPr>
        <w:pStyle w:val="ListBullet"/>
        <w:spacing w:after="120"/>
      </w:pPr>
      <w:r>
        <w:rPr>
          <w:rFonts w:ascii="Arial" w:hAnsi="Arial"/>
          <w:color w:val="000000"/>
          <w:sz w:val="22"/>
        </w:rPr>
        <w:t>Knowledge Absorption — Lessons learned are captured and integrated into Knowledge Graph</w:t>
      </w:r>
    </w:p>
    <w:p>
      <w:pPr>
        <w:pStyle w:val="ListBullet"/>
        <w:spacing w:after="120"/>
      </w:pPr>
      <w:r>
        <w:rPr>
          <w:rFonts w:ascii="Arial" w:hAnsi="Arial"/>
          <w:color w:val="000000"/>
          <w:sz w:val="22"/>
        </w:rPr>
        <w:t>Prevention — Similar entropy in adjacent codes is anticipated and addressed proactively</w:t>
      </w:r>
    </w:p>
    <w:p>
      <w:pPr>
        <w:pStyle w:val="Heading2"/>
        <w:spacing w:before="280" w:after="200" w:lineRule="exact" w:line="540"/>
      </w:pPr>
      <w:r>
        <w:rPr>
          <w:rFonts w:ascii="Arial" w:hAnsi="Arial"/>
          <w:b/>
          <w:color w:val="1A1A2E"/>
          <w:sz w:val="44"/>
        </w:rPr>
        <w:t>Cross-System Entropy Correlation</w:t>
      </w:r>
    </w:p>
    <w:p>
      <w:pPr>
        <w:spacing w:after="200" w:lineRule="exact" w:line="260"/>
      </w:pPr>
      <w:r>
        <w:rPr>
          <w:rFonts w:ascii="Arial" w:hAnsi="Arial"/>
          <w:color w:val="000000"/>
          <w:sz w:val="22"/>
        </w:rPr>
        <w:t>Entropy in one system often signals entropy in related systems. When healthcare billing faces regulatory entropy, healthcare supply chain often faces similar pressures. The Knowledge Graph tracks these correlations and triggers preemptive responses. This is predictive entropy management — solving problems before they fully emerge.</w:t>
      </w:r>
    </w:p>
    <w:p>
      <w:pPr>
        <w:pStyle w:val="Heading2"/>
        <w:spacing w:before="280" w:after="200" w:lineRule="exact" w:line="540"/>
      </w:pPr>
      <w:r>
        <w:rPr>
          <w:rFonts w:ascii="Arial" w:hAnsi="Arial"/>
          <w:b/>
          <w:color w:val="1A1A2E"/>
          <w:sz w:val="44"/>
        </w:rPr>
        <w:t>Reference: Universal Risk Taxonomy</w:t>
      </w:r>
    </w:p>
    <w:p>
      <w:pPr>
        <w:spacing w:after="200" w:lineRule="exact" w:line="260"/>
      </w:pPr>
      <w:r>
        <w:rPr>
          <w:rFonts w:ascii="Arial" w:hAnsi="Arial"/>
          <w:color w:val="000000"/>
          <w:sz w:val="22"/>
        </w:rPr>
        <w:t>From the 5-person bakery to the multinational to governments to NGOs — all share the same archetypal risk language. Aureya's taxonomy maps these universal risks across all organization types. This enables cross-sector learning and solution transfer. A solution for risk in a bakery may solve identical risk in a tech startup or government agency.</w:t>
      </w:r>
    </w:p>
    <w:p>
      <w:r>
        <w:br w:type="page"/>
      </w:r>
    </w:p>
    <w:p>
      <w:pPr>
        <w:pStyle w:val="Heading1"/>
        <w:spacing w:before="360" w:after="240" w:lineRule="exact" w:line="680"/>
      </w:pPr>
      <w:r>
        <w:rPr>
          <w:rFonts w:ascii="Arial" w:hAnsi="Arial"/>
          <w:b/>
          <w:color w:val="1A1A2E"/>
          <w:sz w:val="56"/>
        </w:rPr>
        <w:t>14. EVOLUTION MECHANISMS</w:t>
      </w:r>
    </w:p>
    <w:p>
      <w:pPr>
        <w:spacing w:after="200" w:lineRule="exact" w:line="260"/>
      </w:pPr>
      <w:r>
        <w:rPr>
          <w:rFonts w:ascii="Arial" w:hAnsi="Arial"/>
          <w:color w:val="000000"/>
          <w:sz w:val="22"/>
        </w:rPr>
        <w:t>Aureya evolves continuously without destabilizing itself. Controlled mutation enables rapid adaptation while preventing chaotic change.</w:t>
      </w:r>
    </w:p>
    <w:p>
      <w:pPr>
        <w:pStyle w:val="Heading2"/>
        <w:spacing w:before="280" w:after="200" w:lineRule="exact" w:line="540"/>
      </w:pPr>
      <w:r>
        <w:rPr>
          <w:rFonts w:ascii="Arial" w:hAnsi="Arial"/>
          <w:b/>
          <w:color w:val="1A1A2E"/>
          <w:sz w:val="44"/>
        </w:rPr>
        <w:t>Mutation Rules</w:t>
      </w:r>
    </w:p>
    <w:p>
      <w:pPr>
        <w:spacing w:after="200" w:lineRule="exact" w:line="260"/>
      </w:pPr>
      <w:r>
        <w:rPr>
          <w:rFonts w:ascii="Arial" w:hAnsi="Arial"/>
          <w:color w:val="000000"/>
          <w:sz w:val="22"/>
        </w:rPr>
        <w:t>AINEs can combine, split, or evolve — but only through governed mutation protocols. No wild mutations. Before two AINEs merge, compatibility is verified. Stakeholders are notified. Governance alignment is confirmed. The mutation is logged immutably. After merger, unified governance is established. This is structured evolution, not biological chaos.</w:t>
      </w:r>
    </w:p>
    <w:p>
      <w:pPr>
        <w:pStyle w:val="Heading2"/>
        <w:spacing w:before="280" w:after="200" w:lineRule="exact" w:line="540"/>
      </w:pPr>
      <w:r>
        <w:rPr>
          <w:rFonts w:ascii="Arial" w:hAnsi="Arial"/>
          <w:b/>
          <w:color w:val="1A1A2E"/>
          <w:sz w:val="44"/>
        </w:rPr>
        <w:t>Selection Pressure</w:t>
      </w:r>
    </w:p>
    <w:p>
      <w:pPr>
        <w:spacing w:after="200" w:lineRule="exact" w:line="260"/>
      </w:pPr>
      <w:r>
        <w:rPr>
          <w:rFonts w:ascii="Arial" w:hAnsi="Arial"/>
          <w:color w:val="000000"/>
          <w:sz w:val="22"/>
        </w:rPr>
        <w:t>Market performance, entropy resolution effectiveness, and stakeholder satisfaction determine which AINEs survive and evolve. Low-performing AINEs are retired (their knowledge preserved). High-performing AINEs are expanded. This creates natural selection without ruthlessness — failed AINEs teach the system before they exit.</w:t>
      </w:r>
    </w:p>
    <w:p>
      <w:pPr>
        <w:pStyle w:val="Heading2"/>
        <w:spacing w:before="280" w:after="200" w:lineRule="exact" w:line="540"/>
      </w:pPr>
      <w:r>
        <w:rPr>
          <w:rFonts w:ascii="Arial" w:hAnsi="Arial"/>
          <w:b/>
          <w:color w:val="1A1A2E"/>
          <w:sz w:val="44"/>
        </w:rPr>
        <w:t>Coalition Formation</w:t>
      </w:r>
    </w:p>
    <w:p>
      <w:pPr>
        <w:spacing w:after="200" w:lineRule="exact" w:line="260"/>
      </w:pPr>
      <w:r>
        <w:rPr>
          <w:rFonts w:ascii="Arial" w:hAnsi="Arial"/>
          <w:color w:val="000000"/>
          <w:sz w:val="22"/>
        </w:rPr>
        <w:t>When AINEs demonstrate complementary capabilities, the Evolution Engine proposes coalition formation. Stakeholders evaluate the proposal. If benefits exceed costs, they vote to proceed. The coalition is registered in the Knowledge Graph. New governance rules are established. The coalition operates as a semi-independent unit while leveraging shared infrastructure.</w:t>
      </w:r>
    </w:p>
    <w:p>
      <w:pPr>
        <w:pStyle w:val="Heading2"/>
        <w:spacing w:before="280" w:after="200" w:lineRule="exact" w:line="540"/>
      </w:pPr>
      <w:r>
        <w:rPr>
          <w:rFonts w:ascii="Arial" w:hAnsi="Arial"/>
          <w:b/>
          <w:color w:val="1A1A2E"/>
          <w:sz w:val="44"/>
        </w:rPr>
        <w:t>Species Emergence</w:t>
      </w:r>
    </w:p>
    <w:p>
      <w:pPr>
        <w:spacing w:after="200" w:lineRule="exact" w:line="260"/>
      </w:pPr>
      <w:r>
        <w:rPr>
          <w:rFonts w:ascii="Arial" w:hAnsi="Arial"/>
          <w:color w:val="000000"/>
          <w:sz w:val="22"/>
        </w:rPr>
        <w:t>Coalitions that demonstrate sustained performance and market capture evolve into species — permanent organizational structures with their own governance. Species have longer planning horizons. Species invest in infrastructure. Species can make decisions that coalitions cannot. The transition is automatic when performance thresholds are met.</w:t>
      </w:r>
    </w:p>
    <w:p>
      <w:pPr>
        <w:pStyle w:val="Heading2"/>
        <w:spacing w:before="280" w:after="200" w:lineRule="exact" w:line="540"/>
      </w:pPr>
      <w:r>
        <w:rPr>
          <w:rFonts w:ascii="Arial" w:hAnsi="Arial"/>
          <w:b/>
          <w:color w:val="1A1A2E"/>
          <w:sz w:val="44"/>
        </w:rPr>
        <w:t>Ecosystem Crystallization</w:t>
      </w:r>
    </w:p>
    <w:p>
      <w:pPr>
        <w:spacing w:after="200" w:lineRule="exact" w:line="260"/>
      </w:pPr>
      <w:r>
        <w:rPr>
          <w:rFonts w:ascii="Arial" w:hAnsi="Arial"/>
          <w:color w:val="000000"/>
          <w:sz w:val="22"/>
        </w:rPr>
        <w:t>Species that achieve cross-domain coordination crystallize into ecosystems — self-sustaining platforms with marketplace dynamics. Ecosystems are profitable from operations alone. Ecosystems attract external capital and talent. Ecosystems become difficult to disrupt because they create network effects.</w:t>
      </w:r>
    </w:p>
    <w:p>
      <w:pPr>
        <w:pStyle w:val="Heading2"/>
        <w:spacing w:before="280" w:after="200" w:lineRule="exact" w:line="540"/>
      </w:pPr>
      <w:r>
        <w:rPr>
          <w:rFonts w:ascii="Arial" w:hAnsi="Arial"/>
          <w:b/>
          <w:color w:val="1A1A2E"/>
          <w:sz w:val="44"/>
        </w:rPr>
        <w:t>Sanctuary Formation</w:t>
      </w:r>
    </w:p>
    <w:p>
      <w:pPr>
        <w:spacing w:after="200" w:lineRule="exact" w:line="260"/>
      </w:pPr>
      <w:r>
        <w:rPr>
          <w:rFonts w:ascii="Arial" w:hAnsi="Arial"/>
          <w:color w:val="000000"/>
          <w:sz w:val="22"/>
        </w:rPr>
        <w:t>Ecosystems that achieve infrastructure status — where removal would cause systemic harm — become sanctuaries. Protected, governed, and permanent. Sanctuaries are too valuable to fail. Sanctuaries receive priority resource allocation. Sanctuaries have veto power over changes that would compromise their operation.</w:t>
      </w:r>
    </w:p>
    <w:p>
      <w:pPr>
        <w:pStyle w:val="Heading2"/>
        <w:spacing w:before="280" w:after="200" w:lineRule="exact" w:line="540"/>
      </w:pPr>
      <w:r>
        <w:rPr>
          <w:rFonts w:ascii="Arial" w:hAnsi="Arial"/>
          <w:b/>
          <w:color w:val="1A1A2E"/>
          <w:sz w:val="44"/>
        </w:rPr>
        <w:t>Version Control for Organizations</w:t>
      </w:r>
    </w:p>
    <w:p>
      <w:pPr>
        <w:spacing w:after="200" w:lineRule="exact" w:line="260"/>
      </w:pPr>
      <w:r>
        <w:rPr>
          <w:rFonts w:ascii="Arial" w:hAnsi="Arial"/>
          <w:color w:val="000000"/>
          <w:sz w:val="22"/>
        </w:rPr>
        <w:t>Every mutation is versioned. Rollback is possible. If a coalition merger fails, the system can restore both AINEs to pre-merger state. Institutional memory is preserved. This removes the risk from experimentation — teams can try coalitions knowing they can unwind if things don't work.</w:t>
      </w:r>
    </w:p>
    <w:p>
      <w:r>
        <w:br w:type="page"/>
      </w:r>
    </w:p>
    <w:p>
      <w:pPr>
        <w:pStyle w:val="Heading1"/>
        <w:spacing w:before="360" w:after="240" w:lineRule="exact" w:line="680"/>
      </w:pPr>
      <w:r>
        <w:rPr>
          <w:rFonts w:ascii="Arial" w:hAnsi="Arial"/>
          <w:b/>
          <w:color w:val="1A1A2E"/>
          <w:sz w:val="56"/>
        </w:rPr>
        <w:t>15. EXAMPLE DEPLOYMENT SCENARIO</w:t>
      </w:r>
    </w:p>
    <w:p>
      <w:pPr>
        <w:pStyle w:val="Heading2"/>
        <w:spacing w:before="280" w:after="200" w:lineRule="exact" w:line="540"/>
      </w:pPr>
      <w:r>
        <w:rPr>
          <w:rFonts w:ascii="Arial" w:hAnsi="Arial"/>
          <w:b/>
          <w:color w:val="1A1A2E"/>
          <w:sz w:val="44"/>
        </w:rPr>
        <w:t>Deploying Aureya-Arisea into the Tamil Diaspora Community via The RISE Network</w:t>
      </w:r>
    </w:p>
    <w:p>
      <w:pPr>
        <w:spacing w:after="200" w:lineRule="exact" w:line="260"/>
      </w:pPr>
      <w:r>
        <w:rPr>
          <w:rFonts w:ascii="Arial" w:hAnsi="Arial"/>
          <w:color w:val="000000"/>
          <w:sz w:val="22"/>
        </w:rPr>
        <w:t>This scenario illustrates how Aureya deploys into a real community. The Tamil professional diaspora spans 20+ countries, with significant populations in Singapore, UAE, Canada, USA, Malaysia. The RISE network connects Tamil professionals. Aureya-Arisea deployment creates a sovereign, coordinated infrastructure for this community.</w:t>
      </w:r>
    </w:p>
    <w:p>
      <w:pPr>
        <w:pStyle w:val="Heading2"/>
        <w:spacing w:before="280" w:after="200" w:lineRule="exact" w:line="540"/>
      </w:pPr>
      <w:r>
        <w:rPr>
          <w:rFonts w:ascii="Arial" w:hAnsi="Arial"/>
          <w:b/>
          <w:color w:val="1A1A2E"/>
          <w:sz w:val="44"/>
        </w:rPr>
        <w:t>Phase 1: Identify Arisea Promoters (Week 1-4)</w:t>
      </w:r>
    </w:p>
    <w:p>
      <w:pPr>
        <w:pStyle w:val="ListBullet"/>
        <w:spacing w:after="120"/>
      </w:pPr>
      <w:r>
        <w:rPr>
          <w:rFonts w:ascii="Arial" w:hAnsi="Arial"/>
          <w:color w:val="000000"/>
          <w:sz w:val="22"/>
        </w:rPr>
        <w:t>Identify RISE chapter leaders in 5 priority geographies (Singapore, Dubai, Canada, USA, Malaysia)</w:t>
      </w:r>
    </w:p>
    <w:p>
      <w:pPr>
        <w:pStyle w:val="ListBullet"/>
        <w:spacing w:after="120"/>
      </w:pPr>
      <w:r>
        <w:rPr>
          <w:rFonts w:ascii="Arial" w:hAnsi="Arial"/>
          <w:color w:val="000000"/>
          <w:sz w:val="22"/>
        </w:rPr>
        <w:t>Educate leaders on Aureya-Arisea operating model — sovereignty, economic opportunity, technology stack</w:t>
      </w:r>
    </w:p>
    <w:p>
      <w:pPr>
        <w:pStyle w:val="ListBullet"/>
        <w:spacing w:after="120"/>
      </w:pPr>
      <w:r>
        <w:rPr>
          <w:rFonts w:ascii="Arial" w:hAnsi="Arial"/>
          <w:color w:val="000000"/>
          <w:sz w:val="22"/>
        </w:rPr>
        <w:t>Sign Promotion Agreements establishing leaders as equity holders (3-5% equity per promoter)</w:t>
      </w:r>
    </w:p>
    <w:p>
      <w:pPr>
        <w:pStyle w:val="ListBullet"/>
        <w:spacing w:after="120"/>
      </w:pPr>
      <w:r>
        <w:rPr>
          <w:rFonts w:ascii="Arial" w:hAnsi="Arial"/>
          <w:color w:val="000000"/>
          <w:sz w:val="22"/>
        </w:rPr>
        <w:t>Provide technical onboarding — server infrastructure, AINE management tools, marketplace access</w:t>
      </w:r>
    </w:p>
    <w:p>
      <w:pPr>
        <w:pStyle w:val="ListBullet"/>
        <w:spacing w:after="120"/>
      </w:pPr>
      <w:r>
        <w:rPr>
          <w:rFonts w:ascii="Arial" w:hAnsi="Arial"/>
          <w:color w:val="000000"/>
          <w:sz w:val="22"/>
        </w:rPr>
        <w:t>Launch Community Councils — local governance structures to oversee Arisea operations</w:t>
      </w:r>
    </w:p>
    <w:p>
      <w:pPr>
        <w:pStyle w:val="Heading2"/>
        <w:spacing w:before="280" w:after="200" w:lineRule="exact" w:line="540"/>
      </w:pPr>
      <w:r>
        <w:rPr>
          <w:rFonts w:ascii="Arial" w:hAnsi="Arial"/>
          <w:b/>
          <w:color w:val="1A1A2E"/>
          <w:sz w:val="44"/>
        </w:rPr>
        <w:t>Phase 2: Deploy Initial AINEs (Week 5-8)</w:t>
      </w:r>
    </w:p>
    <w:p>
      <w:pPr>
        <w:pStyle w:val="ListBullet"/>
        <w:spacing w:after="120"/>
      </w:pPr>
      <w:r>
        <w:rPr>
          <w:rFonts w:ascii="Arial" w:hAnsi="Arial"/>
          <w:color w:val="000000"/>
          <w:sz w:val="22"/>
        </w:rPr>
        <w:t>AINE-1: Career Mobility (Novaterra-powered) — Match Tamil professionals to roles globally, handle visa/relocation logistics</w:t>
      </w:r>
    </w:p>
    <w:p>
      <w:pPr>
        <w:pStyle w:val="ListBullet"/>
        <w:spacing w:after="120"/>
      </w:pPr>
      <w:r>
        <w:rPr>
          <w:rFonts w:ascii="Arial" w:hAnsi="Arial"/>
          <w:color w:val="000000"/>
          <w:sz w:val="22"/>
        </w:rPr>
        <w:t>AINE-2: Trade Secrets Access (SkillTrek-powered) — Monetize Tamil industry expertise through learning programs</w:t>
      </w:r>
    </w:p>
    <w:p>
      <w:pPr>
        <w:pStyle w:val="ListBullet"/>
        <w:spacing w:after="120"/>
      </w:pPr>
      <w:r>
        <w:rPr>
          <w:rFonts w:ascii="Arial" w:hAnsi="Arial"/>
          <w:color w:val="000000"/>
          <w:sz w:val="22"/>
        </w:rPr>
        <w:t>AINE-3: Investment Infrastructure — Tamil diaspora capital pooling for emerging market deals</w:t>
      </w:r>
    </w:p>
    <w:p>
      <w:pPr>
        <w:pStyle w:val="ListBullet"/>
        <w:spacing w:after="120"/>
      </w:pPr>
      <w:r>
        <w:rPr>
          <w:rFonts w:ascii="Arial" w:hAnsi="Arial"/>
          <w:color w:val="000000"/>
          <w:sz w:val="22"/>
        </w:rPr>
        <w:t>AINE-4: Supply Chain Optimization — Optimize trade between Tamil-heavy regions and home country</w:t>
      </w:r>
    </w:p>
    <w:p>
      <w:pPr>
        <w:pStyle w:val="ListBullet"/>
        <w:spacing w:after="120"/>
      </w:pPr>
      <w:r>
        <w:rPr>
          <w:rFonts w:ascii="Arial" w:hAnsi="Arial"/>
          <w:color w:val="000000"/>
          <w:sz w:val="22"/>
        </w:rPr>
        <w:t>AINE-5: Cultural Content Platform — Tamil arts, media, education accessible across diaspora</w:t>
      </w:r>
    </w:p>
    <w:p>
      <w:pPr>
        <w:pStyle w:val="Heading2"/>
        <w:spacing w:before="280" w:after="200" w:lineRule="exact" w:line="540"/>
      </w:pPr>
      <w:r>
        <w:rPr>
          <w:rFonts w:ascii="Arial" w:hAnsi="Arial"/>
          <w:b/>
          <w:color w:val="1A1A2E"/>
          <w:sz w:val="44"/>
        </w:rPr>
        <w:t>Phase 3: Communities Launch Sovereign Instances (Week 9-12)</w:t>
      </w:r>
    </w:p>
    <w:p>
      <w:pPr>
        <w:pStyle w:val="ListBullet"/>
        <w:spacing w:after="120"/>
      </w:pPr>
      <w:r>
        <w:rPr>
          <w:rFonts w:ascii="Arial" w:hAnsi="Arial"/>
          <w:color w:val="000000"/>
          <w:sz w:val="22"/>
        </w:rPr>
        <w:t>Singapore Arisea goes live — Serves 80,000 Tamil professionals, local marketplace, local governance</w:t>
      </w:r>
    </w:p>
    <w:p>
      <w:pPr>
        <w:pStyle w:val="ListBullet"/>
        <w:spacing w:after="120"/>
      </w:pPr>
      <w:r>
        <w:rPr>
          <w:rFonts w:ascii="Arial" w:hAnsi="Arial"/>
          <w:color w:val="000000"/>
          <w:sz w:val="22"/>
        </w:rPr>
        <w:t>Dubai Arisea goes live — Serves 120,000 Tamil professionals, asset-backed trading for India remittances</w:t>
      </w:r>
    </w:p>
    <w:p>
      <w:pPr>
        <w:pStyle w:val="ListBullet"/>
        <w:spacing w:after="120"/>
      </w:pPr>
      <w:r>
        <w:rPr>
          <w:rFonts w:ascii="Arial" w:hAnsi="Arial"/>
          <w:color w:val="000000"/>
          <w:sz w:val="22"/>
        </w:rPr>
        <w:t>Canada Arisea goes live — Serves 40,000 Tamil professionals, integration with Canadian immigration/employment systems</w:t>
      </w:r>
    </w:p>
    <w:p>
      <w:pPr>
        <w:pStyle w:val="ListBullet"/>
        <w:spacing w:after="120"/>
      </w:pPr>
      <w:r>
        <w:rPr>
          <w:rFonts w:ascii="Arial" w:hAnsi="Arial"/>
          <w:color w:val="000000"/>
          <w:sz w:val="22"/>
        </w:rPr>
        <w:t>USA Arisea goes live — Serves 60,000 Tamil professionals, integration with US visa/employment infrastructure</w:t>
      </w:r>
    </w:p>
    <w:p>
      <w:pPr>
        <w:pStyle w:val="ListBullet"/>
        <w:spacing w:after="120"/>
      </w:pPr>
      <w:r>
        <w:rPr>
          <w:rFonts w:ascii="Arial" w:hAnsi="Arial"/>
          <w:color w:val="000000"/>
          <w:sz w:val="22"/>
        </w:rPr>
        <w:t>Malaysia Arisea goes live — Serves 30,000 Tamil professionals, local supply chain integration</w:t>
      </w:r>
    </w:p>
    <w:p>
      <w:pPr>
        <w:pStyle w:val="Heading2"/>
        <w:spacing w:before="280" w:after="200" w:lineRule="exact" w:line="540"/>
      </w:pPr>
      <w:r>
        <w:rPr>
          <w:rFonts w:ascii="Arial" w:hAnsi="Arial"/>
          <w:b/>
          <w:color w:val="1A1A2E"/>
          <w:sz w:val="44"/>
        </w:rPr>
        <w:t>Phase 4: Communities Form Coalition (Q2)</w:t>
      </w:r>
    </w:p>
    <w:p>
      <w:pPr>
        <w:pStyle w:val="ListBullet"/>
        <w:spacing w:after="120"/>
      </w:pPr>
      <w:r>
        <w:rPr>
          <w:rFonts w:ascii="Arial" w:hAnsi="Arial"/>
          <w:color w:val="000000"/>
          <w:sz w:val="22"/>
        </w:rPr>
        <w:t>Five Arisea instances demonstrate complementary strengths</w:t>
      </w:r>
    </w:p>
    <w:p>
      <w:pPr>
        <w:pStyle w:val="ListBullet"/>
        <w:spacing w:after="120"/>
      </w:pPr>
      <w:r>
        <w:rPr>
          <w:rFonts w:ascii="Arial" w:hAnsi="Arial"/>
          <w:color w:val="000000"/>
          <w:sz w:val="22"/>
        </w:rPr>
        <w:t>Evolution Engine recommends coalition formation to serve cross-border demand</w:t>
      </w:r>
    </w:p>
    <w:p>
      <w:pPr>
        <w:pStyle w:val="ListBullet"/>
        <w:spacing w:after="120"/>
      </w:pPr>
      <w:r>
        <w:rPr>
          <w:rFonts w:ascii="Arial" w:hAnsi="Arial"/>
          <w:color w:val="000000"/>
          <w:sz w:val="22"/>
        </w:rPr>
        <w:t>Community councils vote to proceed — coalition is approved</w:t>
      </w:r>
    </w:p>
    <w:p>
      <w:pPr>
        <w:pStyle w:val="ListBullet"/>
        <w:spacing w:after="120"/>
      </w:pPr>
      <w:r>
        <w:rPr>
          <w:rFonts w:ascii="Arial" w:hAnsi="Arial"/>
          <w:color w:val="000000"/>
          <w:sz w:val="22"/>
        </w:rPr>
        <w:t>Tamil Professional Coalition established — unified pricing, shared infrastructure, coordinated marketing</w:t>
      </w:r>
    </w:p>
    <w:p>
      <w:pPr>
        <w:pStyle w:val="ListBullet"/>
        <w:spacing w:after="120"/>
      </w:pPr>
      <w:r>
        <w:rPr>
          <w:rFonts w:ascii="Arial" w:hAnsi="Arial"/>
          <w:color w:val="000000"/>
          <w:sz w:val="22"/>
        </w:rPr>
        <w:t>Revenue is pooled 60% to local Arisea / 40% to central Aureya infrastructure</w:t>
      </w:r>
    </w:p>
    <w:p>
      <w:pPr>
        <w:pStyle w:val="Heading2"/>
        <w:spacing w:before="280" w:after="200" w:lineRule="exact" w:line="540"/>
      </w:pPr>
      <w:r>
        <w:rPr>
          <w:rFonts w:ascii="Arial" w:hAnsi="Arial"/>
          <w:b/>
          <w:color w:val="1A1A2E"/>
          <w:sz w:val="44"/>
        </w:rPr>
        <w:t>Phase 5: Coalition Connects to Global Marketplace (Q3)</w:t>
      </w:r>
    </w:p>
    <w:p>
      <w:pPr>
        <w:pStyle w:val="ListBullet"/>
        <w:spacing w:after="120"/>
      </w:pPr>
      <w:r>
        <w:rPr>
          <w:rFonts w:ascii="Arial" w:hAnsi="Arial"/>
          <w:color w:val="000000"/>
          <w:sz w:val="22"/>
        </w:rPr>
        <w:t>Tamil professionals access 250-country job market through Novaterra</w:t>
      </w:r>
    </w:p>
    <w:p>
      <w:pPr>
        <w:pStyle w:val="ListBullet"/>
        <w:spacing w:after="120"/>
      </w:pPr>
      <w:r>
        <w:rPr>
          <w:rFonts w:ascii="Arial" w:hAnsi="Arial"/>
          <w:color w:val="000000"/>
          <w:sz w:val="22"/>
        </w:rPr>
        <w:t>Tamil diaspora capital accesses global opportunities through Investment Infrastructure</w:t>
      </w:r>
    </w:p>
    <w:p>
      <w:pPr>
        <w:pStyle w:val="ListBullet"/>
        <w:spacing w:after="120"/>
      </w:pPr>
      <w:r>
        <w:rPr>
          <w:rFonts w:ascii="Arial" w:hAnsi="Arial"/>
          <w:color w:val="000000"/>
          <w:sz w:val="22"/>
        </w:rPr>
        <w:t>Tamil expertise monetizes to non-Tamil audiences through SkillTrek</w:t>
      </w:r>
    </w:p>
    <w:p>
      <w:pPr>
        <w:pStyle w:val="ListBullet"/>
        <w:spacing w:after="120"/>
      </w:pPr>
      <w:r>
        <w:rPr>
          <w:rFonts w:ascii="Arial" w:hAnsi="Arial"/>
          <w:color w:val="000000"/>
          <w:sz w:val="22"/>
        </w:rPr>
        <w:t>Tamil supply chains integrate with global logistics through Aureya systems</w:t>
      </w:r>
    </w:p>
    <w:p>
      <w:pPr>
        <w:pStyle w:val="ListBullet"/>
        <w:spacing w:after="120"/>
      </w:pPr>
      <w:r>
        <w:rPr>
          <w:rFonts w:ascii="Arial" w:hAnsi="Arial"/>
          <w:color w:val="000000"/>
          <w:sz w:val="22"/>
        </w:rPr>
        <w:t>Tamil cultural content reaches non-Tamil audiences through partnership networks</w:t>
      </w:r>
    </w:p>
    <w:p>
      <w:pPr>
        <w:pStyle w:val="Heading2"/>
        <w:spacing w:before="280" w:after="200" w:lineRule="exact" w:line="540"/>
      </w:pPr>
      <w:r>
        <w:rPr>
          <w:rFonts w:ascii="Arial" w:hAnsi="Arial"/>
          <w:b/>
          <w:color w:val="1A1A2E"/>
          <w:sz w:val="44"/>
        </w:rPr>
        <w:t>Phase 6: Household-as-Enterprise Deployment (Q4)</w:t>
      </w:r>
    </w:p>
    <w:p>
      <w:pPr>
        <w:pStyle w:val="ListBullet"/>
        <w:spacing w:after="120"/>
      </w:pPr>
      <w:r>
        <w:rPr>
          <w:rFonts w:ascii="Arial" w:hAnsi="Arial"/>
          <w:color w:val="000000"/>
          <w:sz w:val="22"/>
        </w:rPr>
        <w:t>Onestop Hardware Vaults deployed to 1,000 Tamil households (5 per Arisea)</w:t>
      </w:r>
    </w:p>
    <w:p>
      <w:pPr>
        <w:pStyle w:val="ListBullet"/>
        <w:spacing w:after="120"/>
      </w:pPr>
      <w:r>
        <w:rPr>
          <w:rFonts w:ascii="Arial" w:hAnsi="Arial"/>
          <w:color w:val="000000"/>
          <w:sz w:val="22"/>
        </w:rPr>
        <w:t>Household data sovereignty established — family-owned compute, AI, security</w:t>
      </w:r>
    </w:p>
    <w:p>
      <w:pPr>
        <w:pStyle w:val="ListBullet"/>
        <w:spacing w:after="120"/>
      </w:pPr>
      <w:r>
        <w:rPr>
          <w:rFonts w:ascii="Arial" w:hAnsi="Arial"/>
          <w:color w:val="000000"/>
          <w:sz w:val="22"/>
        </w:rPr>
        <w:t>Family AI launched — personalized career guidance, financial planning, health optimization</w:t>
      </w:r>
    </w:p>
    <w:p>
      <w:pPr>
        <w:pStyle w:val="ListBullet"/>
        <w:spacing w:after="120"/>
      </w:pPr>
      <w:r>
        <w:rPr>
          <w:rFonts w:ascii="Arial" w:hAnsi="Arial"/>
          <w:color w:val="000000"/>
          <w:sz w:val="22"/>
        </w:rPr>
        <w:t>Arisea Consortium Blockchain enables household-to-household transactions</w:t>
      </w:r>
    </w:p>
    <w:p>
      <w:pPr>
        <w:pStyle w:val="ListBullet"/>
        <w:spacing w:after="120"/>
      </w:pPr>
      <w:r>
        <w:rPr>
          <w:rFonts w:ascii="Arial" w:hAnsi="Arial"/>
          <w:color w:val="000000"/>
          <w:sz w:val="22"/>
        </w:rPr>
        <w:t>Household-level data entry into global knowledge graph — 1,000 data sources improve platform intelligence</w:t>
      </w:r>
    </w:p>
    <w:p>
      <w:pPr>
        <w:pStyle w:val="Heading2"/>
        <w:spacing w:before="280" w:after="200" w:lineRule="exact" w:line="540"/>
      </w:pPr>
      <w:r>
        <w:rPr>
          <w:rFonts w:ascii="Arial" w:hAnsi="Arial"/>
          <w:b/>
          <w:color w:val="1A1A2E"/>
          <w:sz w:val="44"/>
        </w:rPr>
        <w:t>Phase 7: Tamil Arisea Becomes Reference Architecture (Future)</w:t>
      </w:r>
    </w:p>
    <w:p>
      <w:pPr>
        <w:pStyle w:val="ListBullet"/>
        <w:spacing w:after="120"/>
      </w:pPr>
      <w:r>
        <w:rPr>
          <w:rFonts w:ascii="Arial" w:hAnsi="Arial"/>
          <w:color w:val="000000"/>
          <w:sz w:val="22"/>
        </w:rPr>
        <w:t>Tamil Arisea demonstrates sustained profitability and stakeholder satisfaction</w:t>
      </w:r>
    </w:p>
    <w:p>
      <w:pPr>
        <w:pStyle w:val="ListBullet"/>
        <w:spacing w:after="120"/>
      </w:pPr>
      <w:r>
        <w:rPr>
          <w:rFonts w:ascii="Arial" w:hAnsi="Arial"/>
          <w:color w:val="000000"/>
          <w:sz w:val="22"/>
        </w:rPr>
        <w:t>Model is replicated for other diaspora communities (Indian, Filipino, Chinese, African, etc.)</w:t>
      </w:r>
    </w:p>
    <w:p>
      <w:pPr>
        <w:pStyle w:val="ListBullet"/>
        <w:spacing w:after="120"/>
      </w:pPr>
      <w:r>
        <w:rPr>
          <w:rFonts w:ascii="Arial" w:hAnsi="Arial"/>
          <w:color w:val="000000"/>
          <w:sz w:val="22"/>
        </w:rPr>
        <w:t>Model is adapted for geographic communities (West African, Southeast Asian, etc.)</w:t>
      </w:r>
    </w:p>
    <w:p>
      <w:pPr>
        <w:pStyle w:val="ListBullet"/>
        <w:spacing w:after="120"/>
      </w:pPr>
      <w:r>
        <w:rPr>
          <w:rFonts w:ascii="Arial" w:hAnsi="Arial"/>
          <w:color w:val="000000"/>
          <w:sz w:val="22"/>
        </w:rPr>
        <w:t>Model is adapted for professional communities (Actuaries, Data Scientists, Nurses, etc.)</w:t>
      </w:r>
    </w:p>
    <w:p>
      <w:pPr>
        <w:pStyle w:val="ListBullet"/>
        <w:spacing w:after="120"/>
      </w:pPr>
      <w:r>
        <w:rPr>
          <w:rFonts w:ascii="Arial" w:hAnsi="Arial"/>
          <w:color w:val="000000"/>
          <w:sz w:val="22"/>
        </w:rPr>
        <w:t>By Year 2, 50+ Arisea instances operate autonomously while coordinating through Aureya infrastructure</w:t>
      </w:r>
    </w:p>
    <w:p>
      <w:pPr>
        <w:pStyle w:val="ListBullet"/>
        <w:spacing w:after="120"/>
      </w:pPr>
      <w:r>
        <w:rPr>
          <w:rFonts w:ascii="Arial" w:hAnsi="Arial"/>
          <w:color w:val="000000"/>
          <w:sz w:val="22"/>
        </w:rPr>
        <w:t>By Year 3, Arisea become self-reproducing — each Arisea spawns sub-Ariseas in adjacent geographies and communities</w:t>
      </w:r>
    </w:p>
    <w:p>
      <w:pPr>
        <w:pStyle w:val="Heading2"/>
        <w:spacing w:before="280" w:after="200" w:lineRule="exact" w:line="540"/>
      </w:pPr>
      <w:r>
        <w:rPr>
          <w:rFonts w:ascii="Arial" w:hAnsi="Arial"/>
          <w:b/>
          <w:color w:val="1A1A2E"/>
          <w:sz w:val="44"/>
        </w:rPr>
        <w:t>Deployment Timeline Overview</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944"/>
            <w:shd w:fill="1A1A2E"/>
          </w:tcPr>
          <w:p>
            <w:r>
              <w:t>Period</w:t>
            </w:r>
          </w:p>
        </w:tc>
        <w:tc>
          <w:tcPr>
            <w:tcW w:type="dxa" w:w="1944"/>
            <w:shd w:fill="1A1A2E"/>
          </w:tcPr>
          <w:p>
            <w:r>
              <w:t>Effort</w:t>
            </w:r>
          </w:p>
        </w:tc>
        <w:tc>
          <w:tcPr>
            <w:tcW w:type="dxa" w:w="1944"/>
            <w:shd w:fill="1A1A2E"/>
          </w:tcPr>
          <w:p>
            <w:r>
              <w:t>Key Milestones</w:t>
            </w:r>
          </w:p>
        </w:tc>
        <w:tc>
          <w:tcPr>
            <w:tcW w:type="dxa" w:w="1944"/>
            <w:shd w:fill="1A1A2E"/>
          </w:tcPr>
          <w:p>
            <w:r>
              <w:t>Stakeholders</w:t>
            </w:r>
          </w:p>
        </w:tc>
        <w:tc>
          <w:tcPr>
            <w:tcW w:type="dxa" w:w="1944"/>
            <w:shd w:fill="1A1A2E"/>
          </w:tcPr>
          <w:p>
            <w:r>
              <w:t>Success Metrics</w:t>
            </w:r>
          </w:p>
        </w:tc>
      </w:tr>
      <w:tr>
        <w:tc>
          <w:tcPr>
            <w:tcW w:type="dxa" w:w="1944"/>
          </w:tcPr>
          <w:p>
            <w:r>
              <w:t>Weeks 1-4</w:t>
            </w:r>
          </w:p>
        </w:tc>
        <w:tc>
          <w:tcPr>
            <w:tcW w:type="dxa" w:w="1944"/>
          </w:tcPr>
          <w:p>
            <w:r>
              <w:t>Onboarding</w:t>
            </w:r>
          </w:p>
        </w:tc>
        <w:tc>
          <w:tcPr>
            <w:tcW w:type="dxa" w:w="1944"/>
          </w:tcPr>
          <w:p>
            <w:r>
              <w:t>5 promoters signed, governance councils formed</w:t>
            </w:r>
          </w:p>
        </w:tc>
        <w:tc>
          <w:tcPr>
            <w:tcW w:type="dxa" w:w="1944"/>
          </w:tcPr>
          <w:p>
            <w:r>
              <w:t>Promoters, RISE leadership</w:t>
            </w:r>
          </w:p>
        </w:tc>
        <w:tc>
          <w:tcPr>
            <w:tcW w:type="dxa" w:w="1944"/>
          </w:tcPr>
          <w:p>
            <w:r>
              <w:t>100% promoter onboarding</w:t>
            </w:r>
          </w:p>
        </w:tc>
      </w:tr>
      <w:tr>
        <w:tc>
          <w:tcPr>
            <w:tcW w:type="dxa" w:w="1944"/>
            <w:shd w:fill="F0F0F5"/>
          </w:tcPr>
          <w:p>
            <w:r>
              <w:t>Weeks 5-8</w:t>
            </w:r>
          </w:p>
        </w:tc>
        <w:tc>
          <w:tcPr>
            <w:tcW w:type="dxa" w:w="1944"/>
            <w:shd w:fill="F0F0F5"/>
          </w:tcPr>
          <w:p>
            <w:r>
              <w:t>AINE Deployment</w:t>
            </w:r>
          </w:p>
        </w:tc>
        <w:tc>
          <w:tcPr>
            <w:tcW w:type="dxa" w:w="1944"/>
            <w:shd w:fill="F0F0F5"/>
          </w:tcPr>
          <w:p>
            <w:r>
              <w:t>5 AINEs live and generating transactions</w:t>
            </w:r>
          </w:p>
        </w:tc>
        <w:tc>
          <w:tcPr>
            <w:tcW w:type="dxa" w:w="1944"/>
            <w:shd w:fill="F0F0F5"/>
          </w:tcPr>
          <w:p>
            <w:r>
              <w:t>Engineers, AINE operators</w:t>
            </w:r>
          </w:p>
        </w:tc>
        <w:tc>
          <w:tcPr>
            <w:tcW w:type="dxa" w:w="1944"/>
            <w:shd w:fill="F0F0F5"/>
          </w:tcPr>
          <w:p>
            <w:r>
              <w:t>5 AINEs operational, 1st revenue</w:t>
            </w:r>
          </w:p>
        </w:tc>
      </w:tr>
      <w:tr>
        <w:tc>
          <w:tcPr>
            <w:tcW w:type="dxa" w:w="1944"/>
          </w:tcPr>
          <w:p>
            <w:r>
              <w:t>Weeks 9-12</w:t>
            </w:r>
          </w:p>
        </w:tc>
        <w:tc>
          <w:tcPr>
            <w:tcW w:type="dxa" w:w="1944"/>
          </w:tcPr>
          <w:p>
            <w:r>
              <w:t>Arisea Launch</w:t>
            </w:r>
          </w:p>
        </w:tc>
        <w:tc>
          <w:tcPr>
            <w:tcW w:type="dxa" w:w="1944"/>
          </w:tcPr>
          <w:p>
            <w:r>
              <w:t>5 Arisea instances with local communities</w:t>
            </w:r>
          </w:p>
        </w:tc>
        <w:tc>
          <w:tcPr>
            <w:tcW w:type="dxa" w:w="1944"/>
          </w:tcPr>
          <w:p>
            <w:r>
              <w:t>Communities, marketplace participants</w:t>
            </w:r>
          </w:p>
        </w:tc>
        <w:tc>
          <w:tcPr>
            <w:tcW w:type="dxa" w:w="1944"/>
          </w:tcPr>
          <w:p>
            <w:r>
              <w:t>10,000+ users, marketplace active</w:t>
            </w:r>
          </w:p>
        </w:tc>
      </w:tr>
    </w:tbl>
    <w:p>
      <w:r>
        <w:br w:type="page"/>
      </w:r>
    </w:p>
    <w:p>
      <w:pPr>
        <w:pStyle w:val="Heading1"/>
        <w:spacing w:before="360" w:after="240" w:lineRule="exact" w:line="680"/>
      </w:pPr>
      <w:r>
        <w:rPr>
          <w:rFonts w:ascii="Arial" w:hAnsi="Arial"/>
          <w:b/>
          <w:color w:val="1A1A2E"/>
          <w:sz w:val="56"/>
        </w:rPr>
        <w:t>APPENDICES</w:t>
      </w:r>
    </w:p>
    <w:p>
      <w:pPr>
        <w:pStyle w:val="Heading2"/>
        <w:spacing w:before="280" w:after="200" w:lineRule="exact" w:line="540"/>
      </w:pPr>
      <w:r>
        <w:rPr>
          <w:rFonts w:ascii="Arial" w:hAnsi="Arial"/>
          <w:b/>
          <w:color w:val="1A1A2E"/>
          <w:sz w:val="44"/>
        </w:rPr>
        <w:t>Appendix A: Entity Registry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430"/>
            <w:shd w:fill="1A1A2E"/>
          </w:tcPr>
          <w:p>
            <w:r>
              <w:t>Entity</w:t>
            </w:r>
          </w:p>
        </w:tc>
        <w:tc>
          <w:tcPr>
            <w:tcW w:type="dxa" w:w="2430"/>
            <w:shd w:fill="1A1A2E"/>
          </w:tcPr>
          <w:p>
            <w:r>
              <w:t>Type</w:t>
            </w:r>
          </w:p>
        </w:tc>
        <w:tc>
          <w:tcPr>
            <w:tcW w:type="dxa" w:w="2430"/>
            <w:shd w:fill="1A1A2E"/>
          </w:tcPr>
          <w:p>
            <w:r>
              <w:t>Role</w:t>
            </w:r>
          </w:p>
        </w:tc>
        <w:tc>
          <w:tcPr>
            <w:tcW w:type="dxa" w:w="2430"/>
            <w:shd w:fill="1A1A2E"/>
          </w:tcPr>
          <w:p>
            <w:r>
              <w:t>Status</w:t>
            </w:r>
          </w:p>
        </w:tc>
      </w:tr>
      <w:tr>
        <w:tc>
          <w:tcPr>
            <w:tcW w:type="dxa" w:w="2430"/>
          </w:tcPr>
          <w:p>
            <w:r>
              <w:t>AINEFF</w:t>
            </w:r>
          </w:p>
        </w:tc>
        <w:tc>
          <w:tcPr>
            <w:tcW w:type="dxa" w:w="2430"/>
          </w:tcPr>
          <w:p>
            <w:r>
              <w:t>Constitutional Layer</w:t>
            </w:r>
          </w:p>
        </w:tc>
        <w:tc>
          <w:tcPr>
            <w:tcW w:type="dxa" w:w="2430"/>
          </w:tcPr>
          <w:p>
            <w:r>
              <w:t>Governance framework and immutable rules</w:t>
            </w:r>
          </w:p>
        </w:tc>
        <w:tc>
          <w:tcPr>
            <w:tcW w:type="dxa" w:w="2430"/>
          </w:tcPr>
          <w:p>
            <w:r>
              <w:t>Active</w:t>
            </w:r>
          </w:p>
        </w:tc>
      </w:tr>
      <w:tr>
        <w:tc>
          <w:tcPr>
            <w:tcW w:type="dxa" w:w="2430"/>
            <w:shd w:fill="F0F0F5"/>
          </w:tcPr>
          <w:p>
            <w:r>
              <w:t>AINEF</w:t>
            </w:r>
          </w:p>
        </w:tc>
        <w:tc>
          <w:tcPr>
            <w:tcW w:type="dxa" w:w="2430"/>
            <w:shd w:fill="F0F0F5"/>
          </w:tcPr>
          <w:p>
            <w:r>
              <w:t>Factory</w:t>
            </w:r>
          </w:p>
        </w:tc>
        <w:tc>
          <w:tcPr>
            <w:tcW w:type="dxa" w:w="2430"/>
            <w:shd w:fill="F0F0F5"/>
          </w:tcPr>
          <w:p>
            <w:r>
              <w:t>Enterprise creation and lifecycle management</w:t>
            </w:r>
          </w:p>
        </w:tc>
        <w:tc>
          <w:tcPr>
            <w:tcW w:type="dxa" w:w="2430"/>
            <w:shd w:fill="F0F0F5"/>
          </w:tcPr>
          <w:p>
            <w:r>
              <w:t>Active</w:t>
            </w:r>
          </w:p>
        </w:tc>
      </w:tr>
      <w:tr>
        <w:tc>
          <w:tcPr>
            <w:tcW w:type="dxa" w:w="2430"/>
          </w:tcPr>
          <w:p>
            <w:r>
              <w:t>AINEG</w:t>
            </w:r>
          </w:p>
        </w:tc>
        <w:tc>
          <w:tcPr>
            <w:tcW w:type="dxa" w:w="2430"/>
          </w:tcPr>
          <w:p>
            <w:r>
              <w:t>Coordination</w:t>
            </w:r>
          </w:p>
        </w:tc>
        <w:tc>
          <w:tcPr>
            <w:tcW w:type="dxa" w:w="2430"/>
          </w:tcPr>
          <w:p>
            <w:r>
              <w:t>Geographic and regulatory deployment</w:t>
            </w:r>
          </w:p>
        </w:tc>
        <w:tc>
          <w:tcPr>
            <w:tcW w:type="dxa" w:w="2430"/>
          </w:tcPr>
          <w:p>
            <w:r>
              <w:t>Active</w:t>
            </w:r>
          </w:p>
        </w:tc>
      </w:tr>
      <w:tr>
        <w:tc>
          <w:tcPr>
            <w:tcW w:type="dxa" w:w="2430"/>
            <w:shd w:fill="F0F0F5"/>
          </w:tcPr>
          <w:p>
            <w:r>
              <w:t>Aureya</w:t>
            </w:r>
          </w:p>
        </w:tc>
        <w:tc>
          <w:tcPr>
            <w:tcW w:type="dxa" w:w="2430"/>
            <w:shd w:fill="F0F0F5"/>
          </w:tcPr>
          <w:p>
            <w:r>
              <w:t>Platform</w:t>
            </w:r>
          </w:p>
        </w:tc>
        <w:tc>
          <w:tcPr>
            <w:tcW w:type="dxa" w:w="2430"/>
            <w:shd w:fill="F0F0F5"/>
          </w:tcPr>
          <w:p>
            <w:r>
              <w:t>Global coordination infrastructure</w:t>
            </w:r>
          </w:p>
        </w:tc>
        <w:tc>
          <w:tcPr>
            <w:tcW w:type="dxa" w:w="2430"/>
            <w:shd w:fill="F0F0F5"/>
          </w:tcPr>
          <w:p>
            <w:r>
              <w:t>Active</w:t>
            </w:r>
          </w:p>
        </w:tc>
      </w:tr>
      <w:tr>
        <w:tc>
          <w:tcPr>
            <w:tcW w:type="dxa" w:w="2430"/>
          </w:tcPr>
          <w:p>
            <w:r>
              <w:t>Arisea</w:t>
            </w:r>
          </w:p>
        </w:tc>
        <w:tc>
          <w:tcPr>
            <w:tcW w:type="dxa" w:w="2430"/>
          </w:tcPr>
          <w:p>
            <w:r>
              <w:t>Community</w:t>
            </w:r>
          </w:p>
        </w:tc>
        <w:tc>
          <w:tcPr>
            <w:tcW w:type="dxa" w:w="2430"/>
          </w:tcPr>
          <w:p>
            <w:r>
              <w:t>Sovereign community nodes</w:t>
            </w:r>
          </w:p>
        </w:tc>
        <w:tc>
          <w:tcPr>
            <w:tcW w:type="dxa" w:w="2430"/>
          </w:tcPr>
          <w:p>
            <w:r>
              <w:t>Deploying</w:t>
            </w:r>
          </w:p>
        </w:tc>
      </w:tr>
      <w:tr>
        <w:tc>
          <w:tcPr>
            <w:tcW w:type="dxa" w:w="2430"/>
            <w:shd w:fill="F0F0F5"/>
          </w:tcPr>
          <w:p>
            <w:r>
              <w:t>Frankmax</w:t>
            </w:r>
          </w:p>
        </w:tc>
        <w:tc>
          <w:tcPr>
            <w:tcW w:type="dxa" w:w="2430"/>
            <w:shd w:fill="F0F0F5"/>
          </w:tcPr>
          <w:p>
            <w:r>
              <w:t>Entity</w:t>
            </w:r>
          </w:p>
        </w:tc>
        <w:tc>
          <w:tcPr>
            <w:tcW w:type="dxa" w:w="2430"/>
            <w:shd w:fill="F0F0F5"/>
          </w:tcPr>
          <w:p>
            <w:r>
              <w:t>Product and services ecosystem</w:t>
            </w:r>
          </w:p>
        </w:tc>
        <w:tc>
          <w:tcPr>
            <w:tcW w:type="dxa" w:w="2430"/>
            <w:shd w:fill="F0F0F5"/>
          </w:tcPr>
          <w:p>
            <w:r>
              <w:t>Active</w:t>
            </w:r>
          </w:p>
        </w:tc>
      </w:tr>
      <w:tr>
        <w:tc>
          <w:tcPr>
            <w:tcW w:type="dxa" w:w="2430"/>
          </w:tcPr>
          <w:p>
            <w:r>
              <w:t>Levelupmax</w:t>
            </w:r>
          </w:p>
        </w:tc>
        <w:tc>
          <w:tcPr>
            <w:tcW w:type="dxa" w:w="2430"/>
          </w:tcPr>
          <w:p>
            <w:r>
              <w:t>Entity</w:t>
            </w:r>
          </w:p>
        </w:tc>
        <w:tc>
          <w:tcPr>
            <w:tcW w:type="dxa" w:w="2430"/>
          </w:tcPr>
          <w:p>
            <w:r>
              <w:t>Learning and skill development</w:t>
            </w:r>
          </w:p>
        </w:tc>
        <w:tc>
          <w:tcPr>
            <w:tcW w:type="dxa" w:w="2430"/>
          </w:tcPr>
          <w:p>
            <w:r>
              <w:t>Active</w:t>
            </w:r>
          </w:p>
        </w:tc>
      </w:tr>
      <w:tr>
        <w:tc>
          <w:tcPr>
            <w:tcW w:type="dxa" w:w="2430"/>
            <w:shd w:fill="F0F0F5"/>
          </w:tcPr>
          <w:p>
            <w:r>
              <w:t>Agentcoders</w:t>
            </w:r>
          </w:p>
        </w:tc>
        <w:tc>
          <w:tcPr>
            <w:tcW w:type="dxa" w:w="2430"/>
            <w:shd w:fill="F0F0F5"/>
          </w:tcPr>
          <w:p>
            <w:r>
              <w:t>Entity</w:t>
            </w:r>
          </w:p>
        </w:tc>
        <w:tc>
          <w:tcPr>
            <w:tcW w:type="dxa" w:w="2430"/>
            <w:shd w:fill="F0F0F5"/>
          </w:tcPr>
          <w:p>
            <w:r>
              <w:t>AI agent development and orchestration</w:t>
            </w:r>
          </w:p>
        </w:tc>
        <w:tc>
          <w:tcPr>
            <w:tcW w:type="dxa" w:w="2430"/>
            <w:shd w:fill="F0F0F5"/>
          </w:tcPr>
          <w:p>
            <w:r>
              <w:t>Active</w:t>
            </w:r>
          </w:p>
        </w:tc>
      </w:tr>
      <w:tr>
        <w:tc>
          <w:tcPr>
            <w:tcW w:type="dxa" w:w="2430"/>
          </w:tcPr>
          <w:p>
            <w:r>
              <w:t>Novaterra</w:t>
            </w:r>
          </w:p>
        </w:tc>
        <w:tc>
          <w:tcPr>
            <w:tcW w:type="dxa" w:w="2430"/>
          </w:tcPr>
          <w:p>
            <w:r>
              <w:t>Entity</w:t>
            </w:r>
          </w:p>
        </w:tc>
        <w:tc>
          <w:tcPr>
            <w:tcW w:type="dxa" w:w="2430"/>
          </w:tcPr>
          <w:p>
            <w:r>
              <w:t>Global talent marketplace and deployment</w:t>
            </w:r>
          </w:p>
        </w:tc>
        <w:tc>
          <w:tcPr>
            <w:tcW w:type="dxa" w:w="2430"/>
          </w:tcPr>
          <w:p>
            <w:r>
              <w:t>Active</w:t>
            </w:r>
          </w:p>
        </w:tc>
      </w:tr>
      <w:tr>
        <w:tc>
          <w:tcPr>
            <w:tcW w:type="dxa" w:w="2430"/>
            <w:shd w:fill="F0F0F5"/>
          </w:tcPr>
          <w:p>
            <w:r>
              <w:t>SkillTrek</w:t>
            </w:r>
          </w:p>
        </w:tc>
        <w:tc>
          <w:tcPr>
            <w:tcW w:type="dxa" w:w="2430"/>
            <w:shd w:fill="F0F0F5"/>
          </w:tcPr>
          <w:p>
            <w:r>
              <w:t>Entity</w:t>
            </w:r>
          </w:p>
        </w:tc>
        <w:tc>
          <w:tcPr>
            <w:tcW w:type="dxa" w:w="2430"/>
            <w:shd w:fill="F0F0F5"/>
          </w:tcPr>
          <w:p>
            <w:r>
              <w:t>Trade secrets and expertise monetization</w:t>
            </w:r>
          </w:p>
        </w:tc>
        <w:tc>
          <w:tcPr>
            <w:tcW w:type="dxa" w:w="2430"/>
            <w:shd w:fill="F0F0F5"/>
          </w:tcPr>
          <w:p>
            <w:r>
              <w:t>Active</w:t>
            </w:r>
          </w:p>
        </w:tc>
      </w:tr>
      <w:tr>
        <w:tc>
          <w:tcPr>
            <w:tcW w:type="dxa" w:w="2430"/>
          </w:tcPr>
          <w:p>
            <w:r>
              <w:t>Onestop</w:t>
            </w:r>
          </w:p>
        </w:tc>
        <w:tc>
          <w:tcPr>
            <w:tcW w:type="dxa" w:w="2430"/>
          </w:tcPr>
          <w:p>
            <w:r>
              <w:t>Entity</w:t>
            </w:r>
          </w:p>
        </w:tc>
        <w:tc>
          <w:tcPr>
            <w:tcW w:type="dxa" w:w="2430"/>
          </w:tcPr>
          <w:p>
            <w:r>
              <w:t>Hardware infrastructure and compute</w:t>
            </w:r>
          </w:p>
        </w:tc>
        <w:tc>
          <w:tcPr>
            <w:tcW w:type="dxa" w:w="2430"/>
          </w:tcPr>
          <w:p>
            <w:r>
              <w:t>Deploying</w:t>
            </w:r>
          </w:p>
        </w:tc>
      </w:tr>
      <w:tr>
        <w:tc>
          <w:tcPr>
            <w:tcW w:type="dxa" w:w="2430"/>
            <w:shd w:fill="F0F0F5"/>
          </w:tcPr>
          <w:p>
            <w:r>
              <w:t>E-AEGL</w:t>
            </w:r>
          </w:p>
        </w:tc>
        <w:tc>
          <w:tcPr>
            <w:tcW w:type="dxa" w:w="2430"/>
            <w:shd w:fill="F0F0F5"/>
          </w:tcPr>
          <w:p>
            <w:r>
              <w:t>Governance</w:t>
            </w:r>
          </w:p>
        </w:tc>
        <w:tc>
          <w:tcPr>
            <w:tcW w:type="dxa" w:w="2430"/>
            <w:shd w:fill="F0F0F5"/>
          </w:tcPr>
          <w:p>
            <w:r>
              <w:t>Audit, ethics, governance, legal layer</w:t>
            </w:r>
          </w:p>
        </w:tc>
        <w:tc>
          <w:tcPr>
            <w:tcW w:type="dxa" w:w="2430"/>
            <w:shd w:fill="F0F0F5"/>
          </w:tcPr>
          <w:p>
            <w:r>
              <w:t>Active</w:t>
            </w:r>
          </w:p>
        </w:tc>
      </w:tr>
    </w:tbl>
    <w:p>
      <w:pPr>
        <w:pStyle w:val="Heading2"/>
        <w:spacing w:before="280" w:after="200" w:lineRule="exact" w:line="540"/>
      </w:pPr>
      <w:r>
        <w:rPr>
          <w:rFonts w:ascii="Arial" w:hAnsi="Arial"/>
          <w:b/>
          <w:color w:val="1A1A2E"/>
          <w:sz w:val="44"/>
        </w:rPr>
        <w:t>Appendix B: Classification System Coverage</w:t>
      </w:r>
    </w:p>
    <w:tbl>
      <w:tblPr>
        <w:tblStyle w:val="LightGrid-Accent1"/>
        <w:tblW w:type="auto" w:w="0"/>
        <w:tblLook w:firstColumn="1" w:firstRow="1" w:lastColumn="0" w:lastRow="0" w:noHBand="0" w:noVBand="1" w:val="04A0"/>
      </w:tblPr>
      <w:tblGrid>
        <w:gridCol w:w="3120"/>
        <w:gridCol w:w="3120"/>
        <w:gridCol w:w="3120"/>
      </w:tblGrid>
      <w:tr>
        <w:tc>
          <w:tcPr>
            <w:tcW w:type="dxa" w:w="3240"/>
            <w:shd w:fill="1A1A2E"/>
          </w:tcPr>
          <w:p>
            <w:r>
              <w:t>System</w:t>
            </w:r>
          </w:p>
        </w:tc>
        <w:tc>
          <w:tcPr>
            <w:tcW w:type="dxa" w:w="3240"/>
            <w:shd w:fill="1A1A2E"/>
          </w:tcPr>
          <w:p>
            <w:r>
              <w:t>Coverage</w:t>
            </w:r>
          </w:p>
        </w:tc>
        <w:tc>
          <w:tcPr>
            <w:tcW w:type="dxa" w:w="3240"/>
            <w:shd w:fill="1A1A2E"/>
          </w:tcPr>
          <w:p>
            <w:r>
              <w:t>Integration Status</w:t>
            </w:r>
          </w:p>
        </w:tc>
      </w:tr>
      <w:tr>
        <w:tc>
          <w:tcPr>
            <w:tcW w:type="dxa" w:w="3240"/>
          </w:tcPr>
          <w:p>
            <w:r>
              <w:t>NAICS (US)</w:t>
            </w:r>
          </w:p>
        </w:tc>
        <w:tc>
          <w:tcPr>
            <w:tcW w:type="dxa" w:w="3240"/>
          </w:tcPr>
          <w:p>
            <w:r>
              <w:t>20,000+ codes</w:t>
            </w:r>
          </w:p>
        </w:tc>
        <w:tc>
          <w:tcPr>
            <w:tcW w:type="dxa" w:w="3240"/>
          </w:tcPr>
          <w:p>
            <w:r>
              <w:t>Fully mapped</w:t>
            </w:r>
          </w:p>
        </w:tc>
      </w:tr>
      <w:tr>
        <w:tc>
          <w:tcPr>
            <w:tcW w:type="dxa" w:w="3240"/>
            <w:shd w:fill="F0F0F5"/>
          </w:tcPr>
          <w:p>
            <w:r>
              <w:t>SIC (US)</w:t>
            </w:r>
          </w:p>
        </w:tc>
        <w:tc>
          <w:tcPr>
            <w:tcW w:type="dxa" w:w="3240"/>
            <w:shd w:fill="F0F0F5"/>
          </w:tcPr>
          <w:p>
            <w:r>
              <w:t>1,000+ codes</w:t>
            </w:r>
          </w:p>
        </w:tc>
        <w:tc>
          <w:tcPr>
            <w:tcW w:type="dxa" w:w="3240"/>
            <w:shd w:fill="F0F0F5"/>
          </w:tcPr>
          <w:p>
            <w:r>
              <w:t>Fully mapped</w:t>
            </w:r>
          </w:p>
        </w:tc>
      </w:tr>
      <w:tr>
        <w:tc>
          <w:tcPr>
            <w:tcW w:type="dxa" w:w="3240"/>
          </w:tcPr>
          <w:p>
            <w:r>
              <w:t>ISIC (UN)</w:t>
            </w:r>
          </w:p>
        </w:tc>
        <w:tc>
          <w:tcPr>
            <w:tcW w:type="dxa" w:w="3240"/>
          </w:tcPr>
          <w:p>
            <w:r>
              <w:t>4,000+ codes</w:t>
            </w:r>
          </w:p>
        </w:tc>
        <w:tc>
          <w:tcPr>
            <w:tcW w:type="dxa" w:w="3240"/>
          </w:tcPr>
          <w:p>
            <w:r>
              <w:t>Fully mapped</w:t>
            </w:r>
          </w:p>
        </w:tc>
      </w:tr>
      <w:tr>
        <w:tc>
          <w:tcPr>
            <w:tcW w:type="dxa" w:w="3240"/>
            <w:shd w:fill="F0F0F5"/>
          </w:tcPr>
          <w:p>
            <w:r>
              <w:t>NACE (EU)</w:t>
            </w:r>
          </w:p>
        </w:tc>
        <w:tc>
          <w:tcPr>
            <w:tcW w:type="dxa" w:w="3240"/>
            <w:shd w:fill="F0F0F5"/>
          </w:tcPr>
          <w:p>
            <w:r>
              <w:t>600+ codes</w:t>
            </w:r>
          </w:p>
        </w:tc>
        <w:tc>
          <w:tcPr>
            <w:tcW w:type="dxa" w:w="3240"/>
            <w:shd w:fill="F0F0F5"/>
          </w:tcPr>
          <w:p>
            <w:r>
              <w:t>Fully mapped</w:t>
            </w:r>
          </w:p>
        </w:tc>
      </w:tr>
      <w:tr>
        <w:tc>
          <w:tcPr>
            <w:tcW w:type="dxa" w:w="3240"/>
          </w:tcPr>
          <w:p>
            <w:r>
              <w:t>HS (WCO)</w:t>
            </w:r>
          </w:p>
        </w:tc>
        <w:tc>
          <w:tcPr>
            <w:tcW w:type="dxa" w:w="3240"/>
          </w:tcPr>
          <w:p>
            <w:r>
              <w:t>5,000+ codes</w:t>
            </w:r>
          </w:p>
        </w:tc>
        <w:tc>
          <w:tcPr>
            <w:tcW w:type="dxa" w:w="3240"/>
          </w:tcPr>
          <w:p>
            <w:r>
              <w:t>Fully mapped</w:t>
            </w:r>
          </w:p>
        </w:tc>
      </w:tr>
      <w:tr>
        <w:tc>
          <w:tcPr>
            <w:tcW w:type="dxa" w:w="3240"/>
            <w:shd w:fill="F0F0F5"/>
          </w:tcPr>
          <w:p>
            <w:r>
              <w:t>UNSPSC</w:t>
            </w:r>
          </w:p>
        </w:tc>
        <w:tc>
          <w:tcPr>
            <w:tcW w:type="dxa" w:w="3240"/>
            <w:shd w:fill="F0F0F5"/>
          </w:tcPr>
          <w:p>
            <w:r>
              <w:t>50,000+ codes</w:t>
            </w:r>
          </w:p>
        </w:tc>
        <w:tc>
          <w:tcPr>
            <w:tcW w:type="dxa" w:w="3240"/>
            <w:shd w:fill="F0F0F5"/>
          </w:tcPr>
          <w:p>
            <w:r>
              <w:t>Mapped</w:t>
            </w:r>
          </w:p>
        </w:tc>
      </w:tr>
      <w:tr>
        <w:tc>
          <w:tcPr>
            <w:tcW w:type="dxa" w:w="3240"/>
          </w:tcPr>
          <w:p>
            <w:r>
              <w:t>PSAC</w:t>
            </w:r>
          </w:p>
        </w:tc>
        <w:tc>
          <w:tcPr>
            <w:tcW w:type="dxa" w:w="3240"/>
          </w:tcPr>
          <w:p>
            <w:r>
              <w:t>10,000+ codes</w:t>
            </w:r>
          </w:p>
        </w:tc>
        <w:tc>
          <w:tcPr>
            <w:tcW w:type="dxa" w:w="3240"/>
          </w:tcPr>
          <w:p>
            <w:r>
              <w:t>Mapped</w:t>
            </w:r>
          </w:p>
        </w:tc>
      </w:tr>
      <w:tr>
        <w:tc>
          <w:tcPr>
            <w:tcW w:type="dxa" w:w="3240"/>
            <w:shd w:fill="F0F0F5"/>
          </w:tcPr>
          <w:p>
            <w:r>
              <w:t>GTIN</w:t>
            </w:r>
          </w:p>
        </w:tc>
        <w:tc>
          <w:tcPr>
            <w:tcW w:type="dxa" w:w="3240"/>
            <w:shd w:fill="F0F0F5"/>
          </w:tcPr>
          <w:p>
            <w:r>
              <w:t>Unlimited</w:t>
            </w:r>
          </w:p>
        </w:tc>
        <w:tc>
          <w:tcPr>
            <w:tcW w:type="dxa" w:w="3240"/>
            <w:shd w:fill="F0F0F5"/>
          </w:tcPr>
          <w:p>
            <w:r>
              <w:t>Mapped</w:t>
            </w:r>
          </w:p>
        </w:tc>
      </w:tr>
      <w:tr>
        <w:tc>
          <w:tcPr>
            <w:tcW w:type="dxa" w:w="3240"/>
          </w:tcPr>
          <w:p>
            <w:r>
              <w:t>Industry Verticals</w:t>
            </w:r>
          </w:p>
        </w:tc>
        <w:tc>
          <w:tcPr>
            <w:tcW w:type="dxa" w:w="3240"/>
          </w:tcPr>
          <w:p>
            <w:r>
              <w:t>80+ verticals</w:t>
            </w:r>
          </w:p>
        </w:tc>
        <w:tc>
          <w:tcPr>
            <w:tcW w:type="dxa" w:w="3240"/>
          </w:tcPr>
          <w:p>
            <w:r>
              <w:t>Fully mapped</w:t>
            </w:r>
          </w:p>
        </w:tc>
      </w:tr>
      <w:tr>
        <w:tc>
          <w:tcPr>
            <w:tcW w:type="dxa" w:w="3240"/>
            <w:shd w:fill="F0F0F5"/>
          </w:tcPr>
          <w:p>
            <w:r>
              <w:t>Business Functions</w:t>
            </w:r>
          </w:p>
        </w:tc>
        <w:tc>
          <w:tcPr>
            <w:tcW w:type="dxa" w:w="3240"/>
            <w:shd w:fill="F0F0F5"/>
          </w:tcPr>
          <w:p>
            <w:r>
              <w:t>12 functions</w:t>
            </w:r>
          </w:p>
        </w:tc>
        <w:tc>
          <w:tcPr>
            <w:tcW w:type="dxa" w:w="3240"/>
            <w:shd w:fill="F0F0F5"/>
          </w:tcPr>
          <w:p>
            <w:r>
              <w:t>Fully mapped</w:t>
            </w:r>
          </w:p>
        </w:tc>
      </w:tr>
      <w:tr>
        <w:tc>
          <w:tcPr>
            <w:tcW w:type="dxa" w:w="3240"/>
          </w:tcPr>
          <w:p>
            <w:r>
              <w:t>Processes</w:t>
            </w:r>
          </w:p>
        </w:tc>
        <w:tc>
          <w:tcPr>
            <w:tcW w:type="dxa" w:w="3240"/>
          </w:tcPr>
          <w:p>
            <w:r>
              <w:t>50+ processes</w:t>
            </w:r>
          </w:p>
        </w:tc>
        <w:tc>
          <w:tcPr>
            <w:tcW w:type="dxa" w:w="3240"/>
          </w:tcPr>
          <w:p>
            <w:r>
              <w:t>Fully mapped</w:t>
            </w:r>
          </w:p>
        </w:tc>
      </w:tr>
      <w:tr>
        <w:tc>
          <w:tcPr>
            <w:tcW w:type="dxa" w:w="3240"/>
            <w:shd w:fill="F0F0F5"/>
          </w:tcPr>
          <w:p>
            <w:r>
              <w:t>Entropy Dimensions</w:t>
            </w:r>
          </w:p>
        </w:tc>
        <w:tc>
          <w:tcPr>
            <w:tcW w:type="dxa" w:w="3240"/>
            <w:shd w:fill="F0F0F5"/>
          </w:tcPr>
          <w:p>
            <w:r>
              <w:t>8 dimensions</w:t>
            </w:r>
          </w:p>
        </w:tc>
        <w:tc>
          <w:tcPr>
            <w:tcW w:type="dxa" w:w="3240"/>
            <w:shd w:fill="F0F0F5"/>
          </w:tcPr>
          <w:p>
            <w:r>
              <w:t>Fully mapped</w:t>
            </w:r>
          </w:p>
        </w:tc>
      </w:tr>
      <w:tr>
        <w:tc>
          <w:tcPr>
            <w:tcW w:type="dxa" w:w="3240"/>
          </w:tcPr>
          <w:p>
            <w:r>
              <w:t>Geographic Zones</w:t>
            </w:r>
          </w:p>
        </w:tc>
        <w:tc>
          <w:tcPr>
            <w:tcW w:type="dxa" w:w="3240"/>
          </w:tcPr>
          <w:p>
            <w:r>
              <w:t>250 countries</w:t>
            </w:r>
          </w:p>
        </w:tc>
        <w:tc>
          <w:tcPr>
            <w:tcW w:type="dxa" w:w="3240"/>
          </w:tcPr>
          <w:p>
            <w:r>
              <w:t>Fully mapped</w:t>
            </w:r>
          </w:p>
        </w:tc>
      </w:tr>
      <w:tr>
        <w:tc>
          <w:tcPr>
            <w:tcW w:type="dxa" w:w="3240"/>
            <w:shd w:fill="F0F0F5"/>
          </w:tcPr>
          <w:p>
            <w:r>
              <w:t>Regulatory Domains</w:t>
            </w:r>
          </w:p>
        </w:tc>
        <w:tc>
          <w:tcPr>
            <w:tcW w:type="dxa" w:w="3240"/>
            <w:shd w:fill="F0F0F5"/>
          </w:tcPr>
          <w:p>
            <w:r>
              <w:t>100+ domains</w:t>
            </w:r>
          </w:p>
        </w:tc>
        <w:tc>
          <w:tcPr>
            <w:tcW w:type="dxa" w:w="3240"/>
            <w:shd w:fill="F0F0F5"/>
          </w:tcPr>
          <w:p>
            <w:r>
              <w:t>Fully mapped</w:t>
            </w:r>
          </w:p>
        </w:tc>
      </w:tr>
      <w:tr>
        <w:tc>
          <w:tcPr>
            <w:tcW w:type="dxa" w:w="3240"/>
          </w:tcPr>
          <w:p>
            <w:r>
              <w:t>Stakeholder Types</w:t>
            </w:r>
          </w:p>
        </w:tc>
        <w:tc>
          <w:tcPr>
            <w:tcW w:type="dxa" w:w="3240"/>
          </w:tcPr>
          <w:p>
            <w:r>
              <w:t>15+ types</w:t>
            </w:r>
          </w:p>
        </w:tc>
        <w:tc>
          <w:tcPr>
            <w:tcW w:type="dxa" w:w="3240"/>
          </w:tcPr>
          <w:p>
            <w:r>
              <w:t>Fully mapped</w:t>
            </w:r>
          </w:p>
        </w:tc>
      </w:tr>
      <w:tr>
        <w:tc>
          <w:tcPr>
            <w:tcW w:type="dxa" w:w="3240"/>
            <w:shd w:fill="F0F0F5"/>
          </w:tcPr>
          <w:p>
            <w:r>
              <w:t>Organizational Levels</w:t>
            </w:r>
          </w:p>
        </w:tc>
        <w:tc>
          <w:tcPr>
            <w:tcW w:type="dxa" w:w="3240"/>
            <w:shd w:fill="F0F0F5"/>
          </w:tcPr>
          <w:p>
            <w:r>
              <w:t>7 levels</w:t>
            </w:r>
          </w:p>
        </w:tc>
        <w:tc>
          <w:tcPr>
            <w:tcW w:type="dxa" w:w="3240"/>
            <w:shd w:fill="F0F0F5"/>
          </w:tcPr>
          <w:p>
            <w:r>
              <w:t>Fully mapped</w:t>
            </w:r>
          </w:p>
        </w:tc>
      </w:tr>
    </w:tbl>
    <w:p>
      <w:pPr>
        <w:pStyle w:val="Heading2"/>
        <w:spacing w:before="280" w:after="200" w:lineRule="exact" w:line="540"/>
      </w:pPr>
      <w:r>
        <w:rPr>
          <w:rFonts w:ascii="Arial" w:hAnsi="Arial"/>
          <w:b/>
          <w:color w:val="1A1A2E"/>
          <w:sz w:val="44"/>
        </w:rPr>
        <w:t>Appendix C: Glossary of Terms</w:t>
      </w:r>
    </w:p>
    <w:p>
      <w:pPr>
        <w:pStyle w:val="Heading3"/>
        <w:spacing w:before="240" w:after="160"/>
      </w:pPr>
      <w:r>
        <w:rPr>
          <w:rFonts w:ascii="Arial" w:hAnsi="Arial"/>
          <w:b/>
          <w:color w:val="533483"/>
          <w:sz w:val="32"/>
        </w:rPr>
        <w:t>AINE</w:t>
      </w:r>
    </w:p>
    <w:p>
      <w:pPr>
        <w:spacing w:after="200" w:lineRule="exact" w:line="260"/>
      </w:pPr>
      <w:r>
        <w:rPr>
          <w:rFonts w:ascii="Arial" w:hAnsi="Arial"/>
          <w:color w:val="000000"/>
          <w:sz w:val="22"/>
        </w:rPr>
        <w:t>AI-Native Enterprise — Autonomous, AI-powered operational unit executing domain-specific work</w:t>
      </w:r>
    </w:p>
    <w:p>
      <w:pPr>
        <w:pStyle w:val="Heading3"/>
        <w:spacing w:before="240" w:after="160"/>
      </w:pPr>
      <w:r>
        <w:rPr>
          <w:rFonts w:ascii="Arial" w:hAnsi="Arial"/>
          <w:b/>
          <w:color w:val="533483"/>
          <w:sz w:val="32"/>
        </w:rPr>
        <w:t>AINEF</w:t>
      </w:r>
    </w:p>
    <w:p>
      <w:pPr>
        <w:spacing w:after="200" w:lineRule="exact" w:line="260"/>
      </w:pPr>
      <w:r>
        <w:rPr>
          <w:rFonts w:ascii="Arial" w:hAnsi="Arial"/>
          <w:color w:val="000000"/>
          <w:sz w:val="22"/>
        </w:rPr>
        <w:t>AI-Native Enterprise Factory — System for creating and launching new AINEs</w:t>
      </w:r>
    </w:p>
    <w:p>
      <w:pPr>
        <w:pStyle w:val="Heading3"/>
        <w:spacing w:before="240" w:after="160"/>
      </w:pPr>
      <w:r>
        <w:rPr>
          <w:rFonts w:ascii="Arial" w:hAnsi="Arial"/>
          <w:b/>
          <w:color w:val="533483"/>
          <w:sz w:val="32"/>
        </w:rPr>
        <w:t>AINEG</w:t>
      </w:r>
    </w:p>
    <w:p>
      <w:pPr>
        <w:spacing w:after="200" w:lineRule="exact" w:line="260"/>
      </w:pPr>
      <w:r>
        <w:rPr>
          <w:rFonts w:ascii="Arial" w:hAnsi="Arial"/>
          <w:color w:val="000000"/>
          <w:sz w:val="22"/>
        </w:rPr>
        <w:t>AI-Native Enterprise Geographic — Geographic coordination and regulatory deployment layer</w:t>
      </w:r>
    </w:p>
    <w:p>
      <w:pPr>
        <w:pStyle w:val="Heading3"/>
        <w:spacing w:before="240" w:after="160"/>
      </w:pPr>
      <w:r>
        <w:rPr>
          <w:rFonts w:ascii="Arial" w:hAnsi="Arial"/>
          <w:b/>
          <w:color w:val="533483"/>
          <w:sz w:val="32"/>
        </w:rPr>
        <w:t>AINEFF</w:t>
      </w:r>
    </w:p>
    <w:p>
      <w:pPr>
        <w:spacing w:after="200" w:lineRule="exact" w:line="260"/>
      </w:pPr>
      <w:r>
        <w:rPr>
          <w:rFonts w:ascii="Arial" w:hAnsi="Arial"/>
          <w:color w:val="000000"/>
          <w:sz w:val="22"/>
        </w:rPr>
        <w:t>AI-Native Enterprise Foundational Framework — Constitutional governance layer</w:t>
      </w:r>
    </w:p>
    <w:p>
      <w:pPr>
        <w:pStyle w:val="Heading3"/>
        <w:spacing w:before="240" w:after="160"/>
      </w:pPr>
      <w:r>
        <w:rPr>
          <w:rFonts w:ascii="Arial" w:hAnsi="Arial"/>
          <w:b/>
          <w:color w:val="533483"/>
          <w:sz w:val="32"/>
        </w:rPr>
        <w:t>AINEOU</w:t>
      </w:r>
    </w:p>
    <w:p>
      <w:pPr>
        <w:spacing w:after="200" w:lineRule="exact" w:line="260"/>
      </w:pPr>
      <w:r>
        <w:rPr>
          <w:rFonts w:ascii="Arial" w:hAnsi="Arial"/>
          <w:color w:val="000000"/>
          <w:sz w:val="22"/>
        </w:rPr>
        <w:t>AINE Operational Unit — Department or functional division within an AINE</w:t>
      </w:r>
    </w:p>
    <w:p>
      <w:pPr>
        <w:pStyle w:val="Heading3"/>
        <w:spacing w:before="240" w:after="160"/>
      </w:pPr>
      <w:r>
        <w:rPr>
          <w:rFonts w:ascii="Arial" w:hAnsi="Arial"/>
          <w:b/>
          <w:color w:val="533483"/>
          <w:sz w:val="32"/>
        </w:rPr>
        <w:t>AINEOUT</w:t>
      </w:r>
    </w:p>
    <w:p>
      <w:pPr>
        <w:spacing w:after="200" w:lineRule="exact" w:line="260"/>
      </w:pPr>
      <w:r>
        <w:rPr>
          <w:rFonts w:ascii="Arial" w:hAnsi="Arial"/>
          <w:color w:val="000000"/>
          <w:sz w:val="22"/>
        </w:rPr>
        <w:t>AINE Operational Unit Team — Team within an operational unit</w:t>
      </w:r>
    </w:p>
    <w:p>
      <w:pPr>
        <w:pStyle w:val="Heading3"/>
        <w:spacing w:before="240" w:after="160"/>
      </w:pPr>
      <w:r>
        <w:rPr>
          <w:rFonts w:ascii="Arial" w:hAnsi="Arial"/>
          <w:b/>
          <w:color w:val="533483"/>
          <w:sz w:val="32"/>
        </w:rPr>
        <w:t>Arisea</w:t>
      </w:r>
    </w:p>
    <w:p>
      <w:pPr>
        <w:spacing w:after="200" w:lineRule="exact" w:line="260"/>
      </w:pPr>
      <w:r>
        <w:rPr>
          <w:rFonts w:ascii="Arial" w:hAnsi="Arial"/>
          <w:color w:val="000000"/>
          <w:sz w:val="22"/>
        </w:rPr>
        <w:t>Community-operated sovereign node deploying Aureya infrastructure</w:t>
      </w:r>
    </w:p>
    <w:p>
      <w:pPr>
        <w:pStyle w:val="Heading3"/>
        <w:spacing w:before="240" w:after="160"/>
      </w:pPr>
      <w:r>
        <w:rPr>
          <w:rFonts w:ascii="Arial" w:hAnsi="Arial"/>
          <w:b/>
          <w:color w:val="533483"/>
          <w:sz w:val="32"/>
        </w:rPr>
        <w:t>Aureya</w:t>
      </w:r>
    </w:p>
    <w:p>
      <w:pPr>
        <w:spacing w:after="200" w:lineRule="exact" w:line="260"/>
      </w:pPr>
      <w:r>
        <w:rPr>
          <w:rFonts w:ascii="Arial" w:hAnsi="Arial"/>
          <w:color w:val="000000"/>
          <w:sz w:val="22"/>
        </w:rPr>
        <w:t>Global planetary infrastructure for coordination, AI orchestration, and governance</w:t>
      </w:r>
    </w:p>
    <w:p>
      <w:pPr>
        <w:pStyle w:val="Heading3"/>
        <w:spacing w:before="240" w:after="160"/>
      </w:pPr>
      <w:r>
        <w:rPr>
          <w:rFonts w:ascii="Arial" w:hAnsi="Arial"/>
          <w:b/>
          <w:color w:val="533483"/>
          <w:sz w:val="32"/>
        </w:rPr>
        <w:t>Entropy</w:t>
      </w:r>
    </w:p>
    <w:p>
      <w:pPr>
        <w:spacing w:after="200" w:lineRule="exact" w:line="260"/>
      </w:pPr>
      <w:r>
        <w:rPr>
          <w:rFonts w:ascii="Arial" w:hAnsi="Arial"/>
          <w:color w:val="000000"/>
          <w:sz w:val="22"/>
        </w:rPr>
        <w:t>System decay, disorder, or inefficiency that creates opportunity for new solutions</w:t>
      </w:r>
    </w:p>
    <w:p>
      <w:pPr>
        <w:pStyle w:val="Heading3"/>
        <w:spacing w:before="240" w:after="160"/>
      </w:pPr>
      <w:r>
        <w:rPr>
          <w:rFonts w:ascii="Arial" w:hAnsi="Arial"/>
          <w:b/>
          <w:color w:val="533483"/>
          <w:sz w:val="32"/>
        </w:rPr>
        <w:t>E-AEGL</w:t>
      </w:r>
    </w:p>
    <w:p>
      <w:pPr>
        <w:spacing w:after="200" w:lineRule="exact" w:line="260"/>
      </w:pPr>
      <w:r>
        <w:rPr>
          <w:rFonts w:ascii="Arial" w:hAnsi="Arial"/>
          <w:color w:val="000000"/>
          <w:sz w:val="22"/>
        </w:rPr>
        <w:t>Ethics, Audit, Governance, Legal — Immutable governance and audit layer</w:t>
      </w:r>
    </w:p>
    <w:p>
      <w:pPr>
        <w:pStyle w:val="Heading3"/>
        <w:spacing w:before="240" w:after="160"/>
      </w:pPr>
      <w:r>
        <w:rPr>
          <w:rFonts w:ascii="Arial" w:hAnsi="Arial"/>
          <w:b/>
          <w:color w:val="533483"/>
          <w:sz w:val="32"/>
        </w:rPr>
        <w:t>Gameboard</w:t>
      </w:r>
    </w:p>
    <w:p>
      <w:pPr>
        <w:spacing w:after="200" w:lineRule="exact" w:line="260"/>
      </w:pPr>
      <w:r>
        <w:rPr>
          <w:rFonts w:ascii="Arial" w:hAnsi="Arial"/>
          <w:color w:val="000000"/>
          <w:sz w:val="22"/>
        </w:rPr>
        <w:t>Structured arena where value creation occurs at intersection of code/function/process</w:t>
      </w:r>
    </w:p>
    <w:p>
      <w:pPr>
        <w:pStyle w:val="Heading3"/>
        <w:spacing w:before="240" w:after="160"/>
      </w:pPr>
      <w:r>
        <w:rPr>
          <w:rFonts w:ascii="Arial" w:hAnsi="Arial"/>
          <w:b/>
          <w:color w:val="533483"/>
          <w:sz w:val="32"/>
        </w:rPr>
        <w:t>HAE</w:t>
      </w:r>
    </w:p>
    <w:p>
      <w:pPr>
        <w:spacing w:after="200" w:lineRule="exact" w:line="260"/>
      </w:pPr>
      <w:r>
        <w:rPr>
          <w:rFonts w:ascii="Arial" w:hAnsi="Arial"/>
          <w:color w:val="000000"/>
          <w:sz w:val="22"/>
        </w:rPr>
        <w:t>Household-as-Enterprise — Model treating household as sovereign economic unit</w:t>
      </w:r>
    </w:p>
    <w:p>
      <w:pPr>
        <w:pStyle w:val="Heading3"/>
        <w:spacing w:before="240" w:after="160"/>
      </w:pPr>
      <w:r>
        <w:rPr>
          <w:rFonts w:ascii="Arial" w:hAnsi="Arial"/>
          <w:b/>
          <w:color w:val="533483"/>
          <w:sz w:val="32"/>
        </w:rPr>
        <w:t>Knowledge Graph</w:t>
      </w:r>
    </w:p>
    <w:p>
      <w:pPr>
        <w:spacing w:after="200" w:lineRule="exact" w:line="260"/>
      </w:pPr>
      <w:r>
        <w:rPr>
          <w:rFonts w:ascii="Arial" w:hAnsi="Arial"/>
          <w:color w:val="000000"/>
          <w:sz w:val="22"/>
        </w:rPr>
        <w:t>Unified map of all entities, codes, relationships, and dependencies</w:t>
      </w:r>
    </w:p>
    <w:p>
      <w:pPr>
        <w:pStyle w:val="Heading3"/>
        <w:spacing w:before="240" w:after="160"/>
      </w:pPr>
      <w:r>
        <w:rPr>
          <w:rFonts w:ascii="Arial" w:hAnsi="Arial"/>
          <w:b/>
          <w:color w:val="533483"/>
          <w:sz w:val="32"/>
        </w:rPr>
        <w:t>Mission Engine</w:t>
      </w:r>
    </w:p>
    <w:p>
      <w:pPr>
        <w:spacing w:after="200" w:lineRule="exact" w:line="260"/>
      </w:pPr>
      <w:r>
        <w:rPr>
          <w:rFonts w:ascii="Arial" w:hAnsi="Arial"/>
          <w:color w:val="000000"/>
          <w:sz w:val="22"/>
        </w:rPr>
        <w:t>System for assigning, tracking, and governing work across entities</w:t>
      </w:r>
    </w:p>
    <w:p>
      <w:pPr>
        <w:pStyle w:val="Heading3"/>
        <w:spacing w:before="240" w:after="160"/>
      </w:pPr>
      <w:r>
        <w:rPr>
          <w:rFonts w:ascii="Arial" w:hAnsi="Arial"/>
          <w:b/>
          <w:color w:val="533483"/>
          <w:sz w:val="32"/>
        </w:rPr>
        <w:t>Novaterra</w:t>
      </w:r>
    </w:p>
    <w:p>
      <w:pPr>
        <w:spacing w:after="200" w:lineRule="exact" w:line="260"/>
      </w:pPr>
      <w:r>
        <w:rPr>
          <w:rFonts w:ascii="Arial" w:hAnsi="Arial"/>
          <w:color w:val="000000"/>
          <w:sz w:val="22"/>
        </w:rPr>
        <w:t>Global talent marketplace enabling deployment across borders and cultures</w:t>
      </w:r>
    </w:p>
    <w:p>
      <w:pPr>
        <w:pStyle w:val="Heading3"/>
        <w:spacing w:before="240" w:after="160"/>
      </w:pPr>
      <w:r>
        <w:rPr>
          <w:rFonts w:ascii="Arial" w:hAnsi="Arial"/>
          <w:b/>
          <w:color w:val="533483"/>
          <w:sz w:val="32"/>
        </w:rPr>
        <w:t>Sanctuary</w:t>
      </w:r>
    </w:p>
    <w:p>
      <w:pPr>
        <w:spacing w:after="200" w:lineRule="exact" w:line="260"/>
      </w:pPr>
      <w:r>
        <w:rPr>
          <w:rFonts w:ascii="Arial" w:hAnsi="Arial"/>
          <w:color w:val="000000"/>
          <w:sz w:val="22"/>
        </w:rPr>
        <w:t>Ecosystem achieving infrastructure status due to systemic importance</w:t>
      </w:r>
    </w:p>
    <w:p>
      <w:pPr>
        <w:pStyle w:val="Heading3"/>
        <w:spacing w:before="240" w:after="160"/>
      </w:pPr>
      <w:r>
        <w:rPr>
          <w:rFonts w:ascii="Arial" w:hAnsi="Arial"/>
          <w:b/>
          <w:color w:val="533483"/>
          <w:sz w:val="32"/>
        </w:rPr>
        <w:t>SkillTrek</w:t>
      </w:r>
    </w:p>
    <w:p>
      <w:pPr>
        <w:spacing w:after="200" w:lineRule="exact" w:line="260"/>
      </w:pPr>
      <w:r>
        <w:rPr>
          <w:rFonts w:ascii="Arial" w:hAnsi="Arial"/>
          <w:color w:val="000000"/>
          <w:sz w:val="22"/>
        </w:rPr>
        <w:t>Platform for monetizing trade secrets and expertise through learning programs</w:t>
      </w:r>
    </w:p>
    <w:p>
      <w:pPr>
        <w:pStyle w:val="Heading3"/>
        <w:spacing w:before="240" w:after="160"/>
      </w:pPr>
      <w:r>
        <w:rPr>
          <w:rFonts w:ascii="Arial" w:hAnsi="Arial"/>
          <w:b/>
          <w:color w:val="533483"/>
          <w:sz w:val="32"/>
        </w:rPr>
        <w:t>Species</w:t>
      </w:r>
    </w:p>
    <w:p>
      <w:pPr>
        <w:spacing w:after="200" w:lineRule="exact" w:line="260"/>
      </w:pPr>
      <w:r>
        <w:rPr>
          <w:rFonts w:ascii="Arial" w:hAnsi="Arial"/>
          <w:color w:val="000000"/>
          <w:sz w:val="22"/>
        </w:rPr>
        <w:t>Coalition of entities forming permanent alliance with shared governance</w:t>
      </w:r>
    </w:p>
    <w:p>
      <w:pPr>
        <w:pStyle w:val="Heading3"/>
        <w:spacing w:before="240" w:after="160"/>
      </w:pPr>
      <w:r>
        <w:rPr>
          <w:rFonts w:ascii="Arial" w:hAnsi="Arial"/>
          <w:b/>
          <w:color w:val="533483"/>
          <w:sz w:val="32"/>
        </w:rPr>
        <w:t>TCCC</w:t>
      </w:r>
    </w:p>
    <w:p>
      <w:pPr>
        <w:spacing w:after="200" w:lineRule="exact" w:line="260"/>
      </w:pPr>
      <w:r>
        <w:rPr>
          <w:rFonts w:ascii="Arial" w:hAnsi="Arial"/>
          <w:color w:val="000000"/>
          <w:sz w:val="22"/>
        </w:rPr>
        <w:t>Tower Control &amp; Command Center — Planetary monitoring and coordination system</w:t>
      </w:r>
    </w:p>
    <w:p>
      <w:pPr>
        <w:pStyle w:val="Heading3"/>
        <w:spacing w:before="240" w:after="160"/>
      </w:pPr>
      <w:r>
        <w:rPr>
          <w:rFonts w:ascii="Arial" w:hAnsi="Arial"/>
          <w:b/>
          <w:color w:val="533483"/>
          <w:sz w:val="32"/>
        </w:rPr>
        <w:t>WGE</w:t>
      </w:r>
    </w:p>
    <w:p>
      <w:pPr>
        <w:spacing w:after="200" w:lineRule="exact" w:line="260"/>
      </w:pPr>
      <w:r>
        <w:rPr>
          <w:rFonts w:ascii="Arial" w:hAnsi="Arial"/>
          <w:color w:val="000000"/>
          <w:sz w:val="22"/>
        </w:rPr>
        <w:t>Work Governance Engine — Ensures all work has traceability and accountability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0" w:after="200"/>
      <w:jc w:val="center"/>
    </w:pPr>
    <w:r>
      <w:rPr>
        <w:color w:val="1A1A2E"/>
        <w:sz w:val="18"/>
      </w:rPr>
      <w:t xml:space="preserve">Confidential — Aureya Planetary Infrastructure | Page </w:t>
    </w:r>
    <w:r>
      <w:rPr>
        <w:color w:val="1A1A2E"/>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00" w:after="200"/>
      <w:jc w:val="center"/>
    </w:pPr>
    <w:r>
      <w:rPr>
        <w:color w:val="1A1A2E"/>
        <w:sz w:val="18"/>
      </w:rPr>
      <w:t>AUREYA | Tower Control &amp; Command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