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73B7" w14:textId="294E9DEF" w:rsidR="009E106D" w:rsidRPr="009E106D" w:rsidRDefault="009E106D" w:rsidP="009E106D">
      <w:pPr>
        <w:jc w:val="center"/>
        <w:rPr>
          <w:b/>
          <w:bCs/>
          <w:lang w:val="en-US"/>
        </w:rPr>
      </w:pPr>
      <w:r w:rsidRPr="009E106D">
        <w:rPr>
          <w:b/>
          <w:bCs/>
          <w:lang w:val="en-US"/>
        </w:rPr>
        <w:t>ASSIGNMENT #1</w:t>
      </w:r>
    </w:p>
    <w:p w14:paraId="4D203B8E" w14:textId="413F22E6" w:rsidR="009E106D" w:rsidRDefault="009E106D">
      <w:pPr>
        <w:rPr>
          <w:lang w:val="en-US"/>
        </w:rPr>
      </w:pPr>
    </w:p>
    <w:p w14:paraId="4A9589F7" w14:textId="0053EE9D" w:rsidR="009E106D" w:rsidRPr="000C543B" w:rsidRDefault="009E106D" w:rsidP="000C543B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0C543B">
        <w:rPr>
          <w:lang w:val="en-US"/>
        </w:rPr>
        <w:t xml:space="preserve">Create </w:t>
      </w:r>
      <w:r w:rsidR="008368F3" w:rsidRPr="000C543B">
        <w:rPr>
          <w:lang w:val="en-US"/>
        </w:rPr>
        <w:t>a database consisting of the tables</w:t>
      </w:r>
      <w:r w:rsidR="000C543B" w:rsidRPr="000C543B">
        <w:rPr>
          <w:lang w:val="en-US"/>
        </w:rPr>
        <w:t xml:space="preserve"> in Figure 1</w:t>
      </w:r>
      <w:r w:rsidRPr="000C543B">
        <w:rPr>
          <w:lang w:val="en-US"/>
        </w:rPr>
        <w:t xml:space="preserve">. You can import the </w:t>
      </w:r>
      <w:r w:rsidR="000625FA">
        <w:rPr>
          <w:lang w:val="en-US"/>
        </w:rPr>
        <w:t>tbl</w:t>
      </w:r>
      <w:r w:rsidRPr="000C543B">
        <w:rPr>
          <w:lang w:val="en-US"/>
        </w:rPr>
        <w:t>Customer</w:t>
      </w:r>
      <w:r w:rsidR="00676041" w:rsidRPr="000C543B">
        <w:rPr>
          <w:lang w:val="en-US"/>
        </w:rPr>
        <w:t>.csv</w:t>
      </w:r>
      <w:r w:rsidR="000C543B" w:rsidRPr="000C543B">
        <w:rPr>
          <w:lang w:val="en-US"/>
        </w:rPr>
        <w:t xml:space="preserve">, </w:t>
      </w:r>
      <w:r w:rsidR="000625FA">
        <w:rPr>
          <w:lang w:val="en-US"/>
        </w:rPr>
        <w:t>tbl</w:t>
      </w:r>
      <w:r w:rsidRPr="000C543B">
        <w:rPr>
          <w:lang w:val="en-US"/>
        </w:rPr>
        <w:t>Mortgage</w:t>
      </w:r>
      <w:r w:rsidR="00676041" w:rsidRPr="000C543B">
        <w:rPr>
          <w:lang w:val="en-US"/>
        </w:rPr>
        <w:t>.csv</w:t>
      </w:r>
      <w:r w:rsidR="000C543B" w:rsidRPr="000C543B">
        <w:rPr>
          <w:lang w:val="en-US"/>
        </w:rPr>
        <w:t xml:space="preserve">, and </w:t>
      </w:r>
      <w:r w:rsidR="000625FA">
        <w:rPr>
          <w:lang w:val="en-US"/>
        </w:rPr>
        <w:t>tblPropertyOwner</w:t>
      </w:r>
      <w:r w:rsidR="000C543B" w:rsidRPr="000C543B">
        <w:rPr>
          <w:lang w:val="en-US"/>
        </w:rPr>
        <w:t xml:space="preserve">.csv </w:t>
      </w:r>
      <w:r w:rsidR="00676041" w:rsidRPr="000C543B">
        <w:rPr>
          <w:lang w:val="en-US"/>
        </w:rPr>
        <w:t>files available on LEARN</w:t>
      </w:r>
      <w:r w:rsidRPr="000C543B">
        <w:rPr>
          <w:lang w:val="en-US"/>
        </w:rPr>
        <w:t xml:space="preserve">. </w:t>
      </w:r>
      <w:r w:rsidR="000C543B" w:rsidRPr="000C543B">
        <w:rPr>
          <w:lang w:val="en-US"/>
        </w:rPr>
        <w:t xml:space="preserve">Add the entries in </w:t>
      </w:r>
      <w:r w:rsidR="003A4D4F">
        <w:rPr>
          <w:lang w:val="en-US"/>
        </w:rPr>
        <w:t>Figure 2</w:t>
      </w:r>
      <w:r w:rsidR="000C543B" w:rsidRPr="000C543B">
        <w:rPr>
          <w:lang w:val="en-US"/>
        </w:rPr>
        <w:t xml:space="preserve"> to the Customer table</w:t>
      </w:r>
      <w:r w:rsidR="003A4D4F">
        <w:rPr>
          <w:lang w:val="en-US"/>
        </w:rPr>
        <w:t xml:space="preserve"> </w:t>
      </w:r>
      <w:r w:rsidR="003A4D4F" w:rsidRPr="003A4D4F">
        <w:rPr>
          <w:b/>
          <w:bCs/>
          <w:u w:val="single"/>
          <w:lang w:val="en-US"/>
        </w:rPr>
        <w:t>BEFORE</w:t>
      </w:r>
      <w:r w:rsidR="003A4D4F">
        <w:rPr>
          <w:lang w:val="en-US"/>
        </w:rPr>
        <w:t xml:space="preserve"> you set the foreign key relationships</w:t>
      </w:r>
      <w:r w:rsidR="000C543B" w:rsidRPr="000C543B">
        <w:rPr>
          <w:lang w:val="en-US"/>
        </w:rPr>
        <w:t xml:space="preserve">. </w:t>
      </w:r>
      <w:r w:rsidR="00A57B3B" w:rsidRPr="000C543B">
        <w:rPr>
          <w:lang w:val="en-US"/>
        </w:rPr>
        <w:t>Back up</w:t>
      </w:r>
      <w:r w:rsidRPr="000C543B">
        <w:rPr>
          <w:lang w:val="en-US"/>
        </w:rPr>
        <w:t xml:space="preserve"> the database and upload the .bak file to the LEARN Dropbox along with this completed Worksheet. </w:t>
      </w:r>
      <w:r w:rsidRPr="000C543B">
        <w:rPr>
          <w:b/>
          <w:bCs/>
          <w:lang w:val="en-US"/>
        </w:rPr>
        <w:t>(5 MARKS)</w:t>
      </w:r>
    </w:p>
    <w:p w14:paraId="6720ED70" w14:textId="5429CFCD" w:rsidR="009E106D" w:rsidRPr="000C543B" w:rsidRDefault="000C543B">
      <w:pPr>
        <w:rPr>
          <w:b/>
          <w:bCs/>
          <w:lang w:val="en-US"/>
        </w:rPr>
      </w:pPr>
      <w:r w:rsidRPr="000C543B">
        <w:rPr>
          <w:b/>
          <w:bCs/>
          <w:lang w:val="en-US"/>
        </w:rPr>
        <w:t>Figure 1</w:t>
      </w:r>
    </w:p>
    <w:p w14:paraId="7A810523" w14:textId="3AEA2A64" w:rsidR="009E106D" w:rsidRDefault="001875E9">
      <w:pPr>
        <w:rPr>
          <w:lang w:val="en-US"/>
        </w:rPr>
      </w:pPr>
      <w:r>
        <w:rPr>
          <w:noProof/>
        </w:rPr>
        <w:drawing>
          <wp:inline distT="0" distB="0" distL="0" distR="0" wp14:anchorId="446914A5" wp14:editId="23F97E12">
            <wp:extent cx="5943600" cy="1552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A90F0" w14:textId="33518C39" w:rsidR="009E106D" w:rsidRPr="000C543B" w:rsidRDefault="000C543B">
      <w:pPr>
        <w:rPr>
          <w:b/>
          <w:bCs/>
          <w:lang w:val="en-US"/>
        </w:rPr>
      </w:pPr>
      <w:r w:rsidRPr="000C543B">
        <w:rPr>
          <w:b/>
          <w:bCs/>
          <w:lang w:val="en-US"/>
        </w:rPr>
        <w:t>Figure 2</w:t>
      </w:r>
    </w:p>
    <w:p w14:paraId="13587E91" w14:textId="34CDDAA9" w:rsidR="000C543B" w:rsidRDefault="00CB38EF">
      <w:pPr>
        <w:rPr>
          <w:lang w:val="en-US"/>
        </w:rPr>
      </w:pPr>
      <w:r w:rsidRPr="00CB38EF">
        <w:rPr>
          <w:noProof/>
          <w:lang w:val="en-US"/>
        </w:rPr>
        <w:drawing>
          <wp:inline distT="0" distB="0" distL="0" distR="0" wp14:anchorId="2CB347EE" wp14:editId="23C3B443">
            <wp:extent cx="5943600" cy="99441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B38EF">
        <w:rPr>
          <w:highlight w:val="yellow"/>
          <w:lang w:val="en-US"/>
        </w:rPr>
        <w:t xml:space="preserve"> </w:t>
      </w:r>
    </w:p>
    <w:p w14:paraId="584A5DBC" w14:textId="77777777" w:rsidR="00744B91" w:rsidRDefault="00744B91">
      <w:pPr>
        <w:rPr>
          <w:lang w:val="en-US"/>
        </w:rPr>
      </w:pPr>
    </w:p>
    <w:p w14:paraId="7A7242BC" w14:textId="77777777" w:rsidR="000C543B" w:rsidRPr="000C543B" w:rsidRDefault="009E106D" w:rsidP="000C543B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0C543B">
        <w:rPr>
          <w:lang w:val="en-US"/>
        </w:rPr>
        <w:t xml:space="preserve">Calculate the CMHC Mortgage Insurance for all </w:t>
      </w:r>
      <w:r w:rsidRPr="000C543B">
        <w:rPr>
          <w:i/>
          <w:iCs/>
          <w:lang w:val="en-US"/>
        </w:rPr>
        <w:t>applicable</w:t>
      </w:r>
      <w:r w:rsidRPr="000C543B">
        <w:rPr>
          <w:lang w:val="en-US"/>
        </w:rPr>
        <w:t xml:space="preserve"> mortgages. </w:t>
      </w:r>
      <w:r w:rsidRPr="000C543B">
        <w:rPr>
          <w:b/>
          <w:bCs/>
          <w:lang w:val="en-US"/>
        </w:rPr>
        <w:t>(3 MARKS)</w:t>
      </w:r>
    </w:p>
    <w:p w14:paraId="52AAE735" w14:textId="7AEDE595" w:rsidR="000C543B" w:rsidRDefault="000C543B" w:rsidP="000C543B">
      <w:pPr>
        <w:pStyle w:val="ListParagraph"/>
        <w:ind w:left="426"/>
        <w:rPr>
          <w:lang w:val="en-US"/>
        </w:rPr>
      </w:pPr>
    </w:p>
    <w:p w14:paraId="138D8350" w14:textId="71DA8C3A" w:rsidR="000C543B" w:rsidRDefault="000F2404" w:rsidP="000C543B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To calculate the CMHC Mortgage Insurance for all applicable mortgages, the first step I took was to create a new table containing the property owners; first and last name, credit score, income, property appraisal, down payment, amortization period and interest rate. I did this using SQL through the query provided in Figure </w:t>
      </w:r>
      <w:r w:rsidR="007A4ED3">
        <w:rPr>
          <w:lang w:val="en-US"/>
        </w:rPr>
        <w:t>3</w:t>
      </w:r>
      <w:r>
        <w:rPr>
          <w:lang w:val="en-US"/>
        </w:rPr>
        <w:t>.</w:t>
      </w:r>
    </w:p>
    <w:p w14:paraId="5187C341" w14:textId="692A0113" w:rsidR="000F2404" w:rsidRPr="007A4ED3" w:rsidRDefault="000F2404" w:rsidP="000C543B">
      <w:pPr>
        <w:pStyle w:val="ListParagraph"/>
        <w:ind w:left="426"/>
        <w:rPr>
          <w:b/>
          <w:bCs/>
          <w:lang w:val="en-US"/>
        </w:rPr>
      </w:pPr>
      <w:r w:rsidRPr="007A4ED3">
        <w:rPr>
          <w:b/>
          <w:bCs/>
          <w:lang w:val="en-US"/>
        </w:rPr>
        <w:t xml:space="preserve">Figure </w:t>
      </w:r>
      <w:r w:rsidR="007A4ED3">
        <w:rPr>
          <w:b/>
          <w:bCs/>
          <w:lang w:val="en-US"/>
        </w:rPr>
        <w:t>3</w:t>
      </w:r>
    </w:p>
    <w:p w14:paraId="7F645E40" w14:textId="0E699776" w:rsidR="000F2404" w:rsidRDefault="000F2404" w:rsidP="000C543B">
      <w:pPr>
        <w:pStyle w:val="ListParagraph"/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4303C" wp14:editId="54F92A86">
            <wp:extent cx="4876800" cy="1593296"/>
            <wp:effectExtent l="0" t="0" r="0" b="6985"/>
            <wp:docPr id="15077675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67542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273" cy="15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94B3" w14:textId="5D8AD2D9" w:rsidR="000F2404" w:rsidRDefault="000F2404" w:rsidP="000C543B">
      <w:pPr>
        <w:pStyle w:val="ListParagraph"/>
        <w:ind w:left="426"/>
        <w:rPr>
          <w:lang w:val="en-US"/>
        </w:rPr>
      </w:pPr>
      <w:r>
        <w:rPr>
          <w:lang w:val="en-US"/>
        </w:rPr>
        <w:lastRenderedPageBreak/>
        <w:t xml:space="preserve">Then with this information nicely formatted in a table, I was able to use the CMHC mortgage calculator at the link: </w:t>
      </w:r>
      <w:hyperlink r:id="rId8" w:history="1">
        <w:r w:rsidRPr="008E1DA1">
          <w:rPr>
            <w:rStyle w:val="Hyperlink"/>
            <w:lang w:val="en-US"/>
          </w:rPr>
          <w:t>https://www.cmhc-schl.gc.ca/consumers/home-buying/calculators/mortgage-calculator</w:t>
        </w:r>
      </w:hyperlink>
      <w:r>
        <w:rPr>
          <w:lang w:val="en-US"/>
        </w:rPr>
        <w:t xml:space="preserve"> to calculate the property owners mortgage for all applicable mortgages. </w:t>
      </w:r>
      <w:r w:rsidR="007A4ED3">
        <w:rPr>
          <w:lang w:val="en-US"/>
        </w:rPr>
        <w:t>Figure 4 provides</w:t>
      </w:r>
      <w:r>
        <w:rPr>
          <w:lang w:val="en-US"/>
        </w:rPr>
        <w:t xml:space="preserve"> the results </w:t>
      </w:r>
      <w:r w:rsidR="007A4ED3">
        <w:rPr>
          <w:lang w:val="en-US"/>
        </w:rPr>
        <w:t xml:space="preserve">in the column named mortgageInsurance, note that I made the </w:t>
      </w:r>
      <w:r>
        <w:rPr>
          <w:lang w:val="en-US"/>
        </w:rPr>
        <w:t>assumption that the mortgage will be paid monthly</w:t>
      </w:r>
      <w:r w:rsidR="007A4ED3">
        <w:rPr>
          <w:lang w:val="en-US"/>
        </w:rPr>
        <w:t>.</w:t>
      </w:r>
    </w:p>
    <w:p w14:paraId="666465AE" w14:textId="5997A62E" w:rsidR="007A4ED3" w:rsidRDefault="007A4ED3" w:rsidP="000C543B">
      <w:pPr>
        <w:pStyle w:val="ListParagraph"/>
        <w:ind w:left="426"/>
        <w:rPr>
          <w:lang w:val="en-US"/>
        </w:rPr>
      </w:pPr>
      <w:r>
        <w:rPr>
          <w:b/>
          <w:bCs/>
          <w:lang w:val="en-US"/>
        </w:rPr>
        <w:t>Figure 4</w:t>
      </w:r>
    </w:p>
    <w:p w14:paraId="3B61502B" w14:textId="1514DA60" w:rsidR="007A4ED3" w:rsidRPr="00F07101" w:rsidRDefault="007A4ED3" w:rsidP="00F07101">
      <w:pPr>
        <w:pStyle w:val="ListParagraph"/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AC22C2" wp14:editId="00A28D63">
            <wp:extent cx="5731822" cy="3952875"/>
            <wp:effectExtent l="0" t="0" r="2540" b="0"/>
            <wp:docPr id="1715797491" name="Picture 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7491" name="Picture 2" descr="A screenshot of a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19" cy="39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3D5B" w14:textId="77777777" w:rsidR="00F07101" w:rsidRDefault="00F07101" w:rsidP="007A4ED3">
      <w:pPr>
        <w:pStyle w:val="ListParagraph"/>
        <w:ind w:left="426"/>
        <w:rPr>
          <w:lang w:val="en-US"/>
        </w:rPr>
      </w:pPr>
    </w:p>
    <w:p w14:paraId="35BDDE75" w14:textId="5C0A444E" w:rsidR="00F07101" w:rsidRDefault="007A4ED3" w:rsidP="007A4ED3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While conducting the calculations I noticed there were some </w:t>
      </w:r>
      <w:r w:rsidR="00F07101">
        <w:rPr>
          <w:lang w:val="en-US"/>
        </w:rPr>
        <w:t xml:space="preserve">properties that could not be entered into the calculator (shown in Figure 4 with the highlighted NULL value). I referred to the </w:t>
      </w:r>
      <w:r w:rsidR="00F07101" w:rsidRPr="00F07101">
        <w:rPr>
          <w:lang w:val="en-US"/>
        </w:rPr>
        <w:t>general requirements to qualify for homeowner mortgage loan insurance</w:t>
      </w:r>
      <w:r w:rsidR="00F07101">
        <w:rPr>
          <w:lang w:val="en-US"/>
        </w:rPr>
        <w:t xml:space="preserve"> to understand why the property mortgages wouldn’t be calculated. The </w:t>
      </w:r>
      <w:r w:rsidR="00F07101" w:rsidRPr="00F07101">
        <w:rPr>
          <w:lang w:val="en-US"/>
        </w:rPr>
        <w:t>general requirements to qualify for homeowner mortgage loan insurance</w:t>
      </w:r>
      <w:r w:rsidR="00F07101">
        <w:rPr>
          <w:lang w:val="en-US"/>
        </w:rPr>
        <w:t xml:space="preserve"> through the link: </w:t>
      </w:r>
      <w:hyperlink r:id="rId10" w:history="1">
        <w:r w:rsidR="00F07101" w:rsidRPr="008E1DA1">
          <w:rPr>
            <w:rStyle w:val="Hyperlink"/>
            <w:lang w:val="en-US"/>
          </w:rPr>
          <w:t>https://www.cmhc-schl.gc.ca/consumers/home-buying/mortgage-loan-insurance-for-consumers/what-are-the-general-requirements-to-qualify-for-homeowner-mortgage-loan-insurance</w:t>
        </w:r>
      </w:hyperlink>
      <w:r w:rsidR="00F07101">
        <w:rPr>
          <w:lang w:val="en-US"/>
        </w:rPr>
        <w:t>.</w:t>
      </w:r>
    </w:p>
    <w:p w14:paraId="73845766" w14:textId="500C0DD0" w:rsidR="007A4ED3" w:rsidRDefault="007A4ED3" w:rsidP="007A4ED3">
      <w:pPr>
        <w:pStyle w:val="ListParagraph"/>
        <w:ind w:left="426"/>
        <w:rPr>
          <w:lang w:val="en-US"/>
        </w:rPr>
      </w:pPr>
      <w:r>
        <w:rPr>
          <w:lang w:val="en-US"/>
        </w:rPr>
        <w:t>Here I will explain the NULL values shown in Figure 4.</w:t>
      </w:r>
    </w:p>
    <w:p w14:paraId="6028BC44" w14:textId="43F56FEF" w:rsidR="007A4ED3" w:rsidRDefault="007A4ED3" w:rsidP="007A4ED3">
      <w:pPr>
        <w:pStyle w:val="ListParagraph"/>
        <w:ind w:left="426"/>
        <w:rPr>
          <w:lang w:val="en-US"/>
        </w:rPr>
      </w:pPr>
      <w:r>
        <w:rPr>
          <w:lang w:val="en-US"/>
        </w:rPr>
        <w:tab/>
        <w:t>Line 2: Amortization period is greater than 25 years.</w:t>
      </w:r>
    </w:p>
    <w:p w14:paraId="174C56B0" w14:textId="24CF9BEA" w:rsidR="007A4ED3" w:rsidRDefault="007A4ED3" w:rsidP="007A4ED3">
      <w:pPr>
        <w:pStyle w:val="ListParagraph"/>
        <w:ind w:left="426"/>
        <w:rPr>
          <w:lang w:val="en-US"/>
        </w:rPr>
      </w:pPr>
      <w:r>
        <w:rPr>
          <w:lang w:val="en-US"/>
        </w:rPr>
        <w:tab/>
        <w:t>Line 3: Amortization period is greater than 25 years.</w:t>
      </w:r>
    </w:p>
    <w:p w14:paraId="673768BB" w14:textId="356BBF88" w:rsidR="007A4ED3" w:rsidRDefault="007A4ED3" w:rsidP="007A4ED3">
      <w:pPr>
        <w:pStyle w:val="ListParagraph"/>
        <w:ind w:left="426"/>
        <w:rPr>
          <w:lang w:val="en-US"/>
        </w:rPr>
      </w:pPr>
      <w:r>
        <w:rPr>
          <w:lang w:val="en-US"/>
        </w:rPr>
        <w:tab/>
        <w:t>Line 6:</w:t>
      </w:r>
      <w:r w:rsidR="00F07101">
        <w:rPr>
          <w:lang w:val="en-US"/>
        </w:rPr>
        <w:t xml:space="preserve"> Appraisal (Property value) is greater than $1,000,000.</w:t>
      </w:r>
    </w:p>
    <w:p w14:paraId="3210229E" w14:textId="0103FB03" w:rsidR="00F07101" w:rsidRDefault="00F07101" w:rsidP="007A4ED3">
      <w:pPr>
        <w:pStyle w:val="ListParagraph"/>
        <w:ind w:left="426"/>
        <w:rPr>
          <w:lang w:val="en-US"/>
        </w:rPr>
      </w:pPr>
      <w:r>
        <w:rPr>
          <w:lang w:val="en-US"/>
        </w:rPr>
        <w:tab/>
        <w:t>Line 14: Appraisal (Property value) is greater than $1,000,000.</w:t>
      </w:r>
    </w:p>
    <w:p w14:paraId="64CB6409" w14:textId="4E85EDB9" w:rsidR="00F07101" w:rsidRDefault="00F07101" w:rsidP="007A4ED3">
      <w:pPr>
        <w:pStyle w:val="ListParagraph"/>
        <w:ind w:left="426"/>
        <w:rPr>
          <w:lang w:val="en-US"/>
        </w:rPr>
      </w:pPr>
      <w:r>
        <w:rPr>
          <w:lang w:val="en-US"/>
        </w:rPr>
        <w:tab/>
        <w:t>Line 15: Appraisal (Property value) is greater than $1,000,000.</w:t>
      </w:r>
    </w:p>
    <w:p w14:paraId="590E9669" w14:textId="28F9CC8D" w:rsidR="00F07101" w:rsidRDefault="00F07101" w:rsidP="007A4ED3">
      <w:pPr>
        <w:pStyle w:val="ListParagraph"/>
        <w:ind w:left="426"/>
        <w:rPr>
          <w:lang w:val="en-US"/>
        </w:rPr>
      </w:pPr>
      <w:r>
        <w:rPr>
          <w:lang w:val="en-US"/>
        </w:rPr>
        <w:tab/>
        <w:t>Line 21: Amortization period is greater than 25 years.</w:t>
      </w:r>
    </w:p>
    <w:p w14:paraId="4D63B29D" w14:textId="507380B0" w:rsidR="00F07101" w:rsidRDefault="00F07101" w:rsidP="007A4ED3">
      <w:pPr>
        <w:pStyle w:val="ListParagraph"/>
        <w:ind w:left="426"/>
        <w:rPr>
          <w:lang w:val="en-US"/>
        </w:rPr>
      </w:pPr>
      <w:r>
        <w:rPr>
          <w:lang w:val="en-US"/>
        </w:rPr>
        <w:tab/>
        <w:t>Line 22: Amortization period is greater than 25 years.</w:t>
      </w:r>
    </w:p>
    <w:p w14:paraId="4CF197D0" w14:textId="656F9253" w:rsidR="00F07101" w:rsidRDefault="00F07101" w:rsidP="00F07101">
      <w:pPr>
        <w:pStyle w:val="ListParagraph"/>
        <w:ind w:left="426" w:firstLine="294"/>
        <w:rPr>
          <w:lang w:val="en-US"/>
        </w:rPr>
      </w:pPr>
      <w:r>
        <w:rPr>
          <w:lang w:val="en-US"/>
        </w:rPr>
        <w:t>Line 23: Amortization period is greater than 25 years.</w:t>
      </w:r>
    </w:p>
    <w:p w14:paraId="26DDFA76" w14:textId="77777777" w:rsidR="00F07101" w:rsidRPr="00F07101" w:rsidRDefault="00F07101" w:rsidP="00F07101">
      <w:pPr>
        <w:pStyle w:val="ListParagraph"/>
        <w:ind w:left="426"/>
        <w:rPr>
          <w:lang w:val="en-US"/>
        </w:rPr>
      </w:pPr>
    </w:p>
    <w:p w14:paraId="336C5297" w14:textId="0C772AA0" w:rsidR="009E106D" w:rsidRPr="000C543B" w:rsidRDefault="009E106D" w:rsidP="000C543B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0C543B">
        <w:rPr>
          <w:lang w:val="en-US"/>
        </w:rPr>
        <w:t xml:space="preserve">Which Mortgages are most likely to default and why? </w:t>
      </w:r>
      <w:r w:rsidRPr="000C543B">
        <w:rPr>
          <w:b/>
          <w:bCs/>
          <w:lang w:val="en-US"/>
        </w:rPr>
        <w:t>(2 MARKS)</w:t>
      </w:r>
    </w:p>
    <w:p w14:paraId="6CDCC0EF" w14:textId="6BE28EA0" w:rsidR="009E106D" w:rsidRDefault="009E106D">
      <w:pPr>
        <w:rPr>
          <w:lang w:val="en-US"/>
        </w:rPr>
      </w:pPr>
    </w:p>
    <w:p w14:paraId="681B2484" w14:textId="77777777" w:rsidR="00586E88" w:rsidRDefault="00586E88">
      <w:pPr>
        <w:rPr>
          <w:lang w:val="en-US"/>
        </w:rPr>
      </w:pPr>
    </w:p>
    <w:p w14:paraId="74D6EFFD" w14:textId="77777777" w:rsidR="00586E88" w:rsidRDefault="00586E88">
      <w:pPr>
        <w:rPr>
          <w:lang w:val="en-US"/>
        </w:rPr>
      </w:pPr>
    </w:p>
    <w:p w14:paraId="4433B94E" w14:textId="77777777" w:rsidR="00586E88" w:rsidRDefault="00586E88">
      <w:pPr>
        <w:rPr>
          <w:lang w:val="en-US"/>
        </w:rPr>
      </w:pPr>
    </w:p>
    <w:p w14:paraId="5940C350" w14:textId="77777777" w:rsidR="00586E88" w:rsidRDefault="00586E88">
      <w:pPr>
        <w:rPr>
          <w:lang w:val="en-US"/>
        </w:rPr>
      </w:pPr>
    </w:p>
    <w:p w14:paraId="06CBA5EF" w14:textId="77777777" w:rsidR="00586E88" w:rsidRDefault="00586E88">
      <w:pPr>
        <w:rPr>
          <w:lang w:val="en-US"/>
        </w:rPr>
      </w:pPr>
    </w:p>
    <w:p w14:paraId="445F519D" w14:textId="00876B1D" w:rsidR="007449A4" w:rsidRDefault="00000000">
      <w:pPr>
        <w:rPr>
          <w:lang w:val="en-US"/>
        </w:rPr>
      </w:pPr>
      <w:hyperlink r:id="rId11" w:history="1">
        <w:r w:rsidR="00615F96" w:rsidRPr="008E1DA1">
          <w:rPr>
            <w:rStyle w:val="Hyperlink"/>
            <w:lang w:val="en-US"/>
          </w:rPr>
          <w:t>https://www.cmhc-schl.gc.ca/consumers/home-buying/calculators/mortgage-calculator</w:t>
        </w:r>
      </w:hyperlink>
    </w:p>
    <w:p w14:paraId="47058941" w14:textId="3152E66B" w:rsidR="007449A4" w:rsidRDefault="00000000">
      <w:pPr>
        <w:rPr>
          <w:lang w:val="en-US"/>
        </w:rPr>
      </w:pPr>
      <w:hyperlink r:id="rId12" w:history="1">
        <w:r w:rsidR="007449A4" w:rsidRPr="008E1DA1">
          <w:rPr>
            <w:rStyle w:val="Hyperlink"/>
            <w:lang w:val="en-US"/>
          </w:rPr>
          <w:t>https://www.cmhc-schl.gc.ca/consumers/home-buying/mortgage-loan-insurance-for-consumers/what-are-the-general-requirements-to-qualify-for-homeowner-mortgage-loan-insurance</w:t>
        </w:r>
      </w:hyperlink>
    </w:p>
    <w:p w14:paraId="58FFA2DC" w14:textId="22EF07A8" w:rsidR="00586E88" w:rsidRDefault="00000000">
      <w:pPr>
        <w:rPr>
          <w:lang w:val="en-US"/>
        </w:rPr>
      </w:pPr>
      <w:hyperlink r:id="rId13" w:anchor=":~:text=The%20gross%20debt%20service%20(GDS,in%20comparison%20to%20their%20income" w:history="1">
        <w:r w:rsidR="007449A4" w:rsidRPr="008E1DA1">
          <w:rPr>
            <w:rStyle w:val="Hyperlink"/>
            <w:lang w:val="en-US"/>
          </w:rPr>
          <w:t>https://www.investopedia.com/terms/g/grossdebtserviceratio.asp#:~:text=The%20gross%20debt%20service%20(GDS,in%20comparison%20to%20their%20income</w:t>
        </w:r>
      </w:hyperlink>
      <w:r w:rsidR="00586E88" w:rsidRPr="00586E88">
        <w:rPr>
          <w:lang w:val="en-US"/>
        </w:rPr>
        <w:t>.</w:t>
      </w:r>
    </w:p>
    <w:p w14:paraId="6E694D3F" w14:textId="58201E17" w:rsidR="00586E88" w:rsidRDefault="00000000">
      <w:pPr>
        <w:rPr>
          <w:lang w:val="en-US"/>
        </w:rPr>
      </w:pPr>
      <w:hyperlink r:id="rId14" w:history="1">
        <w:r w:rsidR="00586E88" w:rsidRPr="008E1DA1">
          <w:rPr>
            <w:rStyle w:val="Hyperlink"/>
            <w:lang w:val="en-US"/>
          </w:rPr>
          <w:t>https://www.ratehub.ca/blog/new-cmhc-rules-covid-19/</w:t>
        </w:r>
      </w:hyperlink>
    </w:p>
    <w:p w14:paraId="276FF451" w14:textId="7A5B4F1A" w:rsidR="00586E88" w:rsidRDefault="00000000">
      <w:pPr>
        <w:rPr>
          <w:lang w:val="en-US"/>
        </w:rPr>
      </w:pPr>
      <w:hyperlink r:id="rId15" w:history="1">
        <w:r w:rsidR="00586E88" w:rsidRPr="008E1DA1">
          <w:rPr>
            <w:rStyle w:val="Hyperlink"/>
            <w:lang w:val="en-US"/>
          </w:rPr>
          <w:t>https://www.ratehub.ca/cmhc-mortgage-insurance</w:t>
        </w:r>
      </w:hyperlink>
    </w:p>
    <w:p w14:paraId="6374EF31" w14:textId="6A71BBD8" w:rsidR="00586E88" w:rsidRDefault="00000000">
      <w:pPr>
        <w:rPr>
          <w:lang w:val="en-US"/>
        </w:rPr>
      </w:pPr>
      <w:hyperlink r:id="rId16" w:history="1">
        <w:r w:rsidR="007449A4" w:rsidRPr="008E1DA1">
          <w:rPr>
            <w:rStyle w:val="Hyperlink"/>
            <w:lang w:val="en-US"/>
          </w:rPr>
          <w:t>https://www.nesto.ca/calculators/cmhc-insurance/</w:t>
        </w:r>
      </w:hyperlink>
    </w:p>
    <w:p w14:paraId="429BE4E6" w14:textId="77777777" w:rsidR="007449A4" w:rsidRDefault="007449A4">
      <w:pPr>
        <w:rPr>
          <w:lang w:val="en-US"/>
        </w:rPr>
      </w:pPr>
    </w:p>
    <w:p w14:paraId="6D868F6D" w14:textId="77777777" w:rsidR="009E106D" w:rsidRPr="009E106D" w:rsidRDefault="009E106D">
      <w:pPr>
        <w:rPr>
          <w:lang w:val="en-US"/>
        </w:rPr>
      </w:pPr>
    </w:p>
    <w:sectPr w:rsidR="009E106D" w:rsidRPr="009E1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C49BE"/>
    <w:multiLevelType w:val="hybridMultilevel"/>
    <w:tmpl w:val="0DDE80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9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6D"/>
    <w:rsid w:val="000625FA"/>
    <w:rsid w:val="000B29CA"/>
    <w:rsid w:val="000C543B"/>
    <w:rsid w:val="000F2404"/>
    <w:rsid w:val="00147F5C"/>
    <w:rsid w:val="001875E9"/>
    <w:rsid w:val="001B3AEB"/>
    <w:rsid w:val="00270101"/>
    <w:rsid w:val="003A4D4F"/>
    <w:rsid w:val="004616F2"/>
    <w:rsid w:val="00586E88"/>
    <w:rsid w:val="00615F96"/>
    <w:rsid w:val="00676041"/>
    <w:rsid w:val="007449A4"/>
    <w:rsid w:val="00744B91"/>
    <w:rsid w:val="007A4ED3"/>
    <w:rsid w:val="007D361C"/>
    <w:rsid w:val="008357BD"/>
    <w:rsid w:val="008368F3"/>
    <w:rsid w:val="00841B29"/>
    <w:rsid w:val="009E106D"/>
    <w:rsid w:val="00A57B3B"/>
    <w:rsid w:val="00B86431"/>
    <w:rsid w:val="00C47E73"/>
    <w:rsid w:val="00C74C35"/>
    <w:rsid w:val="00CB38EF"/>
    <w:rsid w:val="00F0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488A"/>
  <w15:chartTrackingRefBased/>
  <w15:docId w15:val="{F0F4E9D3-F12C-4F70-8013-33150447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hc-schl.gc.ca/consumers/home-buying/calculators/mortgage-calculator" TargetMode="External"/><Relationship Id="rId13" Type="http://schemas.openxmlformats.org/officeDocument/2006/relationships/hyperlink" Target="https://www.investopedia.com/terms/g/grossdebtserviceratio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mhc-schl.gc.ca/consumers/home-buying/mortgage-loan-insurance-for-consumers/what-are-the-general-requirements-to-qualify-for-homeowner-mortgage-loan-insuran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esto.ca/calculators/cmhc-insuranc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mhc-schl.gc.ca/consumers/home-buying/calculators/mortgage-calculato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atehub.ca/cmhc-mortgage-insurance" TargetMode="External"/><Relationship Id="rId10" Type="http://schemas.openxmlformats.org/officeDocument/2006/relationships/hyperlink" Target="https://www.cmhc-schl.gc.ca/consumers/home-buying/mortgage-loan-insurance-for-consumers/what-are-the-general-requirements-to-qualify-for-homeowner-mortgage-loan-insur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ratehub.ca/blog/new-cmhc-rules-covid-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Villers</dc:creator>
  <cp:keywords/>
  <dc:description/>
  <cp:lastModifiedBy>Andrew Girgis</cp:lastModifiedBy>
  <cp:revision>2</cp:revision>
  <dcterms:created xsi:type="dcterms:W3CDTF">2023-09-17T17:01:00Z</dcterms:created>
  <dcterms:modified xsi:type="dcterms:W3CDTF">2023-09-17T17:01:00Z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fcf5b05a-23d6-49b2-90c6-a8065e6ae746</vt:lpwstr>
  </property>
</Properties>
</file>