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35D95" w14:textId="6A7C767A" w:rsidR="00000000" w:rsidRPr="004244D5" w:rsidRDefault="004244D5">
      <w:pPr>
        <w:rPr>
          <w:rFonts w:ascii="Times New Roman" w:hAnsi="Times New Roman" w:cs="Times New Roman"/>
          <w:sz w:val="56"/>
          <w:szCs w:val="56"/>
        </w:rPr>
      </w:pPr>
      <w:r w:rsidRPr="004244D5">
        <w:rPr>
          <w:rFonts w:ascii="Times New Roman" w:hAnsi="Times New Roman" w:cs="Times New Roman"/>
          <w:sz w:val="56"/>
          <w:szCs w:val="56"/>
        </w:rPr>
        <w:t>Module 1</w:t>
      </w:r>
    </w:p>
    <w:p w14:paraId="1E394B93" w14:textId="2D57CAA9" w:rsidR="004244D5" w:rsidRPr="004244D5" w:rsidRDefault="004244D5">
      <w:pPr>
        <w:rPr>
          <w:rFonts w:ascii="Times New Roman" w:hAnsi="Times New Roman" w:cs="Times New Roman"/>
          <w:sz w:val="56"/>
          <w:szCs w:val="56"/>
        </w:rPr>
      </w:pPr>
      <w:r w:rsidRPr="004244D5">
        <w:rPr>
          <w:rFonts w:ascii="Times New Roman" w:hAnsi="Times New Roman" w:cs="Times New Roman"/>
          <w:sz w:val="56"/>
          <w:szCs w:val="56"/>
        </w:rPr>
        <w:t>Chapter 1-3 Summaries</w:t>
      </w:r>
    </w:p>
    <w:p w14:paraId="3F1FAB98" w14:textId="31A14C16" w:rsidR="004244D5" w:rsidRPr="004244D5" w:rsidRDefault="004244D5">
      <w:pPr>
        <w:rPr>
          <w:rFonts w:ascii="Times New Roman" w:hAnsi="Times New Roman" w:cs="Times New Roman"/>
          <w:sz w:val="56"/>
          <w:szCs w:val="56"/>
        </w:rPr>
      </w:pPr>
      <w:r w:rsidRPr="004244D5">
        <w:rPr>
          <w:rFonts w:ascii="Times New Roman" w:hAnsi="Times New Roman" w:cs="Times New Roman"/>
          <w:sz w:val="56"/>
          <w:szCs w:val="56"/>
        </w:rPr>
        <w:t>Andrew Kalathra</w:t>
      </w:r>
    </w:p>
    <w:p w14:paraId="126646CD" w14:textId="73DCDD1E" w:rsidR="004244D5" w:rsidRPr="004244D5" w:rsidRDefault="004244D5">
      <w:pPr>
        <w:rPr>
          <w:rFonts w:ascii="Times New Roman" w:hAnsi="Times New Roman" w:cs="Times New Roman"/>
          <w:sz w:val="56"/>
          <w:szCs w:val="56"/>
        </w:rPr>
      </w:pPr>
      <w:r w:rsidRPr="004244D5">
        <w:rPr>
          <w:rFonts w:ascii="Times New Roman" w:hAnsi="Times New Roman" w:cs="Times New Roman"/>
          <w:sz w:val="56"/>
          <w:szCs w:val="56"/>
        </w:rPr>
        <w:t>1/21/2024</w:t>
      </w:r>
    </w:p>
    <w:p w14:paraId="74BB750C" w14:textId="5049823E" w:rsidR="004244D5" w:rsidRDefault="004244D5">
      <w:pPr>
        <w:rPr>
          <w:rFonts w:ascii="Times New Roman" w:hAnsi="Times New Roman" w:cs="Times New Roman"/>
        </w:rPr>
      </w:pPr>
    </w:p>
    <w:p w14:paraId="2F165BAB" w14:textId="77777777" w:rsidR="004244D5" w:rsidRDefault="004244D5">
      <w:pPr>
        <w:rPr>
          <w:rFonts w:ascii="Times New Roman" w:hAnsi="Times New Roman" w:cs="Times New Roman"/>
        </w:rPr>
      </w:pPr>
      <w:r>
        <w:rPr>
          <w:rFonts w:ascii="Times New Roman" w:hAnsi="Times New Roman" w:cs="Times New Roman"/>
        </w:rPr>
        <w:br w:type="page"/>
      </w:r>
    </w:p>
    <w:p w14:paraId="7896E7DA" w14:textId="15FF3F82" w:rsidR="004244D5" w:rsidRPr="004244D5" w:rsidRDefault="004244D5">
      <w:pPr>
        <w:rPr>
          <w:rFonts w:ascii="Times New Roman" w:hAnsi="Times New Roman" w:cs="Times New Roman"/>
          <w:sz w:val="30"/>
          <w:szCs w:val="30"/>
          <w:u w:val="single"/>
        </w:rPr>
      </w:pPr>
      <w:r w:rsidRPr="004244D5">
        <w:rPr>
          <w:rFonts w:ascii="Times New Roman" w:hAnsi="Times New Roman" w:cs="Times New Roman"/>
          <w:sz w:val="30"/>
          <w:szCs w:val="30"/>
          <w:u w:val="single"/>
        </w:rPr>
        <w:lastRenderedPageBreak/>
        <w:t>Chapter 1</w:t>
      </w:r>
      <w:r>
        <w:rPr>
          <w:rFonts w:ascii="Times New Roman" w:hAnsi="Times New Roman" w:cs="Times New Roman"/>
          <w:sz w:val="30"/>
          <w:szCs w:val="30"/>
          <w:u w:val="single"/>
        </w:rPr>
        <w:t xml:space="preserve"> – Introduction to Medical Microbiology</w:t>
      </w:r>
    </w:p>
    <w:p w14:paraId="17896F72" w14:textId="51586A24" w:rsidR="004244D5" w:rsidRDefault="0017044D" w:rsidP="0017044D">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Microbiology is an ever-changing subject. Finding its roots through the discovery of little organisms (“animalcules”) by Leeuwenhoek, this field has broadened out greatly. Following the later classification methods, other scientists where then able to organize the bacteria into classes. Pathologist Henle set out a theory, stating that these microorganisms could be the cause of diseases, which was later proved by scientists Koch and Pasteur. This then led to “the era of chemotherapy”, using antibacterial agents to stop, and later prevent, infections and diseases. This resulted in the creation of vaccines. </w:t>
      </w:r>
    </w:p>
    <w:p w14:paraId="62D9B036" w14:textId="0936146B" w:rsidR="0017044D" w:rsidRDefault="0017044D" w:rsidP="0017044D">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complex would of our knowledge on microbes continues to grow even today. Most recently (2005), genome analysis moved research back into the labs to analyze microbes and their properties. Manipulation and understanding of the factors that make microbes would be key to diagnostic and therapeutic solutions. The general classifications of the microbes falls into four categories. </w:t>
      </w:r>
    </w:p>
    <w:p w14:paraId="4D52E081" w14:textId="19771954" w:rsidR="0017044D" w:rsidRDefault="0017044D" w:rsidP="0017044D">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Viruses</w:t>
      </w:r>
    </w:p>
    <w:p w14:paraId="0994D71E" w14:textId="20DCF22D" w:rsidR="0017044D" w:rsidRDefault="00477C1A" w:rsidP="00477C1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Smallest of the </w:t>
      </w:r>
      <w:r w:rsidR="00685E10">
        <w:rPr>
          <w:rFonts w:ascii="Times New Roman" w:hAnsi="Times New Roman" w:cs="Times New Roman"/>
          <w:sz w:val="24"/>
          <w:szCs w:val="24"/>
        </w:rPr>
        <w:t>infection’s</w:t>
      </w:r>
      <w:r>
        <w:rPr>
          <w:rFonts w:ascii="Times New Roman" w:hAnsi="Times New Roman" w:cs="Times New Roman"/>
          <w:sz w:val="24"/>
          <w:szCs w:val="24"/>
        </w:rPr>
        <w:t xml:space="preserve"> particles, these microbes are dangerous. Containing either DNA or RNA, the parasitic nature of viruses can be explained simply: hosts are needed. Replication can only be done through a host, so infection is top priority. Effects of infection differ per virus, but their main goal is to integrate their genetic material into the host genome. A common example would be the AIDS virus, which destroys needed immune cells (immunodeficiency). Common side effects range from colds to death. </w:t>
      </w:r>
    </w:p>
    <w:p w14:paraId="49F8E7DF" w14:textId="41EB3D15" w:rsidR="0017044D" w:rsidRDefault="0017044D" w:rsidP="0017044D">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Bacteria</w:t>
      </w:r>
    </w:p>
    <w:p w14:paraId="2373DA96" w14:textId="798D5871" w:rsidR="00477C1A" w:rsidRDefault="00477C1A" w:rsidP="00477C1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Bacteria are simple microorganisms, containing much less than a normal eukaryotic cell. In fact, it’s a prokaryotic organism with only 1 cell. Its key structure is its cell wall, which either contains a thick or thin peptidoglycan layer (g+/- bacteria). On the off chance that they do not have either, they make do by </w:t>
      </w:r>
      <w:r w:rsidR="00A74C0B">
        <w:rPr>
          <w:rFonts w:ascii="Times New Roman" w:hAnsi="Times New Roman" w:cs="Times New Roman"/>
          <w:sz w:val="24"/>
          <w:szCs w:val="24"/>
        </w:rPr>
        <w:t>living in hypertonic environments (such as in cell…like the mitochondria). Their niche depends on a variety of factors, some living transiently or parasitically. The harmful bacteria cause disease, inducing toxic chemicals/byproducts usually seen when invading body tissue and fluids.</w:t>
      </w:r>
      <w:r>
        <w:rPr>
          <w:rFonts w:ascii="Times New Roman" w:hAnsi="Times New Roman" w:cs="Times New Roman"/>
          <w:sz w:val="24"/>
          <w:szCs w:val="24"/>
        </w:rPr>
        <w:t xml:space="preserve"> </w:t>
      </w:r>
    </w:p>
    <w:p w14:paraId="3FB83E73" w14:textId="0C6ADAE1" w:rsidR="0017044D" w:rsidRDefault="0017044D" w:rsidP="0017044D">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Fungi</w:t>
      </w:r>
    </w:p>
    <w:p w14:paraId="5A1A467F" w14:textId="2822BBAB" w:rsidR="00A74C0B" w:rsidRDefault="00A74C0B" w:rsidP="00A74C0B">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Eukaryotic, complex, and yet easy to classify. Fungi contain all your normal nuclear bodies (that the bacteria </w:t>
      </w:r>
      <w:r w:rsidR="00685E10">
        <w:rPr>
          <w:rFonts w:ascii="Times New Roman" w:hAnsi="Times New Roman" w:cs="Times New Roman"/>
          <w:sz w:val="24"/>
          <w:szCs w:val="24"/>
        </w:rPr>
        <w:t>were</w:t>
      </w:r>
      <w:r>
        <w:rPr>
          <w:rFonts w:ascii="Times New Roman" w:hAnsi="Times New Roman" w:cs="Times New Roman"/>
          <w:sz w:val="24"/>
          <w:szCs w:val="24"/>
        </w:rPr>
        <w:t xml:space="preserve"> missing out on), but can be unicellular, filamentous, or (rarely) dimorphic. Their reproduction can either be asexual (both unicellular and filamentous) or sexual (filamentous). As stated, the classification is easy as unicellular fungi are considered yeast, while filamentous fungi are considered mold.</w:t>
      </w:r>
    </w:p>
    <w:p w14:paraId="29A501E5" w14:textId="5020F812" w:rsidR="0017044D" w:rsidRDefault="0017044D" w:rsidP="0017044D">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Parasites</w:t>
      </w:r>
    </w:p>
    <w:p w14:paraId="72729243" w14:textId="4EDBF114" w:rsidR="00A74C0B" w:rsidRDefault="00A74C0B" w:rsidP="00A74C0B">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most complex of the microbes, parasite classification is tough. Considered eukaryotic, some are unicellular while other are multicellular. Sizes, life cycles, and diseases caused are all complex and should be looked at individually. “Diagnosis and approach to the control and prevention of parasitic infections” depends largely on these factors, so it is critical to understand the </w:t>
      </w:r>
      <w:r w:rsidR="00685E10">
        <w:rPr>
          <w:rFonts w:ascii="Times New Roman" w:hAnsi="Times New Roman" w:cs="Times New Roman"/>
          <w:sz w:val="24"/>
          <w:szCs w:val="24"/>
        </w:rPr>
        <w:t xml:space="preserve">differences and similarities between the different types. </w:t>
      </w:r>
    </w:p>
    <w:p w14:paraId="62DCE00B" w14:textId="5B6EDA00" w:rsidR="00685E10" w:rsidRDefault="00685E10" w:rsidP="004F37EC">
      <w:pPr>
        <w:spacing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Our bodies have to hold a balance between maintaining our bodies natural flora whilst protecting against incoming “microbial invaders”. </w:t>
      </w:r>
      <w:r w:rsidR="004F37EC">
        <w:rPr>
          <w:rFonts w:ascii="Times New Roman" w:hAnsi="Times New Roman" w:cs="Times New Roman"/>
          <w:sz w:val="24"/>
          <w:szCs w:val="24"/>
        </w:rPr>
        <w:t xml:space="preserve"> This brings up the thought of a way to control these microbes. However, this holds a problem as a variety of diseases differ in the variation of manifestations of these diseases. Two well defined categories of infection are exogenous and endogenous infections. As the names imply, exogenous infections occur due to organisms from external sources, whereas endogenous infections occur due to our own microbial flora spreading to inconvenient areas (sterile locations not meant for their growth). As humans have evolved, our bodies have gotten better at reacting to </w:t>
      </w:r>
      <w:r w:rsidR="002F07EA">
        <w:rPr>
          <w:rFonts w:ascii="Times New Roman" w:hAnsi="Times New Roman" w:cs="Times New Roman"/>
          <w:sz w:val="24"/>
          <w:szCs w:val="24"/>
        </w:rPr>
        <w:t>these infection</w:t>
      </w:r>
      <w:r w:rsidR="004F37EC">
        <w:rPr>
          <w:rFonts w:ascii="Times New Roman" w:hAnsi="Times New Roman" w:cs="Times New Roman"/>
          <w:sz w:val="24"/>
          <w:szCs w:val="24"/>
        </w:rPr>
        <w:t xml:space="preserve">, but we can improve. Immunity can be built up actively or passively, allowing the body to prepare. This preparation, however, still might not be enough all the time as the bacteria can mutate and come in a variety of unrecognizable forms (antigenic variation), causing antibiotic resistance among other issues. </w:t>
      </w:r>
    </w:p>
    <w:p w14:paraId="20D9DFC5" w14:textId="27FCF3C2" w:rsidR="002F07EA" w:rsidRDefault="004F37EC"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The lab portion of this science isn’t without its faults. Requiring near perfect conditions, </w:t>
      </w:r>
      <w:r w:rsidR="002F07EA">
        <w:rPr>
          <w:rFonts w:ascii="Times New Roman" w:hAnsi="Times New Roman" w:cs="Times New Roman"/>
          <w:sz w:val="24"/>
          <w:szCs w:val="24"/>
        </w:rPr>
        <w:t xml:space="preserve">evaluating </w:t>
      </w:r>
      <w:r>
        <w:rPr>
          <w:rFonts w:ascii="Times New Roman" w:hAnsi="Times New Roman" w:cs="Times New Roman"/>
          <w:sz w:val="24"/>
          <w:szCs w:val="24"/>
        </w:rPr>
        <w:t xml:space="preserve">and examining specimens </w:t>
      </w:r>
      <w:r w:rsidR="002F07EA">
        <w:rPr>
          <w:rFonts w:ascii="Times New Roman" w:hAnsi="Times New Roman" w:cs="Times New Roman"/>
          <w:sz w:val="24"/>
          <w:szCs w:val="24"/>
        </w:rPr>
        <w:t xml:space="preserve">may not provide much useful information. A positive portion, however, would be the testing of antimicrobial activity on chemotherapeutic agents, which could be evaluated in usefulness for our protection. </w:t>
      </w:r>
    </w:p>
    <w:p w14:paraId="2E202C80" w14:textId="77777777" w:rsidR="002F07EA" w:rsidRDefault="002F07EA">
      <w:pPr>
        <w:rPr>
          <w:rFonts w:ascii="Times New Roman" w:hAnsi="Times New Roman" w:cs="Times New Roman"/>
          <w:sz w:val="24"/>
          <w:szCs w:val="24"/>
        </w:rPr>
      </w:pPr>
      <w:r>
        <w:rPr>
          <w:rFonts w:ascii="Times New Roman" w:hAnsi="Times New Roman" w:cs="Times New Roman"/>
          <w:sz w:val="24"/>
          <w:szCs w:val="24"/>
        </w:rPr>
        <w:br w:type="page"/>
      </w:r>
    </w:p>
    <w:p w14:paraId="19A69DB5" w14:textId="0A28F0DF" w:rsidR="004F37EC" w:rsidRPr="00757DCF" w:rsidRDefault="002F07EA" w:rsidP="00685E10">
      <w:pPr>
        <w:spacing w:line="240" w:lineRule="auto"/>
        <w:rPr>
          <w:rFonts w:ascii="Times New Roman" w:hAnsi="Times New Roman" w:cs="Times New Roman"/>
          <w:sz w:val="30"/>
          <w:szCs w:val="30"/>
          <w:u w:val="single"/>
        </w:rPr>
      </w:pPr>
      <w:r w:rsidRPr="00757DCF">
        <w:rPr>
          <w:rFonts w:ascii="Times New Roman" w:hAnsi="Times New Roman" w:cs="Times New Roman"/>
          <w:sz w:val="30"/>
          <w:szCs w:val="30"/>
          <w:u w:val="single"/>
        </w:rPr>
        <w:lastRenderedPageBreak/>
        <w:t>Chapter 2 – Human Microbiome in Health and Disease</w:t>
      </w:r>
    </w:p>
    <w:p w14:paraId="3AF4BDAD" w14:textId="147C3CCA" w:rsidR="00757DCF" w:rsidRDefault="00757DCF"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Humans are born into a world of filth – literally. Upon birth, babies are immediately exposed to all sorts of microbes, in which they later start to develop their own microbiota. These specific communities around the body are specific to the individual but can be linked across many people. Many factors play a role in the functioning of these communities and can be linked to disease states. </w:t>
      </w:r>
    </w:p>
    <w:p w14:paraId="1EC1408E" w14:textId="0EDBE357" w:rsidR="00757DCF" w:rsidRDefault="00757DCF"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The Human Microbiome Project’s objective was to map out all the protein encoding genes in the human genome. Analyzing the microbiome was ambitious as the estimated bacterial cells to human cells ratio is about 10:1. This means that bacteria contribute much to the human body, amongst which may include adding a few more protein genes. Around the body, the microbiome differs greatly with great variation found in the gut, mouth, and skin, but with very little diversity in </w:t>
      </w:r>
      <w:r w:rsidR="005954D8">
        <w:rPr>
          <w:rFonts w:ascii="Times New Roman" w:hAnsi="Times New Roman" w:cs="Times New Roman"/>
          <w:sz w:val="24"/>
          <w:szCs w:val="24"/>
        </w:rPr>
        <w:t xml:space="preserve">other </w:t>
      </w:r>
      <w:r>
        <w:rPr>
          <w:rFonts w:ascii="Times New Roman" w:hAnsi="Times New Roman" w:cs="Times New Roman"/>
          <w:sz w:val="24"/>
          <w:szCs w:val="24"/>
        </w:rPr>
        <w:t>locations</w:t>
      </w:r>
      <w:r w:rsidR="005954D8">
        <w:rPr>
          <w:rFonts w:ascii="Times New Roman" w:hAnsi="Times New Roman" w:cs="Times New Roman"/>
          <w:sz w:val="24"/>
          <w:szCs w:val="24"/>
        </w:rPr>
        <w:t xml:space="preserve">. </w:t>
      </w:r>
    </w:p>
    <w:p w14:paraId="240457AF" w14:textId="0CF7BED8" w:rsidR="005954D8" w:rsidRDefault="005954D8"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The core microbiome can be defined as the general biome consistent across multiple individuals. This means that we can expect to find </w:t>
      </w:r>
      <w:r w:rsidR="00660297">
        <w:rPr>
          <w:rFonts w:ascii="Times New Roman" w:hAnsi="Times New Roman" w:cs="Times New Roman"/>
          <w:sz w:val="24"/>
          <w:szCs w:val="24"/>
        </w:rPr>
        <w:t>the</w:t>
      </w:r>
      <w:r>
        <w:rPr>
          <w:rFonts w:ascii="Times New Roman" w:hAnsi="Times New Roman" w:cs="Times New Roman"/>
          <w:sz w:val="24"/>
          <w:szCs w:val="24"/>
        </w:rPr>
        <w:t xml:space="preserve"> greatest variety and density of microbes in similar locations across people. There are minor differences between individuals, where some growth may be more prosperous in some locations of an individual in relation to others. This is what is considered a secondary biome, where the biome may not be shared across individuals. This implies, however, that the core microbiome is critical to the function of humans in the most common senses of life. As there are differences between individuals (taxonomic diversity), the functionality must be maintained (functional redundancy). </w:t>
      </w:r>
      <w:r w:rsidR="006A579F">
        <w:rPr>
          <w:rFonts w:ascii="Times New Roman" w:hAnsi="Times New Roman" w:cs="Times New Roman"/>
          <w:sz w:val="24"/>
          <w:szCs w:val="24"/>
        </w:rPr>
        <w:t>“This, interpersonal variations of the microbiome can exist in healthy individuals as long as the needed functions are satisfied.”</w:t>
      </w:r>
    </w:p>
    <w:p w14:paraId="10B892A7" w14:textId="6B6E78EB" w:rsidR="006A579F" w:rsidRDefault="006A579F"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Normal flora is a term that consists of both the core and secondary microbiota of an individual. The flora is characterized by a symbiotic relation with the host and  a competitive relationship with others. Practically, the microbes provide nutrients and materials as by products that we need while we provide a source of shelter and nutrition. The environments of the microbiota affects its growth. Prolonged exposure to unsafe conditions (such as good use of soap and shampoo) might not allow proper growth on the hands or head, but </w:t>
      </w:r>
      <w:r w:rsidR="00660297">
        <w:rPr>
          <w:rFonts w:ascii="Times New Roman" w:hAnsi="Times New Roman" w:cs="Times New Roman"/>
          <w:sz w:val="24"/>
          <w:szCs w:val="24"/>
        </w:rPr>
        <w:t xml:space="preserve">alterations to the environment could benefit the biome. A common example of good conditions in a symbiotic relationship would be the gut. Housing a plethora of bacteria, the gut microbiome provides easy access to digested nutrients of all kinds. This vastness of nutrients attracts the growth of all types of bacteria that can digest said products. The success and efficiency of such a population could be good or detrimental, possible allowing for better survival or leading to obesity. </w:t>
      </w:r>
    </w:p>
    <w:p w14:paraId="10FA709F" w14:textId="3406B42B" w:rsidR="00660297" w:rsidRDefault="00660297" w:rsidP="00685E10">
      <w:pPr>
        <w:spacing w:line="240" w:lineRule="auto"/>
        <w:rPr>
          <w:rFonts w:ascii="Times New Roman" w:hAnsi="Times New Roman" w:cs="Times New Roman"/>
          <w:sz w:val="24"/>
          <w:szCs w:val="24"/>
        </w:rPr>
      </w:pPr>
      <w:r>
        <w:rPr>
          <w:rFonts w:ascii="Times New Roman" w:hAnsi="Times New Roman" w:cs="Times New Roman"/>
          <w:sz w:val="24"/>
          <w:szCs w:val="24"/>
        </w:rPr>
        <w:tab/>
      </w:r>
      <w:r w:rsidR="008E4D6B">
        <w:rPr>
          <w:rFonts w:ascii="Times New Roman" w:hAnsi="Times New Roman" w:cs="Times New Roman"/>
          <w:sz w:val="24"/>
          <w:szCs w:val="24"/>
        </w:rPr>
        <w:t>Changes in the microbiome can be seen as a signifier of disease. Koch’s postulates (</w:t>
      </w:r>
      <w:r w:rsidR="00576FE9">
        <w:rPr>
          <w:rFonts w:ascii="Times New Roman" w:hAnsi="Times New Roman" w:cs="Times New Roman"/>
          <w:sz w:val="24"/>
          <w:szCs w:val="24"/>
        </w:rPr>
        <w:t xml:space="preserve">“guidelines that established microbes cause diseases”, </w:t>
      </w:r>
      <w:r w:rsidR="00576FE9" w:rsidRPr="00576FE9">
        <w:rPr>
          <w:rFonts w:ascii="Times New Roman" w:hAnsi="Times New Roman" w:cs="Times New Roman"/>
          <w:sz w:val="24"/>
          <w:szCs w:val="24"/>
        </w:rPr>
        <w:t>Walker, Lary, et al. “Koch’s Postulates and Infectious Proteins.”</w:t>
      </w:r>
      <w:r w:rsidR="008E4D6B">
        <w:rPr>
          <w:rFonts w:ascii="Times New Roman" w:hAnsi="Times New Roman" w:cs="Times New Roman"/>
          <w:sz w:val="24"/>
          <w:szCs w:val="24"/>
        </w:rPr>
        <w:t xml:space="preserve">) identified this relationship through analysis of </w:t>
      </w:r>
      <w:r w:rsidR="00576FE9">
        <w:rPr>
          <w:rFonts w:ascii="Times New Roman" w:hAnsi="Times New Roman" w:cs="Times New Roman"/>
          <w:sz w:val="24"/>
          <w:szCs w:val="24"/>
        </w:rPr>
        <w:t>microbial interactions</w:t>
      </w:r>
      <w:r w:rsidR="008E4D6B">
        <w:rPr>
          <w:rFonts w:ascii="Times New Roman" w:hAnsi="Times New Roman" w:cs="Times New Roman"/>
          <w:sz w:val="24"/>
          <w:szCs w:val="24"/>
        </w:rPr>
        <w:t xml:space="preserve">. This then lead to the field of infectious disease. </w:t>
      </w:r>
      <w:r w:rsidR="00CF1B2D">
        <w:rPr>
          <w:rFonts w:ascii="Times New Roman" w:hAnsi="Times New Roman" w:cs="Times New Roman"/>
          <w:sz w:val="24"/>
          <w:szCs w:val="24"/>
        </w:rPr>
        <w:t>Dysbiosis</w:t>
      </w:r>
      <w:r w:rsidR="008E4D6B">
        <w:rPr>
          <w:rFonts w:ascii="Times New Roman" w:hAnsi="Times New Roman" w:cs="Times New Roman"/>
          <w:sz w:val="24"/>
          <w:szCs w:val="24"/>
        </w:rPr>
        <w:t>, disruption of the normal microflora, is related to the onset of disease through the killing of needed microbes.</w:t>
      </w:r>
      <w:r w:rsidR="00F04487">
        <w:rPr>
          <w:rFonts w:ascii="Times New Roman" w:hAnsi="Times New Roman" w:cs="Times New Roman"/>
          <w:sz w:val="24"/>
          <w:szCs w:val="24"/>
        </w:rPr>
        <w:t xml:space="preserve"> Examples of such could be seen in antibiotic associated colitis (exposure to antibiotics cause expression of enterotoxins, which lead to inflammation) and ulcerative colitis (degradation of mucus lining in intestinal walls, causing inflammation). Much like before, the pattern seen here is that individuals with efficient flora tend to be at risk, for example, obesity and/or type 2 diabetes. Celiac disease is also another example given, this however being the result of an inefficient system, where the loss </w:t>
      </w:r>
      <w:r w:rsidR="00F04487">
        <w:rPr>
          <w:rFonts w:ascii="Times New Roman" w:hAnsi="Times New Roman" w:cs="Times New Roman"/>
          <w:sz w:val="24"/>
          <w:szCs w:val="24"/>
        </w:rPr>
        <w:lastRenderedPageBreak/>
        <w:t xml:space="preserve">of a certain bacterial function </w:t>
      </w:r>
      <w:r w:rsidR="00F04487">
        <w:rPr>
          <w:rFonts w:ascii="Times New Roman" w:hAnsi="Times New Roman" w:cs="Times New Roman"/>
          <w:sz w:val="24"/>
          <w:szCs w:val="24"/>
        </w:rPr>
        <w:t>(undigested gluten proteins)</w:t>
      </w:r>
      <w:r w:rsidR="00F04487">
        <w:rPr>
          <w:rFonts w:ascii="Times New Roman" w:hAnsi="Times New Roman" w:cs="Times New Roman"/>
          <w:sz w:val="24"/>
          <w:szCs w:val="24"/>
        </w:rPr>
        <w:t xml:space="preserve"> can put an individual at risk, leading to other issues such as chronic wound infection, atopic dermatitis and more. </w:t>
      </w:r>
    </w:p>
    <w:p w14:paraId="5464BD94" w14:textId="5BF11E04" w:rsidR="00F04487" w:rsidRDefault="00F04487" w:rsidP="00685E10">
      <w:pPr>
        <w:spacing w:line="240" w:lineRule="auto"/>
        <w:rPr>
          <w:rFonts w:ascii="Times New Roman" w:hAnsi="Times New Roman" w:cs="Times New Roman"/>
          <w:sz w:val="24"/>
          <w:szCs w:val="24"/>
        </w:rPr>
      </w:pPr>
      <w:r>
        <w:rPr>
          <w:rFonts w:ascii="Times New Roman" w:hAnsi="Times New Roman" w:cs="Times New Roman"/>
          <w:sz w:val="24"/>
          <w:szCs w:val="24"/>
        </w:rPr>
        <w:tab/>
      </w:r>
      <w:r w:rsidR="009B15B3">
        <w:rPr>
          <w:rFonts w:ascii="Times New Roman" w:hAnsi="Times New Roman" w:cs="Times New Roman"/>
          <w:sz w:val="24"/>
          <w:szCs w:val="24"/>
        </w:rPr>
        <w:t xml:space="preserve">As stated before, changes in the microbiome can be seen as a signifier of disease, which means we can use this for diagnostic tests. An example of this could be seen in </w:t>
      </w:r>
      <w:r w:rsidR="009B15B3" w:rsidRPr="009B15B3">
        <w:rPr>
          <w:rFonts w:ascii="Times New Roman" w:hAnsi="Times New Roman" w:cs="Times New Roman"/>
          <w:i/>
          <w:iCs/>
          <w:sz w:val="24"/>
          <w:szCs w:val="24"/>
        </w:rPr>
        <w:t>C. difficile</w:t>
      </w:r>
      <w:r w:rsidR="009B15B3">
        <w:rPr>
          <w:rFonts w:ascii="Times New Roman" w:hAnsi="Times New Roman" w:cs="Times New Roman"/>
          <w:sz w:val="24"/>
          <w:szCs w:val="24"/>
        </w:rPr>
        <w:t xml:space="preserve"> disease which follows a chronic use of antibiotics, killing off the natural flora. An early diagnosis of this can help later interventions, such as “repoopulation” (repopulation of the microbiome through the use of stool). Another example of catching changes in the biome would be that of necrotizing enterocolitis (NEC), which is responsible for intestinal disease in infants. Adjustments and alterations of the natural flora can also lead to disruption in things such as the  pathogenesis of inflammatory  colitis and colorectal cancer. Bacteria to note include </w:t>
      </w:r>
      <w:r w:rsidR="009B15B3" w:rsidRPr="009B15B3">
        <w:rPr>
          <w:rFonts w:ascii="Times New Roman" w:hAnsi="Times New Roman" w:cs="Times New Roman"/>
          <w:i/>
          <w:iCs/>
          <w:sz w:val="24"/>
          <w:szCs w:val="24"/>
        </w:rPr>
        <w:t>Akkermansia muciniphila</w:t>
      </w:r>
      <w:r w:rsidR="009B15B3">
        <w:rPr>
          <w:rFonts w:ascii="Times New Roman" w:hAnsi="Times New Roman" w:cs="Times New Roman"/>
          <w:sz w:val="24"/>
          <w:szCs w:val="24"/>
        </w:rPr>
        <w:t xml:space="preserve"> (degrade intestinal wall), </w:t>
      </w:r>
      <w:r w:rsidR="009B15B3" w:rsidRPr="009B15B3">
        <w:rPr>
          <w:rFonts w:ascii="Times New Roman" w:hAnsi="Times New Roman" w:cs="Times New Roman"/>
          <w:i/>
          <w:iCs/>
          <w:sz w:val="24"/>
          <w:szCs w:val="24"/>
        </w:rPr>
        <w:t>Bacteroides fragilis</w:t>
      </w:r>
      <w:r w:rsidR="009B15B3">
        <w:rPr>
          <w:rFonts w:ascii="Times New Roman" w:hAnsi="Times New Roman" w:cs="Times New Roman"/>
          <w:sz w:val="24"/>
          <w:szCs w:val="24"/>
        </w:rPr>
        <w:t xml:space="preserve"> (induce inflammatory response), and </w:t>
      </w:r>
      <w:r w:rsidR="009B15B3">
        <w:rPr>
          <w:rFonts w:ascii="Times New Roman" w:hAnsi="Times New Roman" w:cs="Times New Roman"/>
          <w:i/>
          <w:iCs/>
          <w:sz w:val="24"/>
          <w:szCs w:val="24"/>
        </w:rPr>
        <w:t>Methanobrevibacter smithii</w:t>
      </w:r>
      <w:r w:rsidR="009B15B3">
        <w:rPr>
          <w:rFonts w:ascii="Times New Roman" w:hAnsi="Times New Roman" w:cs="Times New Roman"/>
          <w:sz w:val="24"/>
          <w:szCs w:val="24"/>
        </w:rPr>
        <w:t xml:space="preserve"> (</w:t>
      </w:r>
      <w:r w:rsidR="003B347A">
        <w:rPr>
          <w:rFonts w:ascii="Times New Roman" w:hAnsi="Times New Roman" w:cs="Times New Roman"/>
          <w:sz w:val="24"/>
          <w:szCs w:val="24"/>
        </w:rPr>
        <w:t>leads to the accumulation of fat).</w:t>
      </w:r>
    </w:p>
    <w:p w14:paraId="0585ECC6" w14:textId="294057D7" w:rsidR="003B347A" w:rsidRDefault="003B347A" w:rsidP="00685E10">
      <w:pPr>
        <w:spacing w:line="240" w:lineRule="auto"/>
        <w:rPr>
          <w:rFonts w:ascii="Times New Roman" w:hAnsi="Times New Roman" w:cs="Times New Roman"/>
          <w:sz w:val="24"/>
          <w:szCs w:val="24"/>
        </w:rPr>
      </w:pPr>
      <w:r>
        <w:rPr>
          <w:rFonts w:ascii="Times New Roman" w:hAnsi="Times New Roman" w:cs="Times New Roman"/>
          <w:sz w:val="24"/>
          <w:szCs w:val="24"/>
        </w:rPr>
        <w:tab/>
        <w:t>The topic of probiotics is also brought up, as some may ask “If there is a lack of bacteria, and we just need to repopulate the bacteria, why can’t we just eat yogurt and be fine?”. A valid question to ask, but probiotics in this sense vary in usefulness as the bacteria involved also vary (as well as bacteria in each person varies slightly). For treatments of diarrhea and inflammatory bowel disease, sorts of probiotics are very effective as they contain the bacteria we know are necessary to fulfill the function they are set for. However, not all probiotics are fully effective, so bold labels proclaiming better gut health should be read with a little hesitation.</w:t>
      </w:r>
    </w:p>
    <w:p w14:paraId="77F81008" w14:textId="142AD6DD" w:rsidR="0015082A" w:rsidRDefault="003B347A" w:rsidP="00685E1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In conclusion, the microbiome is large, spanning all across the human body , fulfilling various of functions. Looking forward, we can see the effectiveness of maintaining and monitoring these communities, so it may be important to research diagnostic tests and microbial therapies that could help detect and treat diseases prior to external symptoms showing. </w:t>
      </w:r>
    </w:p>
    <w:p w14:paraId="4A81936F" w14:textId="77777777" w:rsidR="0015082A" w:rsidRDefault="0015082A">
      <w:pPr>
        <w:rPr>
          <w:rFonts w:ascii="Times New Roman" w:hAnsi="Times New Roman" w:cs="Times New Roman"/>
          <w:sz w:val="24"/>
          <w:szCs w:val="24"/>
        </w:rPr>
      </w:pPr>
      <w:r>
        <w:rPr>
          <w:rFonts w:ascii="Times New Roman" w:hAnsi="Times New Roman" w:cs="Times New Roman"/>
          <w:sz w:val="24"/>
          <w:szCs w:val="24"/>
        </w:rPr>
        <w:br w:type="page"/>
      </w:r>
    </w:p>
    <w:p w14:paraId="01682A49" w14:textId="4E680A77" w:rsidR="003B347A" w:rsidRPr="0015082A" w:rsidRDefault="0015082A" w:rsidP="00685E10">
      <w:pPr>
        <w:spacing w:line="240" w:lineRule="auto"/>
        <w:rPr>
          <w:rFonts w:ascii="Times New Roman" w:hAnsi="Times New Roman" w:cs="Times New Roman"/>
          <w:sz w:val="30"/>
          <w:szCs w:val="30"/>
          <w:u w:val="single"/>
        </w:rPr>
      </w:pPr>
      <w:r w:rsidRPr="0015082A">
        <w:rPr>
          <w:rFonts w:ascii="Times New Roman" w:hAnsi="Times New Roman" w:cs="Times New Roman"/>
          <w:sz w:val="30"/>
          <w:szCs w:val="30"/>
          <w:u w:val="single"/>
        </w:rPr>
        <w:lastRenderedPageBreak/>
        <w:t>Chapter 3 – Sterilization, Disinfection, and Antisepsis</w:t>
      </w:r>
    </w:p>
    <w:p w14:paraId="0660CF40" w14:textId="3443626E" w:rsidR="0015082A" w:rsidRDefault="00503FEF" w:rsidP="009853D4">
      <w:pPr>
        <w:spacing w:line="240" w:lineRule="auto"/>
        <w:ind w:firstLine="720"/>
        <w:rPr>
          <w:rFonts w:ascii="Times New Roman" w:hAnsi="Times New Roman" w:cs="Times New Roman"/>
          <w:sz w:val="24"/>
          <w:szCs w:val="24"/>
        </w:rPr>
      </w:pPr>
      <w:r>
        <w:rPr>
          <w:rFonts w:ascii="Times New Roman" w:hAnsi="Times New Roman" w:cs="Times New Roman"/>
          <w:sz w:val="24"/>
          <w:szCs w:val="24"/>
        </w:rPr>
        <w:t>Sterilization, disinfection, and antisepsis are three commonly interchangeable terms we use to describe cleansing an environment. This definition is broad, and t</w:t>
      </w:r>
      <w:r w:rsidR="009853D4">
        <w:rPr>
          <w:rFonts w:ascii="Times New Roman" w:hAnsi="Times New Roman" w:cs="Times New Roman"/>
          <w:sz w:val="24"/>
          <w:szCs w:val="24"/>
        </w:rPr>
        <w:t xml:space="preserve">hese terms can be used to narrow the certain aspects of cleansing. </w:t>
      </w:r>
      <w:r>
        <w:rPr>
          <w:rFonts w:ascii="Times New Roman" w:hAnsi="Times New Roman" w:cs="Times New Roman"/>
          <w:sz w:val="24"/>
          <w:szCs w:val="24"/>
        </w:rPr>
        <w:t xml:space="preserve"> </w:t>
      </w:r>
      <w:r w:rsidR="009853D4">
        <w:rPr>
          <w:rFonts w:ascii="Times New Roman" w:hAnsi="Times New Roman" w:cs="Times New Roman"/>
          <w:sz w:val="24"/>
          <w:szCs w:val="24"/>
        </w:rPr>
        <w:t>Sterilization is the most extreme of the three, defined as “the total destruction of all microbes, including the more resilient forms“</w:t>
      </w:r>
      <w:r w:rsidR="00377B09">
        <w:rPr>
          <w:rFonts w:ascii="Times New Roman" w:hAnsi="Times New Roman" w:cs="Times New Roman"/>
          <w:sz w:val="24"/>
          <w:szCs w:val="24"/>
        </w:rPr>
        <w:t xml:space="preserve"> (with special emphasis on the elimination of spores as well)</w:t>
      </w:r>
      <w:r w:rsidR="009853D4">
        <w:rPr>
          <w:rFonts w:ascii="Times New Roman" w:hAnsi="Times New Roman" w:cs="Times New Roman"/>
          <w:sz w:val="24"/>
          <w:szCs w:val="24"/>
        </w:rPr>
        <w:t xml:space="preserve">. This method can be executed through the use of </w:t>
      </w:r>
      <w:r w:rsidR="00377B09">
        <w:rPr>
          <w:rFonts w:ascii="Times New Roman" w:hAnsi="Times New Roman" w:cs="Times New Roman"/>
          <w:sz w:val="24"/>
          <w:szCs w:val="24"/>
        </w:rPr>
        <w:t>gas, chemical, physical states</w:t>
      </w:r>
      <w:r w:rsidR="009853D4">
        <w:rPr>
          <w:rFonts w:ascii="Times New Roman" w:hAnsi="Times New Roman" w:cs="Times New Roman"/>
          <w:sz w:val="24"/>
          <w:szCs w:val="24"/>
        </w:rPr>
        <w:t xml:space="preserve">. Under the </w:t>
      </w:r>
      <w:r w:rsidR="00377B09">
        <w:rPr>
          <w:rFonts w:ascii="Times New Roman" w:hAnsi="Times New Roman" w:cs="Times New Roman"/>
          <w:sz w:val="24"/>
          <w:szCs w:val="24"/>
        </w:rPr>
        <w:t>physical</w:t>
      </w:r>
      <w:r w:rsidR="009853D4">
        <w:rPr>
          <w:rFonts w:ascii="Times New Roman" w:hAnsi="Times New Roman" w:cs="Times New Roman"/>
          <w:sz w:val="24"/>
          <w:szCs w:val="24"/>
        </w:rPr>
        <w:t xml:space="preserve"> state, saturated steam is most commonly used. Differentiating between three different factors (</w:t>
      </w:r>
      <w:r w:rsidR="00377B09">
        <w:rPr>
          <w:rFonts w:ascii="Times New Roman" w:hAnsi="Times New Roman" w:cs="Times New Roman"/>
          <w:sz w:val="24"/>
          <w:szCs w:val="24"/>
        </w:rPr>
        <w:t>time, temperature, and amount of moisture)</w:t>
      </w:r>
      <w:r w:rsidR="009853D4">
        <w:rPr>
          <w:rFonts w:ascii="Times New Roman" w:hAnsi="Times New Roman" w:cs="Times New Roman"/>
          <w:sz w:val="24"/>
          <w:szCs w:val="24"/>
        </w:rPr>
        <w:t xml:space="preserve">, this method can be adjusted to </w:t>
      </w:r>
      <w:r w:rsidR="00377B09">
        <w:rPr>
          <w:rFonts w:ascii="Times New Roman" w:hAnsi="Times New Roman" w:cs="Times New Roman"/>
          <w:sz w:val="24"/>
          <w:szCs w:val="24"/>
        </w:rPr>
        <w:t>fit what is being sterilized. Other physical sterilization methods include filtration, UV radiation, and ionizing radiation. Under the gas state, ethylene oxide is the most common, though it is not commonly used overall due to its hazardous potential. Instead, hydrogen peroxide vapors may be used</w:t>
      </w:r>
      <w:r w:rsidR="00905C77">
        <w:rPr>
          <w:rFonts w:ascii="Times New Roman" w:hAnsi="Times New Roman" w:cs="Times New Roman"/>
          <w:sz w:val="24"/>
          <w:szCs w:val="24"/>
        </w:rPr>
        <w:t xml:space="preserve"> along side its variation of plasma gas sterilization, which are both generally used for instrument sterilization. In the chemical state, both peracetic acid and glutaraldehyde can be used, though glutaraldehyde is considered much more toxic in comparison and may not be used as much.</w:t>
      </w:r>
    </w:p>
    <w:p w14:paraId="35126463" w14:textId="48DB5E89" w:rsidR="00905C77" w:rsidRDefault="00905C77" w:rsidP="009853D4">
      <w:pPr>
        <w:spacing w:line="240" w:lineRule="auto"/>
        <w:ind w:firstLine="720"/>
        <w:rPr>
          <w:rFonts w:ascii="Times New Roman" w:hAnsi="Times New Roman" w:cs="Times New Roman"/>
          <w:sz w:val="24"/>
          <w:szCs w:val="24"/>
        </w:rPr>
      </w:pPr>
      <w:r>
        <w:rPr>
          <w:rFonts w:ascii="Times New Roman" w:hAnsi="Times New Roman" w:cs="Times New Roman"/>
          <w:sz w:val="24"/>
          <w:szCs w:val="24"/>
        </w:rPr>
        <w:t>Following sterilization is the second most extreme method, disinfection. Generally, more resilient organisms survive disinfection, but this all depends on the specific level of disinfection.</w:t>
      </w:r>
    </w:p>
    <w:p w14:paraId="37C2C106" w14:textId="04A8622E" w:rsidR="00905C77" w:rsidRDefault="00905C77" w:rsidP="00905C77">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High level disinfection – “germicide that kills all microbial pathogens except large numbers of bacterial spores”. Typically, these disinfectants are used </w:t>
      </w:r>
      <w:r w:rsidR="00934684">
        <w:rPr>
          <w:rFonts w:ascii="Times New Roman" w:hAnsi="Times New Roman" w:cs="Times New Roman"/>
          <w:sz w:val="24"/>
          <w:szCs w:val="24"/>
        </w:rPr>
        <w:t>for materials that cannot survive sterilization techniques. Common examples of these include moist heat, glutaraldehyde, hydrogen peroxide, peracetic acid, and chlorine compounds.</w:t>
      </w:r>
    </w:p>
    <w:p w14:paraId="4DAEB629" w14:textId="357C4E68" w:rsidR="00934684" w:rsidRDefault="00934684" w:rsidP="00905C77">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Intermediate level disinfection – “germicide that kills all microbial pathogens except bacterial endospores”. These are used to clean surfaces of instruments where heavy contamination is unlikely.</w:t>
      </w:r>
    </w:p>
    <w:p w14:paraId="6D9C6C46" w14:textId="238F0AEA" w:rsidR="00934684" w:rsidRDefault="00934684" w:rsidP="00905C77">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Low level disinfection</w:t>
      </w:r>
      <w:r w:rsidR="005B7F96">
        <w:rPr>
          <w:rFonts w:ascii="Times New Roman" w:hAnsi="Times New Roman" w:cs="Times New Roman"/>
          <w:sz w:val="24"/>
          <w:szCs w:val="24"/>
        </w:rPr>
        <w:t xml:space="preserve"> – “germicide that kills most vegetative bacteria and lipid-enveloped and medium-size viruses”. These are used for noncritical instruments and devices.</w:t>
      </w:r>
    </w:p>
    <w:p w14:paraId="0FFD20CE" w14:textId="34899A1B" w:rsidR="005B7F96" w:rsidRDefault="005B7F96" w:rsidP="005B7F96">
      <w:pPr>
        <w:spacing w:line="240" w:lineRule="auto"/>
        <w:ind w:firstLine="720"/>
        <w:rPr>
          <w:rFonts w:ascii="Times New Roman" w:hAnsi="Times New Roman" w:cs="Times New Roman"/>
          <w:sz w:val="24"/>
          <w:szCs w:val="24"/>
        </w:rPr>
      </w:pPr>
      <w:r>
        <w:rPr>
          <w:rFonts w:ascii="Times New Roman" w:hAnsi="Times New Roman" w:cs="Times New Roman"/>
          <w:sz w:val="24"/>
          <w:szCs w:val="24"/>
        </w:rPr>
        <w:t>Finally, antisepsis is the least extreme, meant only to reduce the number of microbes on skin surfaces, prioritizing safety and efficacy. Common examples to note would be alcohols, iodophors, chlorohexidine, parachlorometaxylenol (PCMX), and triclosan. Most common in soaps, hand sanitizers, or other common day uses would be alcohols, PCMX’s, and triclosan’s due to their relative nontoxic effects. Iodophors are effective antiseptics but are considered a little more toxic.</w:t>
      </w:r>
    </w:p>
    <w:p w14:paraId="4D4CB034" w14:textId="06155DBB" w:rsidR="005A2499" w:rsidRDefault="005A2499" w:rsidP="005B7F96">
      <w:pPr>
        <w:spacing w:line="240" w:lineRule="auto"/>
        <w:ind w:firstLine="720"/>
        <w:rPr>
          <w:rFonts w:ascii="Times New Roman" w:hAnsi="Times New Roman" w:cs="Times New Roman"/>
          <w:sz w:val="24"/>
          <w:szCs w:val="24"/>
        </w:rPr>
      </w:pPr>
      <w:r>
        <w:rPr>
          <w:rFonts w:ascii="Times New Roman" w:hAnsi="Times New Roman" w:cs="Times New Roman"/>
          <w:sz w:val="24"/>
          <w:szCs w:val="24"/>
        </w:rPr>
        <w:t>As we are discussing these cleansing methods, it is important to note their mechanisms.</w:t>
      </w:r>
      <w:r w:rsidR="006C037A">
        <w:rPr>
          <w:rFonts w:ascii="Times New Roman" w:hAnsi="Times New Roman" w:cs="Times New Roman"/>
          <w:sz w:val="24"/>
          <w:szCs w:val="24"/>
        </w:rPr>
        <w:t xml:space="preserve"> </w:t>
      </w:r>
    </w:p>
    <w:p w14:paraId="7168835C" w14:textId="27DF0434" w:rsidR="006C037A" w:rsidRDefault="006C037A"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Moist heat – the concept is steam under pressure (autoclave). Effective against spores and other microbes, the rate of elimination is quite high. Factors for this rate include temperature, duration, size of autoclave, </w:t>
      </w:r>
      <w:r w:rsidR="008B6690">
        <w:rPr>
          <w:rFonts w:ascii="Times New Roman" w:hAnsi="Times New Roman" w:cs="Times New Roman"/>
          <w:sz w:val="24"/>
          <w:szCs w:val="24"/>
        </w:rPr>
        <w:t>and density/size of load. Spores should be killed in the autoclave and are even used as a method to test the effectiveness of an autoclave.</w:t>
      </w:r>
    </w:p>
    <w:p w14:paraId="1235BDC3" w14:textId="32991302" w:rsidR="008B6690" w:rsidRDefault="008B6690"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Ethylene Oxide – gas that is used to sterilize heat sensitive items. The rate is relatively slow, and factors for this include concentration, humidity, moisture, </w:t>
      </w:r>
      <w:r>
        <w:rPr>
          <w:rFonts w:ascii="Times New Roman" w:hAnsi="Times New Roman" w:cs="Times New Roman"/>
          <w:sz w:val="24"/>
          <w:szCs w:val="24"/>
        </w:rPr>
        <w:lastRenderedPageBreak/>
        <w:t xml:space="preserve">time, and temperature. Generally, the higher the temperature, the more effective. The main inhibitory process used is alkylation. Once again, effectiveness of this technique is tested using spores. </w:t>
      </w:r>
    </w:p>
    <w:p w14:paraId="6CD02C00" w14:textId="0D5BE04D" w:rsidR="008B6690" w:rsidRDefault="008B6690"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Aldehydes </w:t>
      </w:r>
      <w:r w:rsidR="00AD5504">
        <w:rPr>
          <w:rFonts w:ascii="Times New Roman" w:hAnsi="Times New Roman" w:cs="Times New Roman"/>
          <w:sz w:val="24"/>
          <w:szCs w:val="24"/>
        </w:rPr>
        <w:t>– alky</w:t>
      </w:r>
      <w:r>
        <w:rPr>
          <w:rFonts w:ascii="Times New Roman" w:hAnsi="Times New Roman" w:cs="Times New Roman"/>
          <w:sz w:val="24"/>
          <w:szCs w:val="24"/>
        </w:rPr>
        <w:t>lation is the primary effect. Aldehydes, such as formaldehyde and glutaraldehyde, can be used as both sterilants and high-level disinfectants. As such, these are rarely used on the skin</w:t>
      </w:r>
      <w:r w:rsidR="00AD5504">
        <w:rPr>
          <w:rFonts w:ascii="Times New Roman" w:hAnsi="Times New Roman" w:cs="Times New Roman"/>
          <w:sz w:val="24"/>
          <w:szCs w:val="24"/>
        </w:rPr>
        <w:t>. Generally, higher concentrations are more effective. Glutaraldehyde is inactivated by organic materials, so prior treatment is necessary.</w:t>
      </w:r>
    </w:p>
    <w:p w14:paraId="44FE852F" w14:textId="03FD6894" w:rsidR="00AD5504" w:rsidRDefault="00AD5504"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Oxidizing Agents – as per the name, the method is oxidation. Common forms are ozone, peracetic acid, and hydrogen peroxide. Hydrogen peroxide is effective against spores and is commonly used to disinfect implants and other things of that nature. </w:t>
      </w:r>
    </w:p>
    <w:p w14:paraId="7223357F" w14:textId="3AB4A586" w:rsidR="00AD5504" w:rsidRDefault="00AD5504"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Halogens – as very reactive elements, these compounds precipitate proteins alongside oxidize enzymes. Two of the most common forms are iodine compounds and chlorine compounds</w:t>
      </w:r>
      <w:r w:rsidR="007E5168">
        <w:rPr>
          <w:rFonts w:ascii="Times New Roman" w:hAnsi="Times New Roman" w:cs="Times New Roman"/>
          <w:sz w:val="24"/>
          <w:szCs w:val="24"/>
        </w:rPr>
        <w:t xml:space="preserve">. Iodine compounds come in a few varieties with the most effective coming as elemental iodine with a carrier, though it is more expensive compared to its other variants. It can be reduced by organic and inorganic compounds, but it is more effective in acid environments. Chlorine compounds take the form of elemental, acidic, ion, or in combination with other nitrogenous compounds. </w:t>
      </w:r>
      <w:r w:rsidR="008B21B1">
        <w:rPr>
          <w:rFonts w:ascii="Times New Roman" w:hAnsi="Times New Roman" w:cs="Times New Roman"/>
          <w:sz w:val="24"/>
          <w:szCs w:val="24"/>
        </w:rPr>
        <w:t>This makes it very effective against microbes as they can interact and disrupt cytoplasmic components. Acidic environments bring the best efficiency, alongside concentration and less organic material.</w:t>
      </w:r>
      <w:r w:rsidR="007E5168">
        <w:rPr>
          <w:rFonts w:ascii="Times New Roman" w:hAnsi="Times New Roman" w:cs="Times New Roman"/>
          <w:sz w:val="24"/>
          <w:szCs w:val="24"/>
        </w:rPr>
        <w:t xml:space="preserve"> </w:t>
      </w:r>
    </w:p>
    <w:p w14:paraId="200DE481" w14:textId="2CB00B20" w:rsidR="00AD5504" w:rsidRDefault="008B21B1"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Phenolic compounds – rarely used but can be seen as a baseline comparison. Using a scale to compare germicidal activity, a value &gt;1 would signify less activity than the phenol, =1 would signify equal activity, and &lt;1 would signify more activity. An example of a phenolic compound would be hexachlorophene. The actual method is believed to be associated with phenolic interactions with lipid-containing membranes. </w:t>
      </w:r>
    </w:p>
    <w:p w14:paraId="1313169C" w14:textId="58036BB2" w:rsidR="008B21B1" w:rsidRDefault="008B21B1"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Quaternary ammonium compounds – quaternary suggest four groups, all which are attached to a nitrogen. These groups are organic, and the effectivity of the compound relies on the groups. These compounds are not very effective as many microbes have grown resistant to them. Two examples of q</w:t>
      </w:r>
      <w:r>
        <w:rPr>
          <w:rFonts w:ascii="Times New Roman" w:hAnsi="Times New Roman" w:cs="Times New Roman"/>
          <w:sz w:val="24"/>
          <w:szCs w:val="24"/>
        </w:rPr>
        <w:t>uaternary ammonium compounds</w:t>
      </w:r>
      <w:r>
        <w:rPr>
          <w:rFonts w:ascii="Times New Roman" w:hAnsi="Times New Roman" w:cs="Times New Roman"/>
          <w:sz w:val="24"/>
          <w:szCs w:val="24"/>
        </w:rPr>
        <w:t xml:space="preserve"> would be benzalkonium chloride and cetylpyridinium chloride. </w:t>
      </w:r>
    </w:p>
    <w:p w14:paraId="4B58BFAF" w14:textId="233F8BD0" w:rsidR="008B21B1" w:rsidRPr="006C037A" w:rsidRDefault="008B21B1" w:rsidP="006C037A">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Alcohols – common against most microbes, these compounds are most effective with longer chain lengths. Common examples include ethanol and isopropanol. </w:t>
      </w:r>
      <w:r w:rsidR="001D2BD9">
        <w:rPr>
          <w:rFonts w:ascii="Times New Roman" w:hAnsi="Times New Roman" w:cs="Times New Roman"/>
          <w:sz w:val="24"/>
          <w:szCs w:val="24"/>
        </w:rPr>
        <w:t xml:space="preserve">Common for skin surfaces, these are used most often, but are ineffective against spores. </w:t>
      </w:r>
    </w:p>
    <w:p w14:paraId="5AF26EE2" w14:textId="77777777" w:rsidR="002F07EA" w:rsidRPr="00685E10" w:rsidRDefault="002F07EA" w:rsidP="00685E10">
      <w:pPr>
        <w:spacing w:line="240" w:lineRule="auto"/>
        <w:rPr>
          <w:rFonts w:ascii="Times New Roman" w:hAnsi="Times New Roman" w:cs="Times New Roman"/>
          <w:sz w:val="24"/>
          <w:szCs w:val="24"/>
        </w:rPr>
      </w:pPr>
    </w:p>
    <w:p w14:paraId="5E9DA369" w14:textId="77777777" w:rsidR="0017044D" w:rsidRPr="004244D5" w:rsidRDefault="0017044D" w:rsidP="0017044D">
      <w:pPr>
        <w:spacing w:line="240" w:lineRule="auto"/>
        <w:ind w:firstLine="720"/>
        <w:rPr>
          <w:rFonts w:ascii="Times New Roman" w:hAnsi="Times New Roman" w:cs="Times New Roman"/>
          <w:sz w:val="24"/>
          <w:szCs w:val="24"/>
        </w:rPr>
      </w:pPr>
    </w:p>
    <w:sectPr w:rsidR="0017044D" w:rsidRPr="004244D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14C35" w14:textId="77777777" w:rsidR="00426D2F" w:rsidRDefault="00426D2F" w:rsidP="00AB53FB">
      <w:pPr>
        <w:spacing w:after="0" w:line="240" w:lineRule="auto"/>
      </w:pPr>
      <w:r>
        <w:separator/>
      </w:r>
    </w:p>
  </w:endnote>
  <w:endnote w:type="continuationSeparator" w:id="0">
    <w:p w14:paraId="7513B728" w14:textId="77777777" w:rsidR="00426D2F" w:rsidRDefault="00426D2F" w:rsidP="00AB5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C8846" w14:textId="3950D690" w:rsidR="00AB53FB" w:rsidRPr="00AB53FB" w:rsidRDefault="00AB53FB">
    <w:pPr>
      <w:pStyle w:val="Footer"/>
      <w:rPr>
        <w:rFonts w:ascii="Times New Roman" w:hAnsi="Times New Roman" w:cs="Times New Roman"/>
        <w:sz w:val="20"/>
        <w:szCs w:val="20"/>
      </w:rPr>
    </w:pPr>
    <w:r w:rsidRPr="00AB53FB">
      <w:rPr>
        <w:rFonts w:ascii="Times New Roman" w:hAnsi="Times New Roman" w:cs="Times New Roman"/>
        <w:sz w:val="20"/>
        <w:szCs w:val="20"/>
      </w:rPr>
      <w:t xml:space="preserve">Unless otherwise stated, it is to be assumed that all quotes and references are from </w:t>
    </w:r>
    <w:r w:rsidRPr="00AB53FB">
      <w:rPr>
        <w:rFonts w:ascii="Times New Roman" w:hAnsi="Times New Roman" w:cs="Times New Roman"/>
        <w:i/>
        <w:iCs/>
        <w:sz w:val="20"/>
        <w:szCs w:val="20"/>
      </w:rPr>
      <w:t>Medical Microbiology, Murrey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774D5" w14:textId="77777777" w:rsidR="00426D2F" w:rsidRDefault="00426D2F" w:rsidP="00AB53FB">
      <w:pPr>
        <w:spacing w:after="0" w:line="240" w:lineRule="auto"/>
      </w:pPr>
      <w:r>
        <w:separator/>
      </w:r>
    </w:p>
  </w:footnote>
  <w:footnote w:type="continuationSeparator" w:id="0">
    <w:p w14:paraId="1C23B099" w14:textId="77777777" w:rsidR="00426D2F" w:rsidRDefault="00426D2F" w:rsidP="00AB5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350"/>
    <w:multiLevelType w:val="hybridMultilevel"/>
    <w:tmpl w:val="7E1A0F5A"/>
    <w:lvl w:ilvl="0" w:tplc="A5067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4239C7"/>
    <w:multiLevelType w:val="hybridMultilevel"/>
    <w:tmpl w:val="CC209404"/>
    <w:lvl w:ilvl="0" w:tplc="A8A8BFB4">
      <w:start w:val="1"/>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390863">
    <w:abstractNumId w:val="0"/>
  </w:num>
  <w:num w:numId="2" w16cid:durableId="1601831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0C"/>
    <w:rsid w:val="0015082A"/>
    <w:rsid w:val="001575BE"/>
    <w:rsid w:val="0017044D"/>
    <w:rsid w:val="001D2BD9"/>
    <w:rsid w:val="002F07EA"/>
    <w:rsid w:val="00377B09"/>
    <w:rsid w:val="003B347A"/>
    <w:rsid w:val="004244D5"/>
    <w:rsid w:val="00426D2F"/>
    <w:rsid w:val="00477C1A"/>
    <w:rsid w:val="004F37EC"/>
    <w:rsid w:val="00503FEF"/>
    <w:rsid w:val="00576FE9"/>
    <w:rsid w:val="005954D8"/>
    <w:rsid w:val="005A20D4"/>
    <w:rsid w:val="005A2499"/>
    <w:rsid w:val="005B7F96"/>
    <w:rsid w:val="00660297"/>
    <w:rsid w:val="00685E10"/>
    <w:rsid w:val="006A579F"/>
    <w:rsid w:val="006B68D5"/>
    <w:rsid w:val="006C037A"/>
    <w:rsid w:val="007052A4"/>
    <w:rsid w:val="00757DCF"/>
    <w:rsid w:val="007E5168"/>
    <w:rsid w:val="008B21B1"/>
    <w:rsid w:val="008B6690"/>
    <w:rsid w:val="008E4D6B"/>
    <w:rsid w:val="00905C77"/>
    <w:rsid w:val="00934684"/>
    <w:rsid w:val="009853D4"/>
    <w:rsid w:val="00987A46"/>
    <w:rsid w:val="009A6A0C"/>
    <w:rsid w:val="009B15B3"/>
    <w:rsid w:val="00A74C0B"/>
    <w:rsid w:val="00AB53FB"/>
    <w:rsid w:val="00AC6FBF"/>
    <w:rsid w:val="00AD5504"/>
    <w:rsid w:val="00CF1B2D"/>
    <w:rsid w:val="00D9440C"/>
    <w:rsid w:val="00D970F6"/>
    <w:rsid w:val="00DA5475"/>
    <w:rsid w:val="00F04487"/>
    <w:rsid w:val="00FB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012F"/>
  <w15:chartTrackingRefBased/>
  <w15:docId w15:val="{2962CC00-13EC-4DB3-9151-9BA7308F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44D"/>
    <w:pPr>
      <w:ind w:left="720"/>
      <w:contextualSpacing/>
    </w:pPr>
  </w:style>
  <w:style w:type="paragraph" w:styleId="Header">
    <w:name w:val="header"/>
    <w:basedOn w:val="Normal"/>
    <w:link w:val="HeaderChar"/>
    <w:uiPriority w:val="99"/>
    <w:unhideWhenUsed/>
    <w:rsid w:val="00AB5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3FB"/>
  </w:style>
  <w:style w:type="paragraph" w:styleId="Footer">
    <w:name w:val="footer"/>
    <w:basedOn w:val="Normal"/>
    <w:link w:val="FooterChar"/>
    <w:uiPriority w:val="99"/>
    <w:unhideWhenUsed/>
    <w:rsid w:val="00AB5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2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4771</TotalTime>
  <Pages>7</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20</cp:revision>
  <dcterms:created xsi:type="dcterms:W3CDTF">2024-01-16T23:32:00Z</dcterms:created>
  <dcterms:modified xsi:type="dcterms:W3CDTF">2024-01-21T20:37:00Z</dcterms:modified>
</cp:coreProperties>
</file>