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Cash Flow Forecasting Model — Group 2</w:t>
      </w:r>
    </w:p>
    <w:p>
      <w:r>
        <w:t>Course: ACS 362A: Database Systems Group Project</w:t>
      </w:r>
    </w:p>
    <w:p>
      <w:r>
        <w:t>Instructor: Japheth Mursi, Ph.D.</w:t>
      </w:r>
    </w:p>
    <w:p>
      <w:r>
        <w:t>Prepared by: Group 2 — 22-2207 – Makau Andrew Nzyoki; 22-2203 – Wanjihia Serena Wairati; 22-2245 – Dorothy Vugutsa; 22-2337 – Lewis Kagia; 23-2189 – Kitavi Christoph</w:t>
      </w:r>
    </w:p>
    <w:p>
      <w:r>
        <w:t>Date: November 05, 2025 • Version: v1.0</w:t>
      </w:r>
    </w:p>
    <w:p>
      <w:pPr>
        <w:pStyle w:val="Heading1"/>
      </w:pPr>
      <w:r>
        <w:t>Executive Summary</w:t>
      </w:r>
    </w:p>
    <w:p>
      <w:r>
        <w:t>Objective: Build a transparent monthly cash flow forecasting model to project cash position, identify funding needs, and evaluate scenarios.</w:t>
      </w:r>
    </w:p>
    <w:p>
      <w:r>
        <w:t>Scope: 24‑month forecast in KES with Base / Upside / Downside scenarios; working capital (AR/AP/Inventory), CapEx/Depreciation, and optional debt.</w:t>
      </w:r>
    </w:p>
    <w:p>
      <w:r>
        <w:t>Case Context: Nairobi-based consumer electronics retailer (store + online)</w:t>
      </w:r>
    </w:p>
    <w:p>
      <w:pPr>
        <w:pStyle w:val="Heading1"/>
      </w:pPr>
      <w:r>
        <w:t>Key Charts</w:t>
      </w:r>
    </w:p>
    <w:p>
      <w:r>
        <w:t>Closing cash — Base case: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sing_cash_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Closing cash — Base vs Upside vs Downside: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sing_cash_scena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Working capital components (ΔAR, ΔInventory, −ΔAP):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c_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Methodology (summary)</w:t>
      </w:r>
    </w:p>
    <w:p>
      <w:r>
        <w:t>Revenue via monthly growth; COGS as % of revenue; Opex with fixed and variable components; working capital using DSO/DPO/InventoryDays; CapEx and straight‑line depreciation; simple taxes; cash flow = Net Income + Depreciation − ΔWC − CapEx.</w:t>
      </w:r>
    </w:p>
    <w:p>
      <w:pPr>
        <w:pStyle w:val="Heading1"/>
      </w:pPr>
      <w:r>
        <w:t>Scenario Assumptions</w:t>
      </w:r>
    </w:p>
    <w:p>
      <w:r>
        <w:t>Base: growth 1.5%/mo, DSO 45d, DPO 30d, Inventory 60d</w:t>
      </w:r>
    </w:p>
    <w:p>
      <w:r>
        <w:t>Upside: growth 3.0%/mo, DSO 35d, DPO 35d, Inventory 50d</w:t>
      </w:r>
    </w:p>
    <w:p>
      <w:r>
        <w:t>Downside: growth 0.5%/mo, DSO 55d, DPO 25d, Inventory 70d</w:t>
      </w:r>
    </w:p>
    <w:p>
      <w:pPr>
        <w:pStyle w:val="Heading1"/>
      </w:pPr>
      <w:r>
        <w:t>Notes &amp; Recommendations</w:t>
      </w:r>
    </w:p>
    <w:p>
      <w:r>
        <w:t>Focus on reducing DSO, negotiating DPO, and phasing CapEx to smooth the cash trough. Update actuals monthly and refresh scenarios quarterly.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