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spacing w:after="60"/>
      </w:pPr>
      <w:r>
        <w:rPr>
          <w:b w:val="1"/>
          <w:bCs w:val="1"/>
          <w:outline w:val="0"/>
          <w:color w:val="1f3a5f"/>
          <w:u w:color="1f3a5f"/>
          <w:rtl w:val="0"/>
          <w:lang w:val="en-US"/>
          <w14:textFill>
            <w14:solidFill>
              <w14:srgbClr w14:val="1F3A5F"/>
            </w14:solidFill>
          </w14:textFill>
        </w:rPr>
        <w:t>Book Feedback Tracker</w:t>
      </w:r>
    </w:p>
    <w:p>
      <w:pPr>
        <w:pStyle w:val="Title"/>
        <w:spacing w:after="60"/>
      </w:pPr>
      <w:r>
        <w:rPr>
          <w:i w:val="1"/>
          <w:iCs w:val="1"/>
          <w:outline w:val="0"/>
          <w:color w:val="555555"/>
          <w:sz w:val="20"/>
          <w:szCs w:val="20"/>
          <w:u w:color="555555"/>
          <w:rtl w:val="0"/>
          <w:lang w:val="en-US"/>
          <w14:textFill>
            <w14:solidFill>
              <w14:srgbClr w14:val="555555"/>
            </w14:solidFill>
          </w14:textFill>
        </w:rPr>
        <w:t>Reader and reviewer feedback, prioritised and logged as it comes in.</w:t>
      </w:r>
    </w:p>
    <w:p>
      <w:pPr>
        <w:pStyle w:val="Title"/>
        <w:spacing w:after="60"/>
      </w:pPr>
      <w:r>
        <w:rPr>
          <w:outline w:val="0"/>
          <w:color w:val="1a1a1a"/>
          <w:sz w:val="20"/>
          <w:szCs w:val="20"/>
          <w:u w:color="1a1a1a"/>
          <w:rtl w:val="0"/>
          <w:lang w:val="en-US"/>
          <w14:textFill>
            <w14:solidFill>
              <w14:srgbClr w14:val="1A1A1A"/>
            </w14:solidFill>
          </w14:textFill>
        </w:rPr>
        <w:t>Every item below is tagged with who raised it. Items are sorted into three tiers:</w:t>
      </w:r>
    </w:p>
    <w:p>
      <w:pPr>
        <w:pStyle w:val="List Paragraph"/>
        <w:numPr>
          <w:ilvl w:val="0"/>
          <w:numId w:val="2"/>
        </w:numPr>
        <w:spacing w:after="60"/>
      </w:pPr>
      <w:r>
        <w:rPr>
          <w:b w:val="1"/>
          <w:bCs w:val="1"/>
          <w:rtl w:val="0"/>
        </w:rPr>
        <w:t xml:space="preserve">Bugs </w:t>
      </w:r>
      <w:r>
        <w:rPr>
          <w:b w:val="1"/>
          <w:bCs w:val="1"/>
          <w:rtl w:val="0"/>
          <w:lang w:val="en-US"/>
        </w:rPr>
        <w:t xml:space="preserve">— fix immediately: </w:t>
      </w:r>
      <w:r>
        <w:rPr>
          <w:rtl w:val="0"/>
          <w:lang w:val="en-US"/>
        </w:rPr>
        <w:t xml:space="preserve">objective errors — broken or confusing references, inconsistencies in the book</w:t>
      </w:r>
      <w:r>
        <w:rPr>
          <w:rtl w:val="1"/>
        </w:rPr>
        <w:t>’</w:t>
      </w:r>
      <w:r>
        <w:rPr>
          <w:rtl w:val="0"/>
          <w:lang w:val="en-US"/>
        </w:rPr>
        <w:t>s own conventions.</w:t>
      </w:r>
    </w:p>
    <w:p>
      <w:pPr>
        <w:pStyle w:val="List Paragraph"/>
        <w:numPr>
          <w:ilvl w:val="0"/>
          <w:numId w:val="2"/>
        </w:numPr>
        <w:spacing w:after="60"/>
        <w:rPr>
          <w:lang w:val="en-US"/>
        </w:rPr>
      </w:pPr>
      <w:r>
        <w:rPr>
          <w:b w:val="1"/>
          <w:bCs w:val="1"/>
          <w:rtl w:val="0"/>
          <w:lang w:val="en-US"/>
        </w:rPr>
        <w:t xml:space="preserve">Clarity &amp; accessibility — recommended: </w:t>
      </w:r>
      <w:r>
        <w:rPr>
          <w:rtl w:val="0"/>
          <w:lang w:val="en-US"/>
        </w:rPr>
        <w:t>not errors, but they affect whether the target reader can actually follow the book. Kept separate from style because legibility outranks preserving style.</w:t>
      </w:r>
    </w:p>
    <w:p>
      <w:pPr>
        <w:pStyle w:val="List Paragraph"/>
        <w:numPr>
          <w:ilvl w:val="0"/>
          <w:numId w:val="2"/>
        </w:numPr>
        <w:spacing w:after="200"/>
        <w:rPr>
          <w:lang w:val="en-US"/>
        </w:rPr>
      </w:pPr>
      <w:r>
        <w:rPr>
          <w:b w:val="1"/>
          <w:bCs w:val="1"/>
          <w:rtl w:val="0"/>
          <w:lang w:val="en-US"/>
        </w:rPr>
        <w:t xml:space="preserve">Style &amp; structure — hold for review: </w:t>
      </w:r>
      <w:r>
        <w:rPr>
          <w:rtl w:val="0"/>
          <w:lang w:val="en-US"/>
        </w:rPr>
        <w:t>editorial and voice calls. Logged for your judgement, not acted on automatically.</w:t>
      </w:r>
    </w:p>
    <w:p>
      <w:pPr>
        <w:pStyle w:val="List Paragraph"/>
        <w:spacing w:after="200"/>
      </w:pPr>
      <w:r>
        <w:rPr>
          <w:outline w:val="0"/>
          <w:color w:val="1a1a1a"/>
          <w:u w:color="1a1a1a"/>
          <w:rtl w:val="0"/>
          <w:lang w:val="pt-PT"/>
          <w14:textFill>
            <w14:solidFill>
              <w14:srgbClr w14:val="1A1A1A"/>
            </w14:solidFill>
          </w14:textFill>
        </w:rPr>
        <w:t xml:space="preserve">A </w:t>
      </w: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What</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working</w:t>
      </w:r>
      <w:r>
        <w:rPr>
          <w:outline w:val="0"/>
          <w:color w:val="1a1a1a"/>
          <w:u w:color="1a1a1a"/>
          <w:rtl w:val="0"/>
          <w14:textFill>
            <w14:solidFill>
              <w14:srgbClr w14:val="1A1A1A"/>
            </w14:solidFill>
          </w14:textFill>
        </w:rPr>
        <w:t xml:space="preserve">” </w:t>
      </w:r>
      <w:r>
        <w:rPr>
          <w:outline w:val="0"/>
          <w:color w:val="1a1a1a"/>
          <w:u w:color="1a1a1a"/>
          <w:rtl w:val="0"/>
          <w:lang w:val="en-US"/>
          <w14:textFill>
            <w14:solidFill>
              <w14:srgbClr w14:val="1A1A1A"/>
            </w14:solidFill>
          </w14:textFill>
        </w:rPr>
        <w:t>section keeps praise on record so it isn</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t lost during revision, and a raw feedback log at the end preserves each reviewer</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original wording.</w:t>
      </w:r>
    </w:p>
    <w:p>
      <w:pPr>
        <w:pStyle w:val="Heading"/>
        <w:pBdr>
          <w:top w:val="nil"/>
          <w:left w:val="nil"/>
          <w:bottom w:val="single" w:color="1f3a5f" w:sz="6" w:space="0" w:shadow="0" w:frame="0"/>
          <w:right w:val="nil"/>
        </w:pBdr>
        <w:spacing w:before="360" w:after="160"/>
      </w:pPr>
      <w:r>
        <w:rPr>
          <w:b w:val="1"/>
          <w:bCs w:val="1"/>
          <w:outline w:val="0"/>
          <w:color w:val="1f3a5f"/>
          <w:u w:color="1f3a5f"/>
          <w:rtl w:val="0"/>
          <w14:textFill>
            <w14:solidFill>
              <w14:srgbClr w14:val="1F3A5F"/>
            </w14:solidFill>
          </w14:textFill>
        </w:rPr>
        <w:t xml:space="preserve">1. Bugs </w:t>
      </w:r>
      <w:r>
        <w:rPr>
          <w:b w:val="1"/>
          <w:bCs w:val="1"/>
          <w:outline w:val="0"/>
          <w:color w:val="1f3a5f"/>
          <w:u w:color="1f3a5f"/>
          <w:rtl w:val="0"/>
          <w:lang w:val="en-US"/>
          <w14:textFill>
            <w14:solidFill>
              <w14:srgbClr w14:val="1F3A5F"/>
            </w14:solidFill>
          </w14:textFill>
        </w:rPr>
        <w:t xml:space="preserve">— Fix Immediately</w:t>
      </w:r>
    </w:p>
    <w:tbl>
      <w:tblPr>
        <w:tblW w:w="952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00"/>
        <w:gridCol w:w="5426"/>
        <w:gridCol w:w="2000"/>
        <w:gridCol w:w="1600"/>
      </w:tblGrid>
      <w:tr>
        <w:tblPrEx>
          <w:shd w:val="clear" w:color="auto" w:fill="4f81bd"/>
        </w:tblPrEx>
        <w:trPr>
          <w:trHeight w:val="197" w:hRule="atLeast"/>
          <w:tblHeader/>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14:textFill>
                  <w14:solidFill>
                    <w14:srgbClr w14:val="FFFFFF"/>
                  </w14:solidFill>
                </w14:textFill>
              </w:rPr>
              <w:t>#</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Item</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Reviewer</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nl-NL"/>
                <w14:textFill>
                  <w14:solidFill>
                    <w14:srgbClr w14:val="FFFFFF"/>
                  </w14:solidFill>
                </w14:textFill>
              </w:rPr>
              <w:t>Status</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The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de-DE"/>
              </w:rPr>
              <w:t>Note</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box type has no explanatory text, unlike every other box style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readers aren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told what it means or whether it can be skipped.</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866"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2</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The welcome section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s reference to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fr-FR"/>
              </w:rPr>
              <w:t>section 24.8.1</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is unclear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Sara couldn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tell if it</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in Chapter 24, or whether reviewers need to read that far before giving feedback. Needs your call: confirm whether this is a book cross-reference or a reviewer instruction, then fix or reword it.</w:t>
            </w:r>
            <w:r>
              <w:rPr>
                <w:rFonts w:ascii="Times New Roman" w:cs="Times New Roman" w:hAnsi="Times New Roman" w:eastAsia="Times New Roman"/>
                <w:sz w:val="19"/>
                <w:szCs w:val="19"/>
                <w:u w:color="000000"/>
                <w:shd w:val="nil" w:color="auto" w:fill="auto"/>
                <w:rtl w:val="0"/>
              </w:rPr>
              <w:br w:type="textWrapping"/>
              <w:br w:type="textWrapping"/>
            </w:r>
            <w:r>
              <w:rPr>
                <w:rFonts w:ascii="Times New Roman" w:hAnsi="Times New Roman"/>
                <w:sz w:val="19"/>
                <w:szCs w:val="19"/>
                <w:u w:color="000000"/>
                <w:shd w:val="nil" w:color="auto" w:fill="auto"/>
                <w:rtl w:val="0"/>
                <w:lang w:val="fr-FR"/>
              </w:rPr>
              <w:t xml:space="preserve">Your call: you think this is fixed — you replaced “section 24.8.1” with “the last page of Chapter 24”. Reviewed: that resolves Sara’s ambiguity — it was a book cross-reference (to the support section at the end of Chapter 24), not a reviewer instruction. Done: upgraded to a live link so it can’t drift again. Chapter 24’s “Free, and how to support it if you want to” heading now carries an explicit anchor, and the Welcome links to it directly. Used a plain anchor rather than a @sec- cross-reference because the section sits under an unnumbered parent, and Quarto renders @sec- references to unnumbered sections as “?sec-…” — the same silent failure mode as the appendix link.</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
            </w:r>
            <w:r>
              <w:rPr>
                <w:rFonts w:ascii="Times New Roman" w:hAnsi="Times New Roman" w:hint="default"/>
                <w:sz w:val="19"/>
                <w:szCs w:val="19"/>
                <w:u w:color="000000"/>
                <w:shd w:val="nil" w:color="auto" w:fill="auto"/>
                <w:rtl w:val="0"/>
                <w:lang w:val="en-US"/>
              </w:rPr>
              <w:t xml:space="preserve"/>
            </w:r>
            <w:r>
              <w:rPr>
                <w:rFonts w:ascii="Times New Roman" w:hAnsi="Times New Roman"/>
                <w:sz w:val="19"/>
                <w:szCs w:val="19"/>
                <w:u w:color="000000"/>
                <w:shd w:val="nil" w:color="auto" w:fill="auto"/>
                <w:rtl w:val="0"/>
                <w:lang w:val="en-US"/>
              </w:rPr>
              <w:t xml:space="preserve">Fixed</w:t>
            </w:r>
          </w:p>
        </w:tc>
      </w:tr>
      <w:tr>
        <w:tblPrEx>
          <w:shd w:val="clear" w:color="auto" w:fill="ced7e7"/>
        </w:tblPrEx>
        <w:trPr>
          <w:trHeight w:val="1389"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3</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The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edit this page</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link on review pages leads to a 404, so reviewers can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t use it to leave feedback in place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needs fixing or removing.</w:t>
            </w:r>
            <w:r>
              <w:rPr>
                <w:rFonts w:ascii="Times New Roman" w:cs="Times New Roman" w:hAnsi="Times New Roman" w:eastAsia="Times New Roman"/>
                <w:sz w:val="19"/>
                <w:szCs w:val="19"/>
                <w:u w:color="000000"/>
                <w:shd w:val="nil" w:color="auto" w:fill="auto"/>
                <w:rtl w:val="0"/>
              </w:rPr>
              <w:br w:type="textWrapping"/>
              <w:br w:type="textWrapping"/>
            </w:r>
            <w:r>
              <w:rPr>
                <w:rFonts w:ascii="Times New Roman" w:hAnsi="Times New Roman"/>
                <w:sz w:val="19"/>
                <w:szCs w:val="19"/>
                <w:u w:color="000000"/>
                <w:shd w:val="nil" w:color="auto" w:fill="auto"/>
                <w:rtl w:val="0"/>
                <w:lang w:val="fr-FR"/>
              </w:rPr>
              <w:t xml:space="preserve">Your call: remove it. Done: root cause was _quarto.yml — repo-url pointed at github.com/andrewmarritt/bayesian-people-analytics, but the real repo is Andrew-Marritt/hr-bayes-book, so every "Edit this page" link 404’d. The "Report an issue" link was breaking the same way. repo-actions is now removed (both links gone), repo-url corrected, and a comment left in the file explaining how to restore the issue link if the repo is ever made public.</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bl>
    <w:p>
      <w:pPr>
        <w:pStyle w:val="Heading"/>
        <w:widowControl w:val="0"/>
        <w:spacing w:before="360" w:after="160"/>
      </w:pPr>
    </w:p>
    <w:p>
      <w:pPr>
        <w:pStyle w:val="Heading"/>
        <w:pBdr>
          <w:top w:val="nil"/>
          <w:left w:val="nil"/>
          <w:bottom w:val="single" w:color="1f3a5f" w:sz="6" w:space="0" w:shadow="0" w:frame="0"/>
          <w:right w:val="nil"/>
        </w:pBdr>
        <w:spacing w:before="360" w:after="160"/>
      </w:pPr>
      <w:r>
        <w:rPr>
          <w:b w:val="1"/>
          <w:bCs w:val="1"/>
          <w:outline w:val="0"/>
          <w:color w:val="1f3a5f"/>
          <w:u w:color="1f3a5f"/>
          <w:rtl w:val="0"/>
          <w:lang w:val="en-US"/>
          <w14:textFill>
            <w14:solidFill>
              <w14:srgbClr w14:val="1F3A5F"/>
            </w14:solidFill>
          </w14:textFill>
        </w:rPr>
        <w:t xml:space="preserve">2. Clarity &amp; Accessibility — Recommended</w:t>
      </w:r>
    </w:p>
    <w:p>
      <w:pPr>
        <w:pStyle w:val="Heading"/>
        <w:pBdr>
          <w:top w:val="nil"/>
          <w:left w:val="nil"/>
          <w:bottom w:val="single" w:color="1f3a5f" w:sz="6" w:space="0" w:shadow="0" w:frame="0"/>
          <w:right w:val="nil"/>
        </w:pBdr>
        <w:spacing w:before="360" w:after="160"/>
      </w:pPr>
      <w:r>
        <w:rPr>
          <w:i w:val="1"/>
          <w:iCs w:val="1"/>
          <w:outline w:val="0"/>
          <w:color w:val="1a1a1a"/>
          <w:sz w:val="20"/>
          <w:szCs w:val="20"/>
          <w:u w:color="1a1a1a"/>
          <w:rtl w:val="0"/>
          <w:lang w:val="en-US"/>
          <w14:textFill>
            <w14:solidFill>
              <w14:srgbClr w14:val="1A1A1A"/>
            </w14:solidFill>
          </w14:textFill>
        </w:rPr>
        <w:t xml:space="preserve">These affect whether readers unfamiliar with the terms can follow the book — flagged separately from style per your note that legibility should win over preserving style.</w:t>
      </w:r>
    </w:p>
    <w:tbl>
      <w:tblPr>
        <w:tblW w:w="952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00"/>
        <w:gridCol w:w="5426"/>
        <w:gridCol w:w="2000"/>
        <w:gridCol w:w="1600"/>
      </w:tblGrid>
      <w:tr>
        <w:tblPrEx>
          <w:shd w:val="clear" w:color="auto" w:fill="4f81bd"/>
        </w:tblPrEx>
        <w:trPr>
          <w:trHeight w:val="197" w:hRule="atLeast"/>
          <w:tblHeader/>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14:textFill>
                  <w14:solidFill>
                    <w14:srgbClr w14:val="FFFFFF"/>
                  </w14:solidFill>
                </w14:textFill>
              </w:rPr>
              <w:t>#</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Item</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Reviewer</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nl-NL"/>
                <w14:textFill>
                  <w14:solidFill>
                    <w14:srgbClr w14:val="FFFFFF"/>
                  </w14:solidFill>
                </w14:textFill>
              </w:rPr>
              <w:t>Status</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The book is pitched at a broad range of readers but assumes they already know what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rPr>
              <w:t>Bayesian</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means. Consider a short explainer near the start.</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fr-FR"/>
              </w:rPr>
              <w:t>Fixed</w:t>
            </w:r>
          </w:p>
        </w:tc>
      </w:tr>
      <w:tr>
        <w:tblPrEx>
          <w:shd w:val="clear" w:color="auto" w:fill="ced7e7"/>
        </w:tblPrEx>
        <w:trPr>
          <w:trHeight w:val="595"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2</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rPr>
              <w:t>SEM</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is used as an acronym without explanation. Consider spelling it out, at least on first use.</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fr-FR"/>
              </w:rPr>
              <w:t>Fixed</w:t>
            </w:r>
          </w:p>
        </w:tc>
      </w:tr>
      <w:tr>
        <w:tblPrEx>
          <w:shd w:val="clear" w:color="auto" w:fill="ced7e7"/>
        </w:tblPrEx>
        <w:trPr>
          <w:trHeight w:val="435"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3</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rPr>
              <w:t>I/O</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is used as an acronym without explanation. Consider spelling it out in full.</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fr-FR"/>
              </w:rPr>
              <w:t>Fixed</w:t>
            </w:r>
          </w:p>
        </w:tc>
      </w:tr>
      <w:tr>
        <w:tblPrEx>
          <w:shd w:val="clear" w:color="auto" w:fill="ced7e7"/>
        </w:tblPrEx>
        <w:trPr>
          <w:trHeight w:val="226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4</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Readers who want to follow along with the code aren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t pointed to an R environment. Consider a brief signpost in the Welcome section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Sara found Posit Cloud, a free browser-based setup requiring no installation.</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give a short reference on downloading R and RStudio/Positron, plus a few resources. Done: new appendix, "Getting started with R" (appendices/A0-getting-started-with-r.qmd), listed first in _quarto.yml. Covers installing R from CRAN, RStudio Desktop vs Positron, installing packages, the C++ toolchain note for brms, and Posit Cloud for readers who’d rather not install anything. Includes a warning to check you’re on the real download site and to check your org’s software catalogue first — both straight from Dina’s experience. Resources section points at the Posit cheatsheets, R for Data Science, McNulty’s regression book, and ?help.</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1072"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5</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rPr>
              <w:t>tidyverse</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and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brms</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are both mentioned without much context for the uninitiated. Consider a short explanation of what each actually is.</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as above. Done: "The packages this book leans on" section in the new R appendix explains what the tidyverse is (a collection, not one package, with a table of the five you’ll actually see) and what brms is and does. Chapter 1’s setup callout now points there.</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2741"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6</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It</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s not clear upfront who the Foundations section is aimed at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readers new to statistics, new to R, or both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or whether readers should get hands-on with R now given it reappears in later chapters. Sara (experienced with stats, new to R) wasn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sure how much to engage with the code versus read past it.</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new to stats or R → run the code for practice; otherwise read. Key point: someone experienced with stats but new to Bayesian still needs Foundations to start the mental jump. Done: the Welcome now carries all three reader paths in “How to read this”, in your terms — run it if you’re new to stats or R; read past it if you know stats but don’t write R (noting those readers aren’t getting a lesser version of the book); and a paragraph headed “What nobody should skip is Part I” making your mental-jump argument explicitly. Also fixed a contradiction found while doing it: the Part I blurb told stats-experienced readers to “skim it if you’re not [new to statistics]” — the opposite of your instruction. It now says start here whatever you arrive with, read it faster but don’t skip it. The appendix section covering the same ground is cross-linked.</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1787"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7</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 xml:space="preserve">`na.rm = TRUE` (1.3.3) is introduced without explanation of what it does (excludes missing values)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confusing on first read for a non-R reader. Flagged independently by two reviewers. Dina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suggestion: spell out what it stands for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NA Remove</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rPr>
              <w:t xml:space="preserve">)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once readers know commands are usually word shorthand, they get better at guessing meaning even where it isn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explained every time.</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agreed, add a small note. Done: 1.3.3 now expands na.rm at first mention — "NA remove", NA being R’s marker for a missing value, so the argument reads as remove the missing values before calculating. Followed by a short callout making Dina’s more general point: most R names are squashed-up words (sd, cumsum, IQR, rbinom), reading them that way lets you guess new ones, and ?name gives the documentation when a guess fails.</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 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1310"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8</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1.1 Setup doesn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t cover installing RStudio. Add install instructions and a link to the official download site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Dina had to check with her analyst to confirm it wasn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a phishing site, and only then learned her org has an enterprise version available via the software center.</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see the RStudio note above. Done: 1.1 Setup opens with a "Before you start" callout pointing to the new R appendix for install instructions, and to the reader-paths section for those who’d rather read than type. The "package not found" tip now also explains what a package is and links to the install section.</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83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9</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1.2 doesn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t tell the reader to have RStudio installed and open before they start following along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add that instruction (ties to item 8).</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as above. Done: covered by the same "Before you start" callout, which sits at the end of 1.1 immediately before 1.2 and tells the reader to have R and an editor installed and open before going further.</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1787"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10</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rPr>
              <w:t>2.2.4</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rPr>
              <w:t xml:space="preserve">s note on set.seed(202) uses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seeded</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without explaining what seeding is. Suggestion: explain in plain language first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this code generates random numbers, and a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seed</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is just the starting number; its specific value doesn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matter, only that reusing it reproduces the same results on every run. As written, a reader is left wondering what 202 means.</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as point 7. Done: a callout before the 2.2.4 simulation, "What set.seed() is doing, and why 202" — explains that the code invents random numbers, that R’s randomness comes from a formula whose starting number is the seed, and that the specific value is arbitrary (202 and 7 work identically); only fixing it matters. Ends by inviting the reader to change the number and re-run.</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2741"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11</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 xml:space="preserve">The 2.4.2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Your Turn</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exercise (P(promoted | customer rating above median)) assumes the reader can use `mutate()` to bucket a numeric variable, which has only appeared once before and wasn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taught as a technique. Dina could follow AI-generated code but couldn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derive the median-split approach unaided. Suggestion: give `mutate()` more scaffolding, or a worked example, before this exercise.</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push to the R/RStudio appendix and point readers at Posit’s content, e.g. the cheatsheets. Done: the appendix’s "Where to learn R properly" section leads with the Posit cheatsheets and calls out the dplyr one specifically, naming mutate() as the verb the book uses without ever teaching. The 2.4.2 exercise is also reframed to lead with the thinking — it now asks how you would examine whether a higher customer rating changes the odds, explains why a numeric variable has no group to condition on until you make one and that where to cut is a business judgement, then offers the median split. A closing tip names mutate() and sends the reader to the cheatsheets. This also covers Style #11.</w:t>
            </w:r>
            <w:r>
              <w:rPr>
                <w:rFonts w:ascii="Times New Roman" w:hAnsi="Times New Roman" w:hint="default"/>
                <w:sz w:val="19"/>
                <w:szCs w:val="19"/>
                <w:u w:color="000000"/>
                <w:shd w:val="nil" w:color="auto" w:fill="auto"/>
                <w:rtl w:val="0"/>
                <w:lang w:val="fr-FR"/>
              </w:rPr>
              <w:t>’</w:t>
            </w:r>
            <w:r>
              <w:rPr>
                <w:rFonts w:ascii="Times New Roman" w:hAnsi="Times New Roman"/>
                <w:sz w:val="19"/>
                <w:szCs w:val="19"/>
                <w:u w:color="000000"/>
                <w:shd w:val="nil" w:color="auto" w:fill="auto"/>
                <w:rtl w:val="0"/>
                <w:lang w:val="fr-FR"/>
              </w:rPr>
              <w:t>D PREFER TO POINT READERS THERE (EG THE CHEATSHEETS)</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1310"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12</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Fonts w:ascii="Times New Roman" w:cs="Times New Roman" w:hAnsi="Times New Roman" w:eastAsia="Times New Roman"/>
                <w:sz w:val="19"/>
                <w:szCs w:val="19"/>
                <w:u w:color="000000"/>
                <w:shd w:val="nil" w:color="auto" w:fill="auto"/>
                <w:rtl w:val="0"/>
              </w:rPr>
            </w:pPr>
            <w:r>
              <w:rPr>
                <w:rFonts w:ascii="Times New Roman" w:hAnsi="Times New Roman"/>
                <w:sz w:val="19"/>
                <w:szCs w:val="19"/>
                <w:u w:color="000000"/>
                <w:shd w:val="nil" w:color="auto" w:fill="auto"/>
                <w:rtl w:val="0"/>
                <w:lang w:val="en-US"/>
              </w:rPr>
              <w:t>The simulation code in 2.5.1 (`rbinom()`, the `cat()` shortfall calculation) isn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walked through, and Dina found it hard to work out what it was doing. Suggestion: add a plain-language explanation of what each function/line does, at least on first appearance.</w:t>
            </w:r>
          </w:p>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fr-FR"/>
              </w:rPr>
              <w:t xml:space="preserve">Your call: as point 7. Done: the 2.5.1 bench simulation now carries code annotations in the book’s existing style. rbinom() is explained as "random draws from a binomial" running one bench through one cycle, with each argument named; the cat() line is unpacked as the answer — the comparison produces 10,000 TRUE/FALSE values, mean() of them is the proportion of years you came up short, the same 0/1-mean trick from Chapter 1 doing real work.</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bl>
    <w:p>
      <w:pPr>
        <w:pStyle w:val="Heading"/>
        <w:widowControl w:val="0"/>
        <w:spacing w:before="360" w:after="160"/>
      </w:pPr>
    </w:p>
    <w:p>
      <w:pPr>
        <w:pStyle w:val="Heading"/>
        <w:pBdr>
          <w:top w:val="nil"/>
          <w:left w:val="nil"/>
          <w:bottom w:val="single" w:color="1f3a5f" w:sz="6" w:space="0" w:shadow="0" w:frame="0"/>
          <w:right w:val="nil"/>
        </w:pBdr>
        <w:spacing w:before="360" w:after="160"/>
      </w:pPr>
      <w:r>
        <w:rPr>
          <w:b w:val="1"/>
          <w:bCs w:val="1"/>
          <w:outline w:val="0"/>
          <w:color w:val="1f3a5f"/>
          <w:u w:color="1f3a5f"/>
          <w:rtl w:val="0"/>
          <w:lang w:val="en-US"/>
          <w14:textFill>
            <w14:solidFill>
              <w14:srgbClr w14:val="1F3A5F"/>
            </w14:solidFill>
          </w14:textFill>
        </w:rPr>
        <w:t xml:space="preserve">3. Style &amp; Structure — Hold for Review</w:t>
      </w:r>
    </w:p>
    <w:p>
      <w:pPr>
        <w:pStyle w:val="Heading"/>
        <w:pBdr>
          <w:top w:val="nil"/>
          <w:left w:val="nil"/>
          <w:bottom w:val="single" w:color="1f3a5f" w:sz="6" w:space="0" w:shadow="0" w:frame="0"/>
          <w:right w:val="nil"/>
        </w:pBdr>
        <w:spacing w:before="360" w:after="160"/>
      </w:pPr>
      <w:r>
        <w:rPr>
          <w:i w:val="1"/>
          <w:iCs w:val="1"/>
          <w:outline w:val="0"/>
          <w:color w:val="1a1a1a"/>
          <w:sz w:val="20"/>
          <w:szCs w:val="20"/>
          <w:u w:color="1a1a1a"/>
          <w:rtl w:val="0"/>
          <w:lang w:val="en-US"/>
          <w14:textFill>
            <w14:solidFill>
              <w14:srgbClr w14:val="1A1A1A"/>
            </w14:solidFill>
          </w14:textFill>
        </w:rPr>
        <w:t xml:space="preserve">Editorial and voice calls — worth weighing against your own intentions for the book rather than acting on immediately.</w:t>
      </w:r>
    </w:p>
    <w:tbl>
      <w:tblPr>
        <w:tblW w:w="952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00"/>
        <w:gridCol w:w="5426"/>
        <w:gridCol w:w="2000"/>
        <w:gridCol w:w="1600"/>
      </w:tblGrid>
      <w:tr>
        <w:tblPrEx>
          <w:shd w:val="clear" w:color="auto" w:fill="4f81bd"/>
        </w:tblPrEx>
        <w:trPr>
          <w:trHeight w:val="197" w:hRule="atLeast"/>
          <w:tblHeader/>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14:textFill>
                  <w14:solidFill>
                    <w14:srgbClr w14:val="FFFFFF"/>
                  </w14:solidFill>
                </w14:textFill>
              </w:rPr>
              <w:t>#</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Item</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en-US"/>
                <w14:textFill>
                  <w14:solidFill>
                    <w14:srgbClr w14:val="FFFFFF"/>
                  </w14:solidFill>
                </w14:textFill>
              </w:rPr>
              <w:t>Reviewer</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1f3a5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outline w:val="0"/>
                <w:color w:val="ffffff"/>
                <w:sz w:val="19"/>
                <w:szCs w:val="19"/>
                <w:u w:color="ffffff"/>
                <w:shd w:val="nil" w:color="auto" w:fill="auto"/>
                <w:rtl w:val="0"/>
                <w:lang w:val="nl-NL"/>
                <w14:textFill>
                  <w14:solidFill>
                    <w14:srgbClr w14:val="FFFFFF"/>
                  </w14:solidFill>
                </w14:textFill>
              </w:rPr>
              <w:t>Status</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The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Why I wrote it</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and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Who this book is for</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sections feel lengthy to Sara; she thinks they could be condensed without losing anything important.</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2</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In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How the book is organised</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consider noting each Part</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s relative size/scope (e.g.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the heart of the book, in three chapters</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so readers can calibrate expectations before starting.</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435"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3</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Part 5 reads as structurally uneven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some chapters carry more supplementary detail than others. Worth reconsidering the structure.</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627"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4</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Median vs mean: the case for the median is statistically sound, but many stakeholders won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know what a median is and may not be receptive to it. Consider acknowledging that the median is often more useful to the analyst than to the audience. Sara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own practice: publish the mean, address outliers explicitly in the narrative (recalculate without them, or show the percentage achieving a target).</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435"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5</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The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why the difference matters</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example would land better if the mean value were actually stated.</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912"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6</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The promotion statistic</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binary 0/1 framing feels abstract without a timeframe attached (e.g. does a 1 capture a promotion from 18 years ago for someone who joined 20 years ago?). Sara notes promotion data isn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usually handled this way in practice.</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7</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Performance ratings are often subjective in real-world settings unless based on specific, consistently applied, measurable criteria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worth acknowledging that limitation.</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150"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8</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Pushback on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a request for historical data is usually a question about the future</w:t>
            </w:r>
            <w:r>
              <w:rPr>
                <w:rFonts w:ascii="Times New Roman" w:hAnsi="Times New Roman" w:hint="default"/>
                <w:sz w:val="19"/>
                <w:szCs w:val="19"/>
                <w:u w:color="000000"/>
                <w:shd w:val="nil" w:color="auto" w:fill="auto"/>
                <w:rtl w:val="0"/>
                <w:lang w:val="en-US"/>
              </w:rPr>
              <w:t xml:space="preserve">” — </w:t>
            </w:r>
            <w:r>
              <w:rPr>
                <w:rFonts w:ascii="Times New Roman" w:hAnsi="Times New Roman"/>
                <w:sz w:val="19"/>
                <w:szCs w:val="19"/>
                <w:u w:color="000000"/>
                <w:shd w:val="nil" w:color="auto" w:fill="auto"/>
                <w:rtl w:val="0"/>
              </w:rPr>
              <w:t>in Sara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experience the motivation is more often establishing a baseline (where things stand, to decide whether to act, celebrate, or leave alone), which isn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quite the same as future-orientation.</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da-DK"/>
              </w:rPr>
              <w:t>Sara Ridley</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f5f7f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674"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9</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Your Turn</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exercises have no answer key. Dina suggests adding one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e.g. at the end of the book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so readers can check their own understanding.</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627"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10</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rPr>
              <w:t>2.4.1</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s promotion-by-performance table could use a reflective prompt straight after it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rPr>
              <w:t xml:space="preserve">e.g.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what story is your mind already forming after seeing this table?</w:t>
            </w:r>
            <w:r>
              <w:rPr>
                <w:rFonts w:ascii="Times New Roman" w:hAnsi="Times New Roman" w:hint="default"/>
                <w:sz w:val="19"/>
                <w:szCs w:val="19"/>
                <w:u w:color="000000"/>
                <w:shd w:val="nil" w:color="auto" w:fill="auto"/>
                <w:rtl w:val="0"/>
                <w:lang w:val="en-US"/>
              </w:rPr>
              <w:t xml:space="preserve">” — </w:t>
            </w:r>
            <w:r>
              <w:rPr>
                <w:rFonts w:ascii="Times New Roman" w:hAnsi="Times New Roman"/>
                <w:sz w:val="19"/>
                <w:szCs w:val="19"/>
                <w:u w:color="000000"/>
                <w:shd w:val="nil" w:color="auto" w:fill="auto"/>
                <w:rtl w:val="0"/>
                <w:lang w:val="en-US"/>
              </w:rPr>
              <w:t>to build the habit of catching an unstated causal story before the book makes the point explicitly. Dina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own reaction to the table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as performance goes up, people are more likely to be promoted</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but I don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t actually know that</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is a good illustration of exactly the instinct worth naming.</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866"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11</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rPr>
              <w:t>2.4.2</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rPr>
              <w:t xml:space="preserve">s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Your Turn</w:t>
            </w:r>
            <w:r>
              <w:rPr>
                <w:rFonts w:ascii="Times New Roman" w:hAnsi="Times New Roman" w:hint="default"/>
                <w:sz w:val="19"/>
                <w:szCs w:val="19"/>
                <w:u w:color="000000"/>
                <w:shd w:val="nil" w:color="auto" w:fill="auto"/>
                <w:rtl w:val="0"/>
              </w:rPr>
              <w:t xml:space="preserve">” </w:t>
            </w:r>
            <w:r>
              <w:rPr>
                <w:rFonts w:ascii="Times New Roman" w:hAnsi="Times New Roman"/>
                <w:sz w:val="19"/>
                <w:szCs w:val="19"/>
                <w:u w:color="000000"/>
                <w:shd w:val="nil" w:color="auto" w:fill="auto"/>
                <w:rtl w:val="0"/>
                <w:lang w:val="en-US"/>
              </w:rPr>
              <w:t xml:space="preserve">raises a goal question worth settling: is it teaching readers to write the R code, or to apply the conditional-probability concept to a numeric variable? For a reader like Dina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focused on the concept, not on writing R herself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the code-first framing was a jump in difficulty. Her suggested alternative wording: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Apply this to customer rating. How would you examine whether a higher customer rating changes the promotion odds?</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with more unpacking of how to think about numeric variables in categories. Actioned: the exercise is reframed to lead with the concept — it now asks how you would examine whether a higher customer rating changes the promotion odds, explains why a numeric variable has no group to condition on until you make one, and notes that where to cut is a business judgement rather than a statistical rule. The median split follows as one answer, not the answer. See Clarity #11.</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 xml:space="preserve">Fixed</w:t>
            </w:r>
          </w:p>
        </w:tc>
      </w:tr>
      <w:tr>
        <w:tblPrEx>
          <w:shd w:val="clear" w:color="auto" w:fill="ced7e7"/>
        </w:tblPrEx>
        <w:trPr>
          <w:trHeight w:val="2581"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12</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 xml:space="preserve">In a few places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 xml:space="preserve">most notably 2.5.1, the succession-pipeline bench-size problem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the R code appears right after the question is posed, handing readers the answer before they</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ve worked through their own approach. Two suggestions from Dina: (1) after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How big should the bench be?</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xml:space="preserve">, add a pause prompting readers to think about their own approach before the simulation solution is introduced; (2) before showing any code, prompt readers to think through their approach in plain language first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if they know their approach, they can get an AI tool or colleague to help write the R. Dina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s own worked-through reasoning on 2.5.1 (see raw log below) is a good example of the thinking this would protect.</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r>
        <w:tblPrEx>
          <w:shd w:val="clear" w:color="auto" w:fill="ced7e7"/>
        </w:tblPrEx>
        <w:trPr>
          <w:trHeight w:val="1389" w:hRule="atLeast"/>
        </w:trPr>
        <w:tc>
          <w:tcPr>
            <w:tcW w:type="dxa" w:w="5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9"/>
                <w:szCs w:val="19"/>
                <w:u w:color="000000"/>
                <w:shd w:val="nil" w:color="auto" w:fill="auto"/>
                <w:rtl w:val="0"/>
              </w:rPr>
              <w:t>13</w:t>
            </w:r>
          </w:p>
        </w:tc>
        <w:tc>
          <w:tcPr>
            <w:tcW w:type="dxa" w:w="5426"/>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9"/>
                <w:szCs w:val="19"/>
                <w:u w:color="000000"/>
                <w:shd w:val="nil" w:color="auto" w:fill="auto"/>
                <w:rtl w:val="0"/>
                <w:lang w:val="en-US"/>
              </w:rPr>
              <w:t>2.5.1 stops once a bench size is chosen, but Dina</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s real use case is translating that number into a recommendation leadership will accept </w:t>
            </w:r>
            <w:r>
              <w:rPr>
                <w:rFonts w:ascii="Times New Roman" w:hAnsi="Times New Roman" w:hint="default"/>
                <w:sz w:val="19"/>
                <w:szCs w:val="19"/>
                <w:u w:color="000000"/>
                <w:shd w:val="nil" w:color="auto" w:fill="auto"/>
                <w:rtl w:val="0"/>
                <w:lang w:val="en-US"/>
              </w:rPr>
              <w:t xml:space="preserve">— </w:t>
            </w:r>
            <w:r>
              <w:rPr>
                <w:rFonts w:ascii="Times New Roman" w:hAnsi="Times New Roman"/>
                <w:sz w:val="19"/>
                <w:szCs w:val="19"/>
                <w:u w:color="000000"/>
                <w:shd w:val="nil" w:color="auto" w:fill="auto"/>
                <w:rtl w:val="0"/>
                <w:lang w:val="en-US"/>
              </w:rPr>
              <w:t>especially when it isn</w:t>
            </w:r>
            <w:r>
              <w:rPr>
                <w:rFonts w:ascii="Times New Roman" w:hAnsi="Times New Roman" w:hint="default"/>
                <w:sz w:val="19"/>
                <w:szCs w:val="19"/>
                <w:u w:color="000000"/>
                <w:shd w:val="nil" w:color="auto" w:fill="auto"/>
                <w:rtl w:val="1"/>
              </w:rPr>
              <w:t>’</w:t>
            </w:r>
            <w:r>
              <w:rPr>
                <w:rFonts w:ascii="Times New Roman" w:hAnsi="Times New Roman"/>
                <w:sz w:val="19"/>
                <w:szCs w:val="19"/>
                <w:u w:color="000000"/>
                <w:shd w:val="nil" w:color="auto" w:fill="auto"/>
                <w:rtl w:val="0"/>
                <w:lang w:val="en-US"/>
              </w:rPr>
              <w:t xml:space="preserve">t the intuitive answer (naively: </w:t>
            </w:r>
            <w:r>
              <w:rPr>
                <w:rFonts w:ascii="Times New Roman" w:hAnsi="Times New Roman" w:hint="default"/>
                <w:sz w:val="19"/>
                <w:szCs w:val="19"/>
                <w:u w:color="000000"/>
                <w:shd w:val="nil" w:color="auto" w:fill="auto"/>
                <w:rtl w:val="1"/>
                <w:lang w:val="ar-SA" w:bidi="ar-SA"/>
              </w:rPr>
              <w:t>“</w:t>
            </w:r>
            <w:r>
              <w:rPr>
                <w:rFonts w:ascii="Times New Roman" w:hAnsi="Times New Roman"/>
                <w:sz w:val="19"/>
                <w:szCs w:val="19"/>
                <w:u w:color="000000"/>
                <w:shd w:val="nil" w:color="auto" w:fill="auto"/>
                <w:rtl w:val="0"/>
                <w:lang w:val="en-US"/>
              </w:rPr>
              <w:t>need 10, p=0.3, so ~30 should do it</w:t>
            </w:r>
            <w:r>
              <w:rPr>
                <w:rFonts w:ascii="Times New Roman" w:hAnsi="Times New Roman" w:hint="default"/>
                <w:sz w:val="19"/>
                <w:szCs w:val="19"/>
                <w:u w:color="000000"/>
                <w:shd w:val="nil" w:color="auto" w:fill="auto"/>
                <w:rtl w:val="0"/>
              </w:rPr>
              <w:t>”</w:t>
            </w:r>
            <w:r>
              <w:rPr>
                <w:rFonts w:ascii="Times New Roman" w:hAnsi="Times New Roman"/>
                <w:sz w:val="19"/>
                <w:szCs w:val="19"/>
                <w:u w:color="000000"/>
                <w:shd w:val="nil" w:color="auto" w:fill="auto"/>
                <w:rtl w:val="0"/>
                <w:lang w:val="en-US"/>
              </w:rPr>
              <w:t>). Suggestion: add sample leadership-ready language for a result like this, or point to a later chapter/section that covers it.</w:t>
            </w:r>
          </w:p>
        </w:tc>
        <w:tc>
          <w:tcPr>
            <w:tcW w:type="dxa" w:w="20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rPr>
              <w:t>Dina Zhang</w:t>
            </w:r>
          </w:p>
        </w:tc>
        <w:tc>
          <w:tcPr>
            <w:tcW w:type="dxa" w:w="1600"/>
            <w:tcBorders>
              <w:top w:val="single" w:color="bfbfbf" w:sz="2" w:space="0" w:shadow="0" w:frame="0"/>
              <w:left w:val="single" w:color="bfbfbf" w:sz="2" w:space="0" w:shadow="0" w:frame="0"/>
              <w:bottom w:val="single" w:color="bfbfbf" w:sz="2" w:space="0" w:shadow="0" w:frame="0"/>
              <w:right w:val="single" w:color="bfbfbf" w:sz="2"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9"/>
                <w:szCs w:val="19"/>
                <w:u w:color="000000"/>
                <w:shd w:val="nil" w:color="auto" w:fill="auto"/>
                <w:rtl w:val="0"/>
                <w:lang w:val="nl-NL"/>
              </w:rPr>
              <w:t>Open</w:t>
            </w:r>
          </w:p>
        </w:tc>
      </w:tr>
    </w:tbl>
    <w:p>
      <w:pPr>
        <w:pStyle w:val="Heading"/>
        <w:widowControl w:val="0"/>
        <w:spacing w:before="360" w:after="160"/>
      </w:pPr>
    </w:p>
    <w:p>
      <w:pPr>
        <w:pStyle w:val="Heading"/>
        <w:pBdr>
          <w:top w:val="nil"/>
          <w:left w:val="nil"/>
          <w:bottom w:val="single" w:color="1f3a5f" w:sz="6" w:space="0" w:shadow="0" w:frame="0"/>
          <w:right w:val="nil"/>
        </w:pBdr>
        <w:spacing w:before="360" w:after="160"/>
      </w:pPr>
      <w:r>
        <w:rPr>
          <w:b w:val="1"/>
          <w:bCs w:val="1"/>
          <w:outline w:val="0"/>
          <w:color w:val="1f3a5f"/>
          <w:u w:color="1f3a5f"/>
          <w:rtl w:val="0"/>
          <w:lang w:val="en-US"/>
          <w14:textFill>
            <w14:solidFill>
              <w14:srgbClr w14:val="1F3A5F"/>
            </w14:solidFill>
          </w14:textFill>
        </w:rPr>
        <w:t>What</w:t>
      </w:r>
      <w:r>
        <w:rPr>
          <w:b w:val="1"/>
          <w:bCs w:val="1"/>
          <w:outline w:val="0"/>
          <w:color w:val="1f3a5f"/>
          <w:u w:color="1f3a5f"/>
          <w:rtl w:val="1"/>
          <w14:textFill>
            <w14:solidFill>
              <w14:srgbClr w14:val="1F3A5F"/>
            </w14:solidFill>
          </w14:textFill>
        </w:rPr>
        <w:t>’</w:t>
      </w:r>
      <w:r>
        <w:rPr>
          <w:b w:val="1"/>
          <w:bCs w:val="1"/>
          <w:outline w:val="0"/>
          <w:color w:val="1f3a5f"/>
          <w:u w:color="1f3a5f"/>
          <w:rtl w:val="0"/>
          <w:lang w:val="en-US"/>
          <w14:textFill>
            <w14:solidFill>
              <w14:srgbClr w14:val="1F3A5F"/>
            </w14:solidFill>
          </w14:textFill>
        </w:rPr>
        <w:t>s Working</w:t>
      </w:r>
    </w:p>
    <w:p>
      <w:pPr>
        <w:pStyle w:val="Heading"/>
        <w:pBdr>
          <w:top w:val="nil"/>
          <w:left w:val="nil"/>
          <w:bottom w:val="single" w:color="1f3a5f" w:sz="6" w:space="0" w:shadow="0" w:frame="0"/>
          <w:right w:val="nil"/>
        </w:pBdr>
        <w:spacing w:before="360" w:after="160"/>
      </w:pPr>
      <w:r>
        <w:rPr>
          <w:outline w:val="0"/>
          <w:color w:val="1a1a1a"/>
          <w:sz w:val="20"/>
          <w:szCs w:val="20"/>
          <w:u w:color="1a1a1a"/>
          <w:rtl w:val="0"/>
          <w:lang w:val="en-US"/>
          <w14:textFill>
            <w14:solidFill>
              <w14:srgbClr w14:val="1A1A1A"/>
            </w14:solidFill>
          </w14:textFill>
        </w:rPr>
        <w:t>Context to keep, not action items.</w:t>
      </w:r>
    </w:p>
    <w:p>
      <w:pPr>
        <w:pStyle w:val="List Paragraph"/>
        <w:numPr>
          <w:ilvl w:val="0"/>
          <w:numId w:val="2"/>
        </w:numPr>
        <w:spacing w:after="80"/>
        <w:rPr>
          <w:lang w:val="en-US"/>
        </w:rPr>
      </w:pPr>
      <w:r>
        <w:rPr>
          <w:outline w:val="0"/>
          <w:color w:val="1a1a1a"/>
          <w:u w:color="1a1a1a"/>
          <w:rtl w:val="0"/>
          <w:lang w:val="en-US"/>
          <w14:textFill>
            <w14:solidFill>
              <w14:srgbClr w14:val="1A1A1A"/>
            </w14:solidFill>
          </w14:textFill>
        </w:rPr>
        <w:t xml:space="preserve">The airplane example as an opening hook — compelling, and makes the book</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subject clear immediately.</w:t>
      </w:r>
      <w:r>
        <w:rPr>
          <w:i w:val="1"/>
          <w:iCs w:val="1"/>
          <w:outline w:val="0"/>
          <w:color w:val="555555"/>
          <w:u w:color="555555"/>
          <w:rtl w:val="0"/>
          <w:lang w:val="en-US"/>
          <w14:textFill>
            <w14:solidFill>
              <w14:srgbClr w14:val="555555"/>
            </w14:solidFill>
          </w14:textFill>
        </w:rPr>
        <w:t xml:space="preserve">  (Sara Ridley)</w:t>
      </w:r>
    </w:p>
    <w:p>
      <w:pPr>
        <w:pStyle w:val="List Paragraph"/>
        <w:numPr>
          <w:ilvl w:val="0"/>
          <w:numId w:val="2"/>
        </w:numPr>
        <w:spacing w:after="80"/>
        <w:rPr>
          <w:lang w:val="en-US"/>
        </w:rPr>
      </w:pPr>
      <w:r>
        <w:rPr>
          <w:outline w:val="0"/>
          <w:color w:val="1a1a1a"/>
          <w:u w:color="1a1a1a"/>
          <w:rtl w:val="0"/>
          <w:lang w:val="en-US"/>
          <w14:textFill>
            <w14:solidFill>
              <w14:srgbClr w14:val="1A1A1A"/>
            </w14:solidFill>
          </w14:textFill>
        </w:rPr>
        <w:t xml:space="preserve">The logical organisation of the book — smooths the reader</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journey before they make it.</w:t>
      </w:r>
      <w:r>
        <w:rPr>
          <w:i w:val="1"/>
          <w:iCs w:val="1"/>
          <w:outline w:val="0"/>
          <w:color w:val="555555"/>
          <w:u w:color="555555"/>
          <w:rtl w:val="0"/>
          <w:lang w:val="en-US"/>
          <w14:textFill>
            <w14:solidFill>
              <w14:srgbClr w14:val="555555"/>
            </w14:solidFill>
          </w14:textFill>
        </w:rPr>
        <w:t xml:space="preserve">  (Sara Ridley)</w:t>
      </w:r>
    </w:p>
    <w:p>
      <w:pPr>
        <w:pStyle w:val="List Paragraph"/>
        <w:numPr>
          <w:ilvl w:val="0"/>
          <w:numId w:val="2"/>
        </w:numPr>
        <w:spacing w:after="80"/>
        <w:rPr>
          <w:lang w:val="en-US"/>
        </w:rPr>
      </w:pPr>
      <w:r>
        <w:rPr>
          <w:outline w:val="0"/>
          <w:color w:val="1a1a1a"/>
          <w:u w:color="1a1a1a"/>
          <w:rtl w:val="0"/>
          <w:lang w:val="en-US"/>
          <w14:textFill>
            <w14:solidFill>
              <w14:srgbClr w14:val="1A1A1A"/>
            </w14:solidFill>
          </w14:textFill>
        </w:rPr>
        <w:t xml:space="preserve">The </w:t>
      </w: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why people analytics</w:t>
      </w:r>
      <w:r>
        <w:rPr>
          <w:outline w:val="0"/>
          <w:color w:val="1a1a1a"/>
          <w:u w:color="1a1a1a"/>
          <w:rtl w:val="0"/>
          <w14:textFill>
            <w14:solidFill>
              <w14:srgbClr w14:val="1A1A1A"/>
            </w14:solidFill>
          </w14:textFill>
        </w:rPr>
        <w:t xml:space="preserve">” </w:t>
      </w:r>
      <w:r>
        <w:rPr>
          <w:outline w:val="0"/>
          <w:color w:val="1a1a1a"/>
          <w:u w:color="1a1a1a"/>
          <w:rtl w:val="0"/>
          <w:lang w:val="fr-FR"/>
          <w14:textFill>
            <w14:solidFill>
              <w14:srgbClr w14:val="1A1A1A"/>
            </w14:solidFill>
          </w14:textFill>
        </w:rPr>
        <w:t xml:space="preserve">section </w:t>
      </w:r>
      <w:r>
        <w:rPr>
          <w:outline w:val="0"/>
          <w:color w:val="1a1a1a"/>
          <w:u w:color="1a1a1a"/>
          <w:rtl w:val="0"/>
          <w:lang w:val="en-US"/>
          <w14:textFill>
            <w14:solidFill>
              <w14:srgbClr w14:val="1A1A1A"/>
            </w14:solidFill>
          </w14:textFill>
        </w:rPr>
        <w:t xml:space="preserve">— resonated personally and built excitement to keep reading.</w:t>
      </w:r>
      <w:r>
        <w:rPr>
          <w:i w:val="1"/>
          <w:iCs w:val="1"/>
          <w:outline w:val="0"/>
          <w:color w:val="555555"/>
          <w:u w:color="555555"/>
          <w:rtl w:val="0"/>
          <w:lang w:val="en-US"/>
          <w14:textFill>
            <w14:solidFill>
              <w14:srgbClr w14:val="555555"/>
            </w14:solidFill>
          </w14:textFill>
        </w:rPr>
        <w:t xml:space="preserve">  (Sara Ridley)</w:t>
      </w:r>
    </w:p>
    <w:p>
      <w:pPr>
        <w:pStyle w:val="List Paragraph"/>
        <w:numPr>
          <w:ilvl w:val="0"/>
          <w:numId w:val="2"/>
        </w:numPr>
        <w:spacing w:after="80"/>
        <w:rPr>
          <w:lang w:val="ar-SA" w:bidi="ar-SA"/>
        </w:rPr>
      </w:pP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 xml:space="preserve">People Are Not Good at This” — very relatable, well explained, ties in well with the book</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broader message.</w:t>
      </w:r>
      <w:r>
        <w:rPr>
          <w:i w:val="1"/>
          <w:iCs w:val="1"/>
          <w:outline w:val="0"/>
          <w:color w:val="555555"/>
          <w:u w:color="555555"/>
          <w:rtl w:val="0"/>
          <w:lang w:val="en-US"/>
          <w14:textFill>
            <w14:solidFill>
              <w14:srgbClr w14:val="555555"/>
            </w14:solidFill>
          </w14:textFill>
        </w:rPr>
        <w:t xml:space="preserve">  (Sara Ridley)</w:t>
      </w:r>
    </w:p>
    <w:p>
      <w:pPr>
        <w:pStyle w:val="List Paragraph"/>
        <w:numPr>
          <w:ilvl w:val="0"/>
          <w:numId w:val="2"/>
        </w:numPr>
        <w:spacing w:after="80"/>
        <w:rPr>
          <w:lang w:val="ar-SA" w:bidi="ar-SA"/>
        </w:rPr>
      </w:pP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Thinking in Chances</w:t>
      </w:r>
      <w:r>
        <w:rPr>
          <w:outline w:val="0"/>
          <w:color w:val="1a1a1a"/>
          <w:u w:color="1a1a1a"/>
          <w:rtl w:val="0"/>
          <w14:textFill>
            <w14:solidFill>
              <w14:srgbClr w14:val="1A1A1A"/>
            </w14:solidFill>
          </w14:textFill>
        </w:rPr>
        <w:t xml:space="preserve">” </w:t>
      </w:r>
      <w:r>
        <w:rPr>
          <w:outline w:val="0"/>
          <w:color w:val="1a1a1a"/>
          <w:u w:color="1a1a1a"/>
          <w:rtl w:val="0"/>
          <w:lang w:val="en-US"/>
          <w14:textFill>
            <w14:solidFill>
              <w14:srgbClr w14:val="1A1A1A"/>
            </w14:solidFill>
          </w14:textFill>
        </w:rPr>
        <w:t xml:space="preserve">and </w:t>
      </w: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Distributions, Sampling and the Idea of a Model</w:t>
      </w:r>
      <w:r>
        <w:rPr>
          <w:outline w:val="0"/>
          <w:color w:val="1a1a1a"/>
          <w:u w:color="1a1a1a"/>
          <w:rtl w:val="0"/>
          <w14:textFill>
            <w14:solidFill>
              <w14:srgbClr w14:val="1A1A1A"/>
            </w14:solidFill>
          </w14:textFill>
        </w:rPr>
        <w:t xml:space="preserve">” </w:t>
      </w:r>
      <w:r>
        <w:rPr>
          <w:outline w:val="0"/>
          <w:color w:val="1a1a1a"/>
          <w:u w:color="1a1a1a"/>
          <w:rtl w:val="0"/>
          <w:lang w:val="fr-FR"/>
          <w14:textFill>
            <w14:solidFill>
              <w14:srgbClr w14:val="1A1A1A"/>
            </w14:solidFill>
          </w14:textFill>
        </w:rPr>
        <w:t xml:space="preserve">sections </w:t>
      </w:r>
      <w:r>
        <w:rPr>
          <w:outline w:val="0"/>
          <w:color w:val="1a1a1a"/>
          <w:u w:color="1a1a1a"/>
          <w:rtl w:val="0"/>
          <w:lang w:val="en-US"/>
          <w14:textFill>
            <w14:solidFill>
              <w14:srgbClr w14:val="1A1A1A"/>
            </w14:solidFill>
          </w14:textFill>
        </w:rPr>
        <w:t xml:space="preserve">— both excellent, no suggestions at this stage.</w:t>
      </w:r>
      <w:r>
        <w:rPr>
          <w:i w:val="1"/>
          <w:iCs w:val="1"/>
          <w:outline w:val="0"/>
          <w:color w:val="555555"/>
          <w:u w:color="555555"/>
          <w:rtl w:val="0"/>
          <w:lang w:val="en-US"/>
          <w14:textFill>
            <w14:solidFill>
              <w14:srgbClr w14:val="555555"/>
            </w14:solidFill>
          </w14:textFill>
        </w:rPr>
        <w:t xml:space="preserve">  (Sara Ridley)</w:t>
      </w:r>
    </w:p>
    <w:p>
      <w:pPr>
        <w:pStyle w:val="List Paragraph"/>
        <w:numPr>
          <w:ilvl w:val="0"/>
          <w:numId w:val="2"/>
        </w:numPr>
        <w:spacing w:after="80"/>
      </w:pPr>
      <w:r>
        <w:rPr>
          <w:outline w:val="0"/>
          <w:color w:val="1a1a1a"/>
          <w:u w:color="1a1a1a"/>
          <w:rtl w:val="0"/>
          <w14:textFill>
            <w14:solidFill>
              <w14:srgbClr w14:val="1A1A1A"/>
            </w14:solidFill>
          </w14:textFill>
        </w:rPr>
        <w:t>1.5.1 (</w:t>
      </w: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Meet the engagement survey</w:t>
      </w:r>
      <w:r>
        <w:rPr>
          <w:outline w:val="0"/>
          <w:color w:val="1a1a1a"/>
          <w:u w:color="1a1a1a"/>
          <w:rtl w:val="0"/>
          <w14:textFill>
            <w14:solidFill>
              <w14:srgbClr w14:val="1A1A1A"/>
            </w14:solidFill>
          </w14:textFill>
        </w:rPr>
        <w:t xml:space="preserve">”) </w:t>
      </w:r>
      <w:r>
        <w:rPr>
          <w:outline w:val="0"/>
          <w:color w:val="1a1a1a"/>
          <w:u w:color="1a1a1a"/>
          <w:rtl w:val="0"/>
          <w:lang w:val="en-US"/>
          <w14:textFill>
            <w14:solidFill>
              <w14:srgbClr w14:val="1A1A1A"/>
            </w14:solidFill>
          </w14:textFill>
        </w:rPr>
        <w:t xml:space="preserve">— the note that skewed-positive results are the normal shape of an engagement survey gives Dina language she</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 xml:space="preserve">s wanted for years: being able to say </w:t>
      </w: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that</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s the norm</w:t>
      </w:r>
      <w:r>
        <w:rPr>
          <w:outline w:val="0"/>
          <w:color w:val="1a1a1a"/>
          <w:u w:color="1a1a1a"/>
          <w:rtl w:val="0"/>
          <w14:textFill>
            <w14:solidFill>
              <w14:srgbClr w14:val="1A1A1A"/>
            </w14:solidFill>
          </w14:textFill>
        </w:rPr>
        <w:t xml:space="preserve">” </w:t>
      </w:r>
      <w:r>
        <w:rPr>
          <w:outline w:val="0"/>
          <w:color w:val="1a1a1a"/>
          <w:u w:color="1a1a1a"/>
          <w:rtl w:val="0"/>
          <w:lang w:val="en-US"/>
          <w14:textFill>
            <w14:solidFill>
              <w14:srgbClr w14:val="1A1A1A"/>
            </w14:solidFill>
          </w14:textFill>
        </w:rPr>
        <w:t>when leaders ask what good looks like, and helping HR practitioners notice when a shape is genuinely unusual.</w:t>
      </w:r>
      <w:r>
        <w:rPr>
          <w:i w:val="1"/>
          <w:iCs w:val="1"/>
          <w:outline w:val="0"/>
          <w:color w:val="555555"/>
          <w:u w:color="555555"/>
          <w:rtl w:val="0"/>
          <w14:textFill>
            <w14:solidFill>
              <w14:srgbClr w14:val="555555"/>
            </w14:solidFill>
          </w14:textFill>
        </w:rPr>
        <w:t xml:space="preserve">  (Dina Zhang)</w:t>
      </w:r>
    </w:p>
    <w:p>
      <w:pPr>
        <w:pStyle w:val="List Paragraph"/>
        <w:numPr>
          <w:ilvl w:val="0"/>
          <w:numId w:val="2"/>
        </w:numPr>
        <w:spacing w:after="80"/>
        <w:rPr>
          <w:lang w:val="ar-SA" w:bidi="ar-SA"/>
        </w:rPr>
      </w:pPr>
      <w:r>
        <w:rPr>
          <w:outline w:val="0"/>
          <w:color w:val="1a1a1a"/>
          <w:u w:color="1a1a1a"/>
          <w:rtl w:val="1"/>
          <w:lang w:val="ar-SA" w:bidi="ar-SA"/>
          <w14:textFill>
            <w14:solidFill>
              <w14:srgbClr w14:val="1A1A1A"/>
            </w14:solidFill>
          </w14:textFill>
        </w:rPr>
        <w:t>“</w:t>
      </w:r>
      <w:r>
        <w:rPr>
          <w:outline w:val="0"/>
          <w:color w:val="1a1a1a"/>
          <w:u w:color="1a1a1a"/>
          <w:rtl w:val="0"/>
          <w:lang w:val="en-US"/>
          <w14:textFill>
            <w14:solidFill>
              <w14:srgbClr w14:val="1A1A1A"/>
            </w14:solidFill>
          </w14:textFill>
        </w:rPr>
        <w:t>Always ask why they</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 xml:space="preserve">re asking” — resonates directly with what Dina sees from some analysts, who answer the literal data request without addressing the underlying problem, leaving HR leaders with data they still can</w:t>
      </w:r>
      <w:r>
        <w:rPr>
          <w:outline w:val="0"/>
          <w:color w:val="1a1a1a"/>
          <w:u w:color="1a1a1a"/>
          <w:rtl w:val="1"/>
          <w14:textFill>
            <w14:solidFill>
              <w14:srgbClr w14:val="1A1A1A"/>
            </w14:solidFill>
          </w14:textFill>
        </w:rPr>
        <w:t>’</w:t>
      </w:r>
      <w:r>
        <w:rPr>
          <w:outline w:val="0"/>
          <w:color w:val="1a1a1a"/>
          <w:u w:color="1a1a1a"/>
          <w:rtl w:val="0"/>
          <w:lang w:val="en-US"/>
          <w14:textFill>
            <w14:solidFill>
              <w14:srgbClr w14:val="1A1A1A"/>
            </w14:solidFill>
          </w14:textFill>
        </w:rPr>
        <w:t>t use.</w:t>
      </w:r>
      <w:r>
        <w:rPr>
          <w:i w:val="1"/>
          <w:iCs w:val="1"/>
          <w:outline w:val="0"/>
          <w:color w:val="555555"/>
          <w:u w:color="555555"/>
          <w:rtl w:val="0"/>
          <w14:textFill>
            <w14:solidFill>
              <w14:srgbClr w14:val="555555"/>
            </w14:solidFill>
          </w14:textFill>
        </w:rPr>
        <w:t xml:space="preserve">  (Dina Zhang)</w:t>
      </w:r>
    </w:p>
    <w:p>
      <w:pPr>
        <w:pStyle w:val="Heading"/>
        <w:pBdr>
          <w:top w:val="nil"/>
          <w:left w:val="nil"/>
          <w:bottom w:val="single" w:color="1f3a5f" w:sz="6" w:space="0" w:shadow="0" w:frame="0"/>
          <w:right w:val="nil"/>
        </w:pBdr>
        <w:spacing w:before="360" w:after="160"/>
      </w:pPr>
      <w:r>
        <w:rPr>
          <w:b w:val="1"/>
          <w:bCs w:val="1"/>
          <w:outline w:val="0"/>
          <w:color w:val="1f3a5f"/>
          <w:u w:color="1f3a5f"/>
          <w:rtl w:val="0"/>
          <w:lang w:val="en-US"/>
          <w14:textFill>
            <w14:solidFill>
              <w14:srgbClr w14:val="1F3A5F"/>
            </w14:solidFill>
          </w14:textFill>
        </w:rPr>
        <w:t>Raw Feedback Log</w:t>
      </w:r>
    </w:p>
    <w:p>
      <w:pPr>
        <w:pStyle w:val="Heading"/>
        <w:pBdr>
          <w:top w:val="nil"/>
          <w:left w:val="nil"/>
          <w:bottom w:val="single" w:color="1f3a5f" w:sz="6" w:space="0" w:shadow="0" w:frame="0"/>
          <w:right w:val="nil"/>
        </w:pBdr>
        <w:spacing w:before="360" w:after="160"/>
      </w:pPr>
      <w:r>
        <w:rPr>
          <w:outline w:val="0"/>
          <w:color w:val="1a1a1a"/>
          <w:sz w:val="20"/>
          <w:szCs w:val="20"/>
          <w:u w:color="1a1a1a"/>
          <w:rtl w:val="0"/>
          <w:lang w:val="en-US"/>
          <w14:textFill>
            <w14:solidFill>
              <w14:srgbClr w14:val="1A1A1A"/>
            </w14:solidFill>
          </w14:textFill>
        </w:rPr>
        <w:t>Original wording, kept for reference. Add new entries below as more feedback arrives.</w:t>
      </w:r>
    </w:p>
    <w:p>
      <w:pPr>
        <w:pStyle w:val="Heading 2"/>
        <w:spacing w:before="240" w:after="100"/>
      </w:pPr>
      <w:r>
        <w:rPr>
          <w:b w:val="1"/>
          <w:bCs w:val="1"/>
          <w:outline w:val="0"/>
          <w:color w:val="1f3a5f"/>
          <w:u w:color="1f3a5f"/>
          <w:rtl w:val="0"/>
          <w:lang w:val="da-DK"/>
          <w14:textFill>
            <w14:solidFill>
              <w14:srgbClr w14:val="1F3A5F"/>
            </w14:solidFill>
          </w14:textFill>
        </w:rPr>
        <w:t xml:space="preserve">Sara Ridley </w:t>
      </w:r>
      <w:r>
        <w:rPr>
          <w:b w:val="1"/>
          <w:bCs w:val="1"/>
          <w:outline w:val="0"/>
          <w:color w:val="1f3a5f"/>
          <w:u w:color="1f3a5f"/>
          <w:rtl w:val="0"/>
          <w:lang w:val="en-US"/>
          <w14:textFill>
            <w14:solidFill>
              <w14:srgbClr w14:val="1F3A5F"/>
            </w14:solidFill>
          </w14:textFill>
        </w:rPr>
        <w:t xml:space="preserve">— Welcome section</w:t>
      </w:r>
    </w:p>
    <w:p>
      <w:pPr>
        <w:pStyle w:val="Heading 2"/>
        <w:spacing w:before="240" w:after="100"/>
      </w:pPr>
      <w:r>
        <w:rPr>
          <w:i w:val="1"/>
          <w:iCs w:val="1"/>
          <w:outline w:val="0"/>
          <w:color w:val="1a1a1a"/>
          <w:sz w:val="20"/>
          <w:szCs w:val="20"/>
          <w:u w:color="1a1a1a"/>
          <w:rtl w:val="0"/>
          <w:lang w:val="en-US"/>
          <w14:textFill>
            <w14:solidFill>
              <w14:srgbClr w14:val="1A1A1A"/>
            </w14:solidFill>
          </w14:textFill>
        </w:rPr>
        <w:t>Scope: read on mobile; welcome section only. Overall reaction: very positive, keen to continue.</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Thanks so much for sending this through </w:t>
      </w:r>
      <w:r>
        <w:rPr>
          <w:i w:val="1"/>
          <w:iCs w:val="1"/>
          <w:outline w:val="0"/>
          <w:color w:val="333333"/>
          <w:sz w:val="19"/>
          <w:szCs w:val="19"/>
          <w:u w:color="333333"/>
          <w:rtl w:val="0"/>
          <w14:textFill>
            <w14:solidFill>
              <w14:srgbClr w14:val="333333"/>
            </w14:solidFill>
          </w14:textFill>
        </w:rPr>
        <w:t xml:space="preserve">–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ve just read the welcome section on my phone and thought it would be worthwhile sending over my thoughts at this point before I get carried away with the rest of the book! Firstly,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definitely piqued my interest and I plan to start reading the rest tomorrow from a larger screen.</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14:textFill>
            <w14:solidFill>
              <w14:srgbClr w14:val="333333"/>
            </w14:solidFill>
          </w14:textFill>
        </w:rPr>
        <w:t>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m not sure of exactly what you are looking for from people reviewing and the reference to section 24.8.1 was a little opaque to me </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is that in chapter 24? And do I have to get that far before I send any feedback?</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Good: the airplane example as a hook; the logical organisation of the book; the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why</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for people analytics.</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Areas to improve: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Why I wrote it</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and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Who this book is for</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are a bit lengthy and could be condensed; the book assumes readers know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14:textFill>
            <w14:solidFill>
              <w14:srgbClr w14:val="333333"/>
            </w14:solidFill>
          </w14:textFill>
        </w:rPr>
        <w:t xml:space="preserve">Bayesian” </w:t>
      </w:r>
      <w:r>
        <w:rPr>
          <w:i w:val="1"/>
          <w:iCs w:val="1"/>
          <w:outline w:val="0"/>
          <w:color w:val="333333"/>
          <w:sz w:val="19"/>
          <w:szCs w:val="19"/>
          <w:u w:color="333333"/>
          <w:rtl w:val="0"/>
          <w:lang w:val="en-US"/>
          <w14:textFill>
            <w14:solidFill>
              <w14:srgbClr w14:val="333333"/>
            </w14:solidFill>
          </w14:textFill>
        </w:rPr>
        <w:t xml:space="preserve">and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14:textFill>
            <w14:solidFill>
              <w14:srgbClr w14:val="333333"/>
            </w14:solidFill>
          </w14:textFill>
        </w:rPr>
        <w:t>SEM”</w:t>
      </w:r>
      <w:r>
        <w:rPr>
          <w:i w:val="1"/>
          <w:iCs w:val="1"/>
          <w:outline w:val="0"/>
          <w:color w:val="333333"/>
          <w:sz w:val="19"/>
          <w:szCs w:val="19"/>
          <w:u w:color="333333"/>
          <w:rtl w:val="0"/>
          <w:lang w:val="en-US"/>
          <w14:textFill>
            <w14:solidFill>
              <w14:srgbClr w14:val="333333"/>
            </w14:solidFill>
          </w14:textFill>
        </w:rPr>
        <w:t xml:space="preserve">, and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14:textFill>
            <w14:solidFill>
              <w14:srgbClr w14:val="333333"/>
            </w14:solidFill>
          </w14:textFill>
        </w:rPr>
        <w:t xml:space="preserve">I/O” </w:t>
      </w:r>
      <w:r>
        <w:rPr>
          <w:i w:val="1"/>
          <w:iCs w:val="1"/>
          <w:outline w:val="0"/>
          <w:color w:val="333333"/>
          <w:sz w:val="19"/>
          <w:szCs w:val="19"/>
          <w:u w:color="333333"/>
          <w:rtl w:val="0"/>
          <w:lang w:val="en-US"/>
          <w14:textFill>
            <w14:solidFill>
              <w14:srgbClr w14:val="333333"/>
            </w14:solidFill>
          </w14:textFill>
        </w:rPr>
        <w:t xml:space="preserve">should be written in full — “</w:t>
      </w:r>
      <w:r>
        <w:rPr>
          <w:i w:val="1"/>
          <w:iCs w:val="1"/>
          <w:outline w:val="0"/>
          <w:color w:val="333333"/>
          <w:sz w:val="19"/>
          <w:szCs w:val="19"/>
          <w:u w:color="333333"/>
          <w:rtl w:val="0"/>
          <w14:textFill>
            <w14:solidFill>
              <w14:srgbClr w14:val="333333"/>
            </w14:solidFill>
          </w14:textFill>
        </w:rPr>
        <w:t>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not a fan of acronyms as you can probably tell!</w:t>
      </w:r>
      <w:r>
        <w:rPr>
          <w:i w:val="1"/>
          <w:iCs w:val="1"/>
          <w:outline w:val="0"/>
          <w:color w:val="333333"/>
          <w:sz w:val="19"/>
          <w:szCs w:val="19"/>
          <w:u w:color="333333"/>
          <w:rtl w:val="0"/>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 every box has explanatory text except the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note</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box, which was confusing; the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How the book is organised</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section would benefit from noting each Part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relative size; Part 5 seems chunky, with some chapters having extra detail and others not.</w:t>
      </w:r>
    </w:p>
    <w:p>
      <w:pPr>
        <w:pStyle w:val="Heading 2"/>
        <w:spacing w:before="240" w:after="100"/>
      </w:pPr>
      <w:r>
        <w:rPr>
          <w:b w:val="1"/>
          <w:bCs w:val="1"/>
          <w:outline w:val="0"/>
          <w:color w:val="1f3a5f"/>
          <w:u w:color="1f3a5f"/>
          <w:rtl w:val="0"/>
          <w:lang w:val="da-DK"/>
          <w14:textFill>
            <w14:solidFill>
              <w14:srgbClr w14:val="1F3A5F"/>
            </w14:solidFill>
          </w14:textFill>
        </w:rPr>
        <w:t xml:space="preserve">Sara Ridley </w:t>
      </w:r>
      <w:r>
        <w:rPr>
          <w:b w:val="1"/>
          <w:bCs w:val="1"/>
          <w:outline w:val="0"/>
          <w:color w:val="1f3a5f"/>
          <w:u w:color="1f3a5f"/>
          <w:rtl w:val="0"/>
          <w:lang w:val="en-US"/>
          <w14:textFill>
            <w14:solidFill>
              <w14:srgbClr w14:val="1F3A5F"/>
            </w14:solidFill>
          </w14:textFill>
        </w:rPr>
        <w:t xml:space="preserve">— Foundations section</w:t>
      </w:r>
    </w:p>
    <w:p>
      <w:pPr>
        <w:pStyle w:val="Heading 2"/>
        <w:spacing w:before="240" w:after="100"/>
      </w:pPr>
      <w:r>
        <w:rPr>
          <w:i w:val="1"/>
          <w:iCs w:val="1"/>
          <w:outline w:val="0"/>
          <w:color w:val="1a1a1a"/>
          <w:sz w:val="20"/>
          <w:szCs w:val="20"/>
          <w:u w:color="1a1a1a"/>
          <w:rtl w:val="0"/>
          <w:lang w:val="en-US"/>
          <w14:textFill>
            <w14:solidFill>
              <w14:srgbClr w14:val="1A1A1A"/>
            </w14:solidFill>
          </w14:textFill>
        </w:rPr>
        <w:t xml:space="preserve">Scope: Foundations section — Welcome-section signposting, </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Meeting your data</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14:textFill>
            <w14:solidFill>
              <w14:srgbClr w14:val="1A1A1A"/>
            </w14:solidFill>
          </w14:textFill>
        </w:rPr>
        <w:t xml:space="preserve">, </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Thinking in Chances</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14:textFill>
            <w14:solidFill>
              <w14:srgbClr w14:val="1A1A1A"/>
            </w14:solidFill>
          </w14:textFill>
        </w:rPr>
        <w:t xml:space="preserve">, </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Distributions, Sampling and the Idea of a Model</w:t>
      </w:r>
      <w:r>
        <w:rPr>
          <w:i w:val="1"/>
          <w:iCs w:val="1"/>
          <w:outline w:val="0"/>
          <w:color w:val="1a1a1a"/>
          <w:sz w:val="20"/>
          <w:szCs w:val="20"/>
          <w:u w:color="1a1a1a"/>
          <w:rtl w:val="1"/>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 Overall reaction: very positive, continuing to Bayesian Core next.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I have now read the next section (Foundations) and have some more observations which I hope you find useful.</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General observations: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Although the book isn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about learning R, I think many readers, particularly those who are logically minded or have used similar tools, would benefit from being pointed towards an R environment. I did some googling and found Posit Cloud, which offers a free browser-based setup requiring no installation.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d suggest a brief signpost to something like this sits in the Welcome section, alongside short explanations of what tidyverse and brms actually are — both are mentioned without much context for the uninitiated.</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Related to this: it would help to clarify upfront who the Foundations section is aimed at. Is it for readers new to statistics, new to R, or both? And if R features in later chapters, is there value in the reader getting hands-on with it now? As someone who isn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new to statistics but hasn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used R before, I wasn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sure how much I should be engaging with the code versus reading past it.</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Meeting your data</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section: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This is a strong section — well written, well structured, and mostly very well explained.</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A few specific points:</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Median vs mean. The case for using the median is statistically sound, but in practice many stakeholders won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know what a median is and won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be receptive to it. It might be worth acknowledging that the median is often more useful to the analyst than to the audience of the analysis. For what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s worth, my own approach is to publish the mean but address outliers explicitly in the narrative — either recalculating without them or showing the percentage achieving a target.</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Why the difference matters</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example. Good, but I think it would land better if the mean value were actually stated.</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na.rm = TRUE. This was introduced without explicit explanation of what it does (excludes missing values) which I found a bit confusing on first read.</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The promotion statistic. The binary 0/1 framing felt a little abstract without a timeframe attached. If someone joined 20 years ago, does a 1 capture a promotion from 18 years ago? Without that context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difficult to relate to the scenario, and in my experience promotion data isn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handled this way in practice.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Performance ratings. These tend to be subjective in real-world settings unless they</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re based on specific, consistently applied measurable criteria and I think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worth acknowledging that limitation.</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 request for historical data is usually a question about the future.</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14:textFill>
            <w14:solidFill>
              <w14:srgbClr w14:val="333333"/>
            </w14:solidFill>
          </w14:textFill>
        </w:rPr>
        <w:t>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d push back on this one. In my experience, the motivation is more often about establishing a baseline; understanding where things stand so a decision can be made about whether to act, celebrate, or leave well alone. That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not quite the same as being oriented towards the future.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People Are Not Good at This’ — Very relatable and very well explained and ties in well with the broader message of the book.</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Thinking in Chances</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and </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Distributions, Sampling and the Idea of a Model</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fr-FR"/>
          <w14:textFill>
            <w14:solidFill>
              <w14:srgbClr w14:val="333333"/>
            </w14:solidFill>
          </w14:textFill>
        </w:rPr>
        <w:t xml:space="preserve">sections </w:t>
      </w:r>
      <w:r>
        <w:rPr>
          <w:i w:val="1"/>
          <w:iCs w:val="1"/>
          <w:outline w:val="0"/>
          <w:color w:val="333333"/>
          <w:sz w:val="19"/>
          <w:szCs w:val="19"/>
          <w:u w:color="333333"/>
          <w:rtl w:val="0"/>
          <w:lang w:val="en-US"/>
          <w14:textFill>
            <w14:solidFill>
              <w14:srgbClr w14:val="333333"/>
            </w14:solidFill>
          </w14:textFill>
        </w:rPr>
        <w:t xml:space="preserve">— Both excellent. No suggestions at this stage.” — “Bayesian Core tomorrow!</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b w:val="1"/>
          <w:bCs w:val="1"/>
          <w:outline w:val="0"/>
          <w:color w:val="1f3a5f"/>
          <w:u w:color="1f3a5f"/>
          <w:rtl w:val="0"/>
          <w14:textFill>
            <w14:solidFill>
              <w14:srgbClr w14:val="1F3A5F"/>
            </w14:solidFill>
          </w14:textFill>
        </w:rPr>
        <w:t xml:space="preserve">Dina Zhang </w:t>
      </w:r>
      <w:r>
        <w:rPr>
          <w:b w:val="1"/>
          <w:bCs w:val="1"/>
          <w:outline w:val="0"/>
          <w:color w:val="1f3a5f"/>
          <w:u w:color="1f3a5f"/>
          <w:rtl w:val="0"/>
          <w:lang w:val="en-US"/>
          <w14:textFill>
            <w14:solidFill>
              <w14:srgbClr w14:val="1F3A5F"/>
            </w14:solidFill>
          </w14:textFill>
        </w:rPr>
        <w:t xml:space="preserve">— </w:t>
      </w:r>
      <w:r>
        <w:rPr>
          <w:b w:val="1"/>
          <w:bCs w:val="1"/>
          <w:outline w:val="0"/>
          <w:color w:val="1f3a5f"/>
          <w:u w:color="1f3a5f"/>
          <w:rtl w:val="0"/>
          <w:lang w:val="nl-NL"/>
          <w14:textFill>
            <w14:solidFill>
              <w14:srgbClr w14:val="1F3A5F"/>
            </w14:solidFill>
          </w14:textFill>
        </w:rPr>
        <w:t>Chapters 1</w:t>
      </w:r>
      <w:r>
        <w:rPr>
          <w:b w:val="1"/>
          <w:bCs w:val="1"/>
          <w:outline w:val="0"/>
          <w:color w:val="1f3a5f"/>
          <w:u w:color="1f3a5f"/>
          <w:rtl w:val="0"/>
          <w14:textFill>
            <w14:solidFill>
              <w14:srgbClr w14:val="1F3A5F"/>
            </w14:solidFill>
          </w14:textFill>
        </w:rPr>
        <w:t>–2</w:t>
      </w:r>
    </w:p>
    <w:p>
      <w:pPr>
        <w:pStyle w:val="Heading 2"/>
        <w:spacing w:before="240" w:after="100"/>
      </w:pPr>
      <w:r>
        <w:rPr>
          <w:i w:val="1"/>
          <w:iCs w:val="1"/>
          <w:outline w:val="0"/>
          <w:color w:val="1a1a1a"/>
          <w:sz w:val="20"/>
          <w:szCs w:val="20"/>
          <w:u w:color="1a1a1a"/>
          <w:rtl w:val="0"/>
          <w:lang w:val="en-US"/>
          <w14:textFill>
            <w14:solidFill>
              <w14:srgbClr w14:val="1A1A1A"/>
            </w14:solidFill>
          </w14:textFill>
        </w:rPr>
        <w:t>Background: recently moved into a role managing the enterprise employee survey and divisions</w:t>
      </w:r>
      <w:r>
        <w:rPr>
          <w:i w:val="1"/>
          <w:iCs w:val="1"/>
          <w:outline w:val="0"/>
          <w:color w:val="1a1a1a"/>
          <w:sz w:val="20"/>
          <w:szCs w:val="20"/>
          <w:u w:color="1a1a1a"/>
          <w:rtl w:val="1"/>
          <w14:textFill>
            <w14:solidFill>
              <w14:srgbClr w14:val="1A1A1A"/>
            </w14:solidFill>
          </w14:textFill>
        </w:rPr>
        <w:t xml:space="preserve">’ </w:t>
      </w:r>
      <w:r>
        <w:rPr>
          <w:i w:val="1"/>
          <w:iCs w:val="1"/>
          <w:outline w:val="0"/>
          <w:color w:val="1a1a1a"/>
          <w:sz w:val="20"/>
          <w:szCs w:val="20"/>
          <w:u w:color="1a1a1a"/>
          <w:rtl w:val="0"/>
          <w:lang w:val="en-US"/>
          <w14:textFill>
            <w14:solidFill>
              <w14:srgbClr w14:val="1A1A1A"/>
            </w14:solidFill>
          </w14:textFill>
        </w:rPr>
        <w:t xml:space="preserve">survey action accountability; previously in employee/workforce development. Studied social science statistics in a counseling grad program (t-tests, p-values, correlation vs. causation) but rusty, with no prior Bayesian training. Goal: build a Bayesian framework for reasoning about survey data, inform leadership on survey decisions, guide division HR on interpreting results, and know enough to collaborate with — and push back on — her people analytics specialist. Scope: Chapters 1</w:t>
      </w:r>
      <w:r>
        <w:rPr>
          <w:i w:val="1"/>
          <w:iCs w:val="1"/>
          <w:outline w:val="0"/>
          <w:color w:val="1a1a1a"/>
          <w:sz w:val="20"/>
          <w:szCs w:val="20"/>
          <w:u w:color="1a1a1a"/>
          <w:rtl w:val="0"/>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 xml:space="preserve">2, Week 1. Note: the </w:t>
      </w:r>
      <w:r>
        <w:rPr>
          <w:i w:val="1"/>
          <w:iCs w:val="1"/>
          <w:outline w:val="0"/>
          <w:color w:val="1a1a1a"/>
          <w:sz w:val="20"/>
          <w:szCs w:val="20"/>
          <w:u w:color="1a1a1a"/>
          <w:rtl w:val="1"/>
          <w:lang w:val="ar-SA" w:bidi="ar-SA"/>
          <w14:textFill>
            <w14:solidFill>
              <w14:srgbClr w14:val="1A1A1A"/>
            </w14:solidFill>
          </w14:textFill>
        </w:rPr>
        <w:t>“</w:t>
      </w:r>
      <w:r>
        <w:rPr>
          <w:i w:val="1"/>
          <w:iCs w:val="1"/>
          <w:outline w:val="0"/>
          <w:color w:val="1a1a1a"/>
          <w:sz w:val="20"/>
          <w:szCs w:val="20"/>
          <w:u w:color="1a1a1a"/>
          <w:rtl w:val="0"/>
          <w:lang w:val="en-US"/>
          <w14:textFill>
            <w14:solidFill>
              <w14:srgbClr w14:val="1A1A1A"/>
            </w14:solidFill>
          </w14:textFill>
        </w:rPr>
        <w:t>edit this page</w:t>
      </w:r>
      <w:r>
        <w:rPr>
          <w:i w:val="1"/>
          <w:iCs w:val="1"/>
          <w:outline w:val="0"/>
          <w:color w:val="1a1a1a"/>
          <w:sz w:val="20"/>
          <w:szCs w:val="20"/>
          <w:u w:color="1a1a1a"/>
          <w:rtl w:val="0"/>
          <w14:textFill>
            <w14:solidFill>
              <w14:srgbClr w14:val="1A1A1A"/>
            </w14:solidFill>
          </w14:textFill>
        </w:rPr>
        <w:t xml:space="preserve">” </w:t>
      </w:r>
      <w:r>
        <w:rPr>
          <w:i w:val="1"/>
          <w:iCs w:val="1"/>
          <w:outline w:val="0"/>
          <w:color w:val="1a1a1a"/>
          <w:sz w:val="20"/>
          <w:szCs w:val="20"/>
          <w:u w:color="1a1a1a"/>
          <w:rtl w:val="0"/>
          <w:lang w:val="en-US"/>
          <w14:textFill>
            <w14:solidFill>
              <w14:srgbClr w14:val="1A1A1A"/>
            </w14:solidFill>
          </w14:textFill>
        </w:rPr>
        <w:t>link led to a 404.</w:t>
      </w:r>
    </w:p>
    <w:p>
      <w:pPr>
        <w:pStyle w:val="Heading 2"/>
        <w:spacing w:before="240" w:after="100"/>
      </w:pPr>
      <w:r>
        <w:rPr>
          <w:i w:val="1"/>
          <w:iCs w:val="1"/>
          <w:outline w:val="0"/>
          <w:color w:val="333333"/>
          <w:sz w:val="19"/>
          <w:szCs w:val="19"/>
          <w:u w:color="333333"/>
          <w:rtl w:val="0"/>
          <w:lang w:val="it-IT"/>
          <w14:textFill>
            <w14:solidFill>
              <w14:srgbClr w14:val="333333"/>
            </w14:solidFill>
          </w14:textFill>
        </w:rPr>
        <w:t xml:space="preserve">1.1 Setup </w:t>
      </w:r>
      <w:r>
        <w:rPr>
          <w:i w:val="1"/>
          <w:iCs w:val="1"/>
          <w:outline w:val="0"/>
          <w:color w:val="333333"/>
          <w:sz w:val="19"/>
          <w:szCs w:val="19"/>
          <w:u w:color="333333"/>
          <w:rtl w:val="0"/>
          <w:lang w:val="en-US"/>
          <w14:textFill>
            <w14:solidFill>
              <w14:srgbClr w14:val="333333"/>
            </w14:solidFill>
          </w14:textFill>
        </w:rPr>
        <w:t xml:space="preserve">— suggestion: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Add RStudio installation instructions here, and include a link to the official site. I wasn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14:textFill>
            <w14:solidFill>
              <w14:srgbClr w14:val="333333"/>
            </w14:solidFill>
          </w14:textFill>
        </w:rPr>
        <w:t xml:space="preserve">t familiar </w:t>
      </w:r>
      <w:r>
        <w:rPr>
          <w:i w:val="1"/>
          <w:iCs w:val="1"/>
          <w:outline w:val="0"/>
          <w:color w:val="333333"/>
          <w:sz w:val="19"/>
          <w:szCs w:val="19"/>
          <w:u w:color="333333"/>
          <w:rtl w:val="0"/>
          <w:lang w:val="en-US"/>
          <w14:textFill>
            <w14:solidFill>
              <w14:srgbClr w14:val="333333"/>
            </w14:solidFill>
          </w14:textFill>
        </w:rPr>
        <w:t xml:space="preserve">— I had to check with our analyst to make sure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not downloading from a phishing site. I also learned our org has an enterprise version in the software center.</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1.2 What is a dataset? — “Add instruction: before you start, have RStudio installed and open to follow along.</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1.3.3 The numbers for sales — “</w:t>
      </w:r>
      <w:r>
        <w:rPr>
          <w:i w:val="1"/>
          <w:iCs w:val="1"/>
          <w:outline w:val="0"/>
          <w:color w:val="333333"/>
          <w:sz w:val="19"/>
          <w:szCs w:val="19"/>
          <w:u w:color="333333"/>
          <w:rtl w:val="0"/>
          <w14:textFill>
            <w14:solidFill>
              <w14:srgbClr w14:val="333333"/>
            </w14:solidFill>
          </w14:textFill>
        </w:rPr>
        <w:t xml:space="preserve">na.rm = TRUE </w:t>
      </w:r>
      <w:r>
        <w:rPr>
          <w:i w:val="1"/>
          <w:iCs w:val="1"/>
          <w:outline w:val="0"/>
          <w:color w:val="333333"/>
          <w:sz w:val="19"/>
          <w:szCs w:val="19"/>
          <w:u w:color="333333"/>
          <w:rtl w:val="0"/>
          <w:lang w:val="en-US"/>
          <w14:textFill>
            <w14:solidFill>
              <w14:srgbClr w14:val="333333"/>
            </w14:solidFill>
          </w14:textFill>
        </w:rPr>
        <w:t xml:space="preserve">— suggestion: explain what this is. na.rm stands for </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NA Remove</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referenced a few times later but not immediately clear what it means. Once I know a command/formula is usually a shorthand of a word, I found myself better at guessing what the code means, even when it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not explained every time.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1.5.1 Meet the engagement survey — reflection: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This is very helpful. I can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tell you how many times I was asked what does good look like from leaders and HR when it seems most items are leaning towards the top range. Being able to say that is the norm will help HR practitioners notice when the shape is unusual and take a closer look.</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Your Turn</w:t>
      </w:r>
      <w:r>
        <w:rPr>
          <w:i w:val="1"/>
          <w:iCs w:val="1"/>
          <w:outline w:val="0"/>
          <w:color w:val="333333"/>
          <w:sz w:val="19"/>
          <w:szCs w:val="19"/>
          <w:u w:color="333333"/>
          <w:rtl w:val="0"/>
          <w14:textFill>
            <w14:solidFill>
              <w14:srgbClr w14:val="333333"/>
            </w14:solidFill>
          </w14:textFill>
        </w:rPr>
        <w:t xml:space="preserve">” (Chapter 1) </w:t>
      </w:r>
      <w:r>
        <w:rPr>
          <w:i w:val="1"/>
          <w:iCs w:val="1"/>
          <w:outline w:val="0"/>
          <w:color w:val="333333"/>
          <w:sz w:val="19"/>
          <w:szCs w:val="19"/>
          <w:u w:color="333333"/>
          <w:rtl w:val="0"/>
          <w:lang w:val="en-US"/>
          <w14:textFill>
            <w14:solidFill>
              <w14:srgbClr w14:val="333333"/>
            </w14:solidFill>
          </w14:textFill>
        </w:rPr>
        <w:t xml:space="preserve">— “Is there supposed to be a place to look for an answer for </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Your Turn</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questions? Will be helpful to include at the end of the book, so I can check my understanding.</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Always ask why they</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re asking” — reflection: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This section is such a good call out.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ve noticed this with some of our analysts, who tend to focus on just the data requested but not the underlying problem — which sometimes leaves HR leaders and practitioners with the data, but still not something usable for the problem they</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re trying to solve.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2.2.4 Watch a probability settle — “‘Seeded</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is an unfamiliar term. Tell me first this code generates random numbers. The </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seed</w:t>
      </w:r>
      <w:r>
        <w:rPr>
          <w:i w:val="1"/>
          <w:iCs w:val="1"/>
          <w:outline w:val="0"/>
          <w:color w:val="333333"/>
          <w:sz w:val="19"/>
          <w:szCs w:val="19"/>
          <w:u w:color="333333"/>
          <w:rtl w:val="1"/>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is the random starting number. Doesn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matter what it is, just so that when the same test is re-run, the same set of random figures will show up. Otherwise,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wondering what is 202.</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2.4.1 The idea — reflection on the performance/promotion table: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That makes sense. As performance goes up, people are more likely to be promoted. But I don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t actually know that. My assumption filled the gap based on the numbers increasing along each other and created a causation. Maybe all the top sales performers happen to be in a growing market, maybe they have longer tenure — the table didn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have any of that context.</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Suggestion: ask readers, under the table, what story their mind is already forming.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As I reflect on the core idea of Bayesian [thinking] — that what I know currently informs how I think about a probability, and a responsible analyst should adjust their understanding as new information gets in — it seems important to train beginners to examine what lens and assumptions we bring to a dataset. Otherwise I could be unconsciously seeking new information confirming what I already believe the data is saying.</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2.4.2 Knowing something changes everything — “If the goal is teaching how to write the R code, there seems to be a jump in difficulty. I tried to write it, but had to have Claude help me critique what I was doing wrong. Claude suggests using mutate() first to create the rate group by median. I can read and understand the code Claude created, but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not familiar enough with mutate() to know that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the right one to use on my own</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May need more scaffolding to introduce mutate() and reference an example before this exercise.</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Alternative, if the goal is the concept rather than the code: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Apply this to customer rating. How would you examine whether a higher customer rating changes the promotion odds? Using the median to create a category is something I wouldn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t have come up with on my own — </w:t>
      </w:r>
      <w:r>
        <w:rPr>
          <w:i w:val="1"/>
          <w:iCs w:val="1"/>
          <w:outline w:val="0"/>
          <w:color w:val="333333"/>
          <w:sz w:val="19"/>
          <w:szCs w:val="19"/>
          <w:u w:color="333333"/>
          <w:rtl w:val="0"/>
          <w14:textFill>
            <w14:solidFill>
              <w14:srgbClr w14:val="333333"/>
            </w14:solidFill>
          </w14:textFill>
        </w:rPr>
        <w:t>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d love a bit more unpacking here on how to think about numerical variables in categories.</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2.5.1 The succession-pipeline problem — thought process, working through it unaided: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The question to solve is what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the probability of the promotion [being] unfilled given the size of the bench. If I get to a probability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comfortable with, that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s the bench size I go with(?) This is a conditional probability — what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s the probability of 10 people promoted given a bench size of 28, knowing the overall promotion probability is mean(salespeople$promoted) = 0.3. The simulation unit I run is each selection cycle, randomly generating how many people get promoted each cycle. From the randomly generated number of people promoted, I can calculate the promotion probability of that simulation. Start to get fuzzy — I know it will eventually get very close to 0.3 if I run many rounds of simulation, so what am I doing here? Skipping that part, what I think happens next is: adjust the bench size and re-run the simulation until I find a bench size with an acceptable success rate where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fairly confident we won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end up with a unit-supervisor shortage.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Feedback: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As a beginner, upon seeing the bench-size question my instinct is that I need 10 people, p = 0.3, so a 30-ish bench should be good enough. Knowing what thought process I need to correct is helpful.</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Suggestion: add a pause after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How big should the bench be?</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to prompt readers to think through their own approach before the book introduces simulation as the solution.</w:t>
      </w:r>
    </w:p>
    <w:p>
      <w:pPr>
        <w:pStyle w:val="Heading 2"/>
        <w:spacing w:before="240" w:after="100"/>
      </w:pP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Similarly,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noticing a couple of places where, once the R code is provided, it feels like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handed the answer right away and the actual problem-solving friction is skipped. When the code is straightforward enough I</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m gaining comprehension fluency, but not necessarily being forced to apply the concept and think through the problem myself first. This particular one forced me to pause because I didn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understand parts of the code (rbinom, and the cat(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P(fewer than 10 promoted — roles left unfilled):</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 xml:space="preserve">, round(mean(promoted_count &lt; roles_open), 3)) line) — which forced me to think through the approach myself, and I realised some of my comprehension so far is shaky.</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Suggestion: add a prompt, before reviewing the code, to think through the approach in plain language, not R — “if I know how to approach it, I can probably have an AI tool help write out the code.</w:t>
      </w:r>
      <w:r>
        <w:rPr>
          <w:i w:val="1"/>
          <w:iCs w:val="1"/>
          <w:outline w:val="0"/>
          <w:color w:val="333333"/>
          <w:sz w:val="19"/>
          <w:szCs w:val="19"/>
          <w:u w:color="333333"/>
          <w:rtl w:val="0"/>
          <w14:textFill>
            <w14:solidFill>
              <w14:srgbClr w14:val="333333"/>
            </w14:solidFill>
          </w14:textFill>
        </w:rPr>
        <w:t>”</w:t>
      </w:r>
    </w:p>
    <w:p>
      <w:pPr>
        <w:pStyle w:val="Heading 2"/>
        <w:spacing w:before="240" w:after="100"/>
      </w:pPr>
      <w:r>
        <w:rPr>
          <w:i w:val="1"/>
          <w:iCs w:val="1"/>
          <w:outline w:val="0"/>
          <w:color w:val="333333"/>
          <w:sz w:val="19"/>
          <w:szCs w:val="19"/>
          <w:u w:color="333333"/>
          <w:rtl w:val="0"/>
          <w:lang w:val="en-US"/>
          <w14:textFill>
            <w14:solidFill>
              <w14:srgbClr w14:val="333333"/>
            </w14:solidFill>
          </w14:textFill>
        </w:rPr>
        <w:t xml:space="preserve">Final thoughts: </w:t>
      </w:r>
      <w:r>
        <w:rPr>
          <w:i w:val="1"/>
          <w:iCs w:val="1"/>
          <w:outline w:val="0"/>
          <w:color w:val="333333"/>
          <w:sz w:val="19"/>
          <w:szCs w:val="19"/>
          <w:u w:color="333333"/>
          <w:rtl w:val="1"/>
          <w:lang w:val="ar-SA" w:bidi="ar-SA"/>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Once a confident bench size is chosen, it still needs to translate into plain language for leadership, especially if the recommended number isn</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t the intuitive ~30. Being able to land that recommendation is what matters in the end.</w:t>
      </w:r>
      <w:r>
        <w:rPr>
          <w:i w:val="1"/>
          <w:iCs w:val="1"/>
          <w:outline w:val="0"/>
          <w:color w:val="333333"/>
          <w:sz w:val="19"/>
          <w:szCs w:val="19"/>
          <w:u w:color="333333"/>
          <w:rtl w:val="0"/>
          <w14:textFill>
            <w14:solidFill>
              <w14:srgbClr w14:val="333333"/>
            </w14:solidFill>
          </w14:textFill>
        </w:rPr>
        <w:t xml:space="preserve">” </w:t>
      </w:r>
      <w:r>
        <w:rPr>
          <w:i w:val="1"/>
          <w:iCs w:val="1"/>
          <w:outline w:val="0"/>
          <w:color w:val="333333"/>
          <w:sz w:val="19"/>
          <w:szCs w:val="19"/>
          <w:u w:color="333333"/>
          <w:rtl w:val="0"/>
          <w:lang w:val="en-US"/>
          <w14:textFill>
            <w14:solidFill>
              <w14:srgbClr w14:val="333333"/>
            </w14:solidFill>
          </w14:textFill>
        </w:rPr>
        <w:t xml:space="preserve">Suggestion: provide sample leadership-ready language for a sample result, or point to a later chapter/section that covers this — “I believe that</w:t>
      </w:r>
      <w:r>
        <w:rPr>
          <w:i w:val="1"/>
          <w:iCs w:val="1"/>
          <w:outline w:val="0"/>
          <w:color w:val="333333"/>
          <w:sz w:val="19"/>
          <w:szCs w:val="19"/>
          <w:u w:color="333333"/>
          <w:rtl w:val="1"/>
          <w14:textFill>
            <w14:solidFill>
              <w14:srgbClr w14:val="333333"/>
            </w14:solidFill>
          </w14:textFill>
        </w:rPr>
        <w:t>’</w:t>
      </w:r>
      <w:r>
        <w:rPr>
          <w:i w:val="1"/>
          <w:iCs w:val="1"/>
          <w:outline w:val="0"/>
          <w:color w:val="333333"/>
          <w:sz w:val="19"/>
          <w:szCs w:val="19"/>
          <w:u w:color="333333"/>
          <w:rtl w:val="0"/>
          <w:lang w:val="en-US"/>
          <w14:textFill>
            <w14:solidFill>
              <w14:srgbClr w14:val="333333"/>
            </w14:solidFill>
          </w14:textFill>
        </w:rPr>
        <w:t>s part of the gap this book is trying to address.</w:t>
      </w:r>
      <w:r>
        <w:rPr>
          <w:i w:val="1"/>
          <w:iCs w:val="1"/>
          <w:outline w:val="0"/>
          <w:color w:val="333333"/>
          <w:sz w:val="19"/>
          <w:szCs w:val="19"/>
          <w:u w:color="333333"/>
          <w:rtl w:val="0"/>
          <w14:textFill>
            <w14:solidFill>
              <w14:srgbClr w14:val="333333"/>
            </w14:solidFill>
          </w14:textFill>
        </w:rPr>
        <w:t>”</w:t>
      </w:r>
    </w:p>
    <w:sectPr>
      <w:headerReference w:type="default" r:id="rId4"/>
      <w:footerReference w:type="default" r:id="rId5"/>
      <w:pgSz w:w="11900" w:h="16840" w:orient="portrait"/>
      <w:pgMar w:top="1134"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31" w:hanging="259"/>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Heading">
    <w:name w:val="Heading"/>
    <w:next w:val="Heading"/>
    <w:pPr>
      <w:keepNext w:val="0"/>
      <w:keepLines w:val="0"/>
      <w:pageBreakBefore w:val="0"/>
      <w:widowControl w:val="1"/>
      <w:shd w:val="clear" w:color="auto" w:fill="auto"/>
      <w:suppressAutoHyphens w:val="0"/>
      <w:bidi w:val="0"/>
      <w:spacing w:before="0" w:after="0" w:line="240" w:lineRule="auto"/>
      <w:ind w:left="0" w:right="0" w:firstLine="0"/>
      <w:jc w:val="left"/>
      <w:outlineLvl w:val="0"/>
    </w:pPr>
    <w:rPr>
      <w:rFonts w:ascii="Times New Roman" w:cs="Arial Unicode MS" w:hAnsi="Times New Roman" w:eastAsia="Arial Unicode MS"/>
      <w:b w:val="0"/>
      <w:bCs w:val="0"/>
      <w:i w:val="0"/>
      <w:iCs w:val="0"/>
      <w:caps w:val="0"/>
      <w:smallCaps w:val="0"/>
      <w:strike w:val="0"/>
      <w:dstrike w:val="0"/>
      <w:outline w:val="0"/>
      <w:color w:val="2e74b5"/>
      <w:spacing w:val="0"/>
      <w:kern w:val="0"/>
      <w:position w:val="0"/>
      <w:sz w:val="32"/>
      <w:szCs w:val="32"/>
      <w:u w:val="none" w:color="2e74b5"/>
      <w:shd w:val="nil" w:color="auto" w:fill="auto"/>
      <w:vertAlign w:val="baseline"/>
      <w14:textOutline>
        <w14:noFill/>
      </w14:textOutline>
      <w14:textFill>
        <w14:solidFill>
          <w14:srgbClr w14:val="2E74B5"/>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0" w:after="0" w:line="240" w:lineRule="auto"/>
      <w:ind w:left="0" w:right="0" w:firstLine="0"/>
      <w:jc w:val="left"/>
      <w:outlineLvl w:val="1"/>
    </w:pPr>
    <w:rPr>
      <w:rFonts w:ascii="Times New Roman" w:cs="Arial Unicode MS" w:hAnsi="Times New Roman" w:eastAsia="Arial Unicode MS"/>
      <w:b w:val="0"/>
      <w:bCs w:val="0"/>
      <w:i w:val="0"/>
      <w:iCs w:val="0"/>
      <w:caps w:val="0"/>
      <w:smallCaps w:val="0"/>
      <w:strike w:val="0"/>
      <w:dstrike w:val="0"/>
      <w:outline w:val="0"/>
      <w:color w:val="2e74b5"/>
      <w:spacing w:val="0"/>
      <w:kern w:val="0"/>
      <w:position w:val="0"/>
      <w:sz w:val="26"/>
      <w:szCs w:val="26"/>
      <w:u w:val="none" w:color="2e74b5"/>
      <w:shd w:val="nil" w:color="auto" w:fill="auto"/>
      <w:vertAlign w:val="baseline"/>
      <w:lang w:val="da-DK"/>
      <w14:textOutline>
        <w14:noFill/>
      </w14:textOutline>
      <w14:textFill>
        <w14:solidFill>
          <w14:srgbClr w14:val="2E74B5"/>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Times New Roman"/>
        <a:ea typeface="Times New Roman"/>
        <a:cs typeface="Times New Roman"/>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