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rPr>
        <w:t xml:space="preserve">Book Feedback Tracker</w:t>
      </w:r>
    </w:p>
    <w:p>
      <w:pPr>
        <w:spacing w:after="240"/>
      </w:pPr>
      <w:r>
        <w:rPr>
          <w:i/>
          <w:iCs/>
          <w:color w:val="555555"/>
          <w:sz w:val="20"/>
          <w:szCs w:val="20"/>
        </w:rPr>
        <w:t xml:space="preserve">Reader and reviewer feedback, prioritised and logged as it comes in.</w:t>
      </w:r>
    </w:p>
    <w:p>
      <w:pPr>
        <w:spacing w:after="160"/>
      </w:pPr>
      <w:r>
        <w:rPr>
          <w:i w:val="false"/>
          <w:iCs w:val="false"/>
          <w:color w:val="1A1A1A"/>
          <w:sz w:val="20"/>
          <w:szCs w:val="20"/>
        </w:rPr>
        <w:t xml:space="preserve">Every item below is tagged with who raised it. Items are sorted into three tiers:</w:t>
      </w:r>
    </w:p>
    <w:p>
      <w:pPr>
        <w:pStyle w:val="ListParagraph"/>
        <w:numPr>
          <w:ilvl w:val="0"/>
          <w:numId w:val="2"/>
        </w:numPr>
        <w:spacing w:after="60"/>
      </w:pPr>
      <w:r>
        <w:rPr>
          <w:b/>
          <w:bCs/>
          <w:sz w:val="20"/>
          <w:szCs w:val="20"/>
        </w:rPr>
        <w:t xml:space="preserve">Bugs — fix immediately: </w:t>
      </w:r>
      <w:r>
        <w:rPr>
          <w:sz w:val="20"/>
          <w:szCs w:val="20"/>
        </w:rPr>
        <w:t xml:space="preserve">objective errors — broken or confusing references, inconsistencies in the book’s own conventions.</w:t>
      </w:r>
    </w:p>
    <w:p>
      <w:pPr>
        <w:pStyle w:val="ListParagraph"/>
        <w:numPr>
          <w:ilvl w:val="0"/>
          <w:numId w:val="2"/>
        </w:numPr>
        <w:spacing w:after="60"/>
      </w:pPr>
      <w:r>
        <w:rPr>
          <w:b/>
          <w:bCs/>
          <w:sz w:val="20"/>
          <w:szCs w:val="20"/>
        </w:rPr>
        <w:t xml:space="preserve">Clarity &amp; accessibility — recommended: </w:t>
      </w:r>
      <w:r>
        <w:rPr>
          <w:sz w:val="20"/>
          <w:szCs w:val="20"/>
        </w:rPr>
        <w:t xml:space="preserve">not errors, but they affect whether the target reader can actually follow the book. Kept separate from style because legibility outranks preserving style.</w:t>
      </w:r>
    </w:p>
    <w:p>
      <w:pPr>
        <w:pStyle w:val="ListParagraph"/>
        <w:numPr>
          <w:ilvl w:val="0"/>
          <w:numId w:val="2"/>
        </w:numPr>
        <w:spacing w:after="200"/>
      </w:pPr>
      <w:r>
        <w:rPr>
          <w:b/>
          <w:bCs/>
          <w:sz w:val="20"/>
          <w:szCs w:val="20"/>
        </w:rPr>
        <w:t xml:space="preserve">Style &amp; structure — hold for review: </w:t>
      </w:r>
      <w:r>
        <w:rPr>
          <w:sz w:val="20"/>
          <w:szCs w:val="20"/>
        </w:rPr>
        <w:t xml:space="preserve">editorial and voice calls. Logged for your judgement, not acted on automatically.</w:t>
      </w:r>
    </w:p>
    <w:p>
      <w:pPr>
        <w:spacing w:after="160"/>
      </w:pPr>
      <w:r>
        <w:rPr>
          <w:i w:val="false"/>
          <w:iCs w:val="false"/>
          <w:color w:val="1A1A1A"/>
          <w:sz w:val="20"/>
          <w:szCs w:val="20"/>
        </w:rPr>
        <w:t xml:space="preserve">A “What’s working” section keeps praise on record so it isn’t lost during revision, and a raw feedback log at the end preserves each reviewer’s original wording.</w:t>
      </w:r>
    </w:p>
    <w:p>
      <w:pPr>
        <w:pStyle w:val="Heading1"/>
        <w:pBdr>
          <w:bottom w:val="single" w:color="1F3A5F" w:sz="6" w:space="4"/>
        </w:pBdr>
        <w:spacing w:after="160" w:before="360"/>
      </w:pPr>
      <w:r>
        <w:rPr>
          <w:b/>
          <w:bCs/>
          <w:color w:val="1F3A5F"/>
        </w:rPr>
        <w:t xml:space="preserve">1. Bugs — Fix Immediately</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500"/>
        <w:gridCol w:w="5426"/>
        <w:gridCol w:w="2000"/>
        <w:gridCol w:w="1600"/>
      </w:tblGrid>
      <w:tr>
        <w:trPr>
          <w:cantSplit/>
          <w:tblHeader/>
        </w:trPr>
        <w:tc>
          <w:tcPr>
            <w:tcW w:type="dxa" w:w="5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w:t>
            </w:r>
          </w:p>
        </w:tc>
        <w:tc>
          <w:tcPr>
            <w:tcW w:type="dxa" w:w="5426"/>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Item</w:t>
            </w:r>
          </w:p>
        </w:tc>
        <w:tc>
          <w:tcPr>
            <w:tcW w:type="dxa" w:w="20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Reviewer</w:t>
            </w:r>
          </w:p>
        </w:tc>
        <w:tc>
          <w:tcPr>
            <w:tcW w:type="dxa" w:w="16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Status</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1</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The “Note” box type has no explanatory text, unlike every other box style — readers aren’t told what it means or whether it can be skipped.</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2</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The welcome section’s reference to “section 24.8.1” is unclear — Sara couldn’t tell if it’s in Chapter 24, or whether reviewers need to read that far before giving feedback. Needs your call: confirm whether this is a book cross-reference or a reviewer instruction, then fix or reword it.</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 — needs clarification</w:t>
            </w:r>
          </w:p>
        </w:tc>
      </w:tr>
    </w:tbl>
    <w:p>
      <w:pPr>
        <w:pStyle w:val="Heading1"/>
        <w:pBdr>
          <w:bottom w:val="single" w:color="1F3A5F" w:sz="6" w:space="4"/>
        </w:pBdr>
        <w:spacing w:after="160" w:before="360"/>
      </w:pPr>
      <w:r>
        <w:rPr>
          <w:b/>
          <w:bCs/>
          <w:color w:val="1F3A5F"/>
        </w:rPr>
        <w:t xml:space="preserve">2. Clarity &amp; Accessibility — Recommended</w:t>
      </w:r>
    </w:p>
    <w:p>
      <w:pPr>
        <w:spacing w:after="160"/>
      </w:pPr>
      <w:r>
        <w:rPr>
          <w:i/>
          <w:iCs/>
          <w:color w:val="1A1A1A"/>
          <w:sz w:val="20"/>
          <w:szCs w:val="20"/>
        </w:rPr>
        <w:t xml:space="preserve">These affect whether readers unfamiliar with the terms can follow the book — flagged separately from style per your note that legibility should win over preserving style.</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500"/>
        <w:gridCol w:w="5426"/>
        <w:gridCol w:w="2000"/>
        <w:gridCol w:w="1600"/>
      </w:tblGrid>
      <w:tr>
        <w:trPr>
          <w:cantSplit/>
          <w:tblHeader/>
        </w:trPr>
        <w:tc>
          <w:tcPr>
            <w:tcW w:type="dxa" w:w="5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w:t>
            </w:r>
          </w:p>
        </w:tc>
        <w:tc>
          <w:tcPr>
            <w:tcW w:type="dxa" w:w="5426"/>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Item</w:t>
            </w:r>
          </w:p>
        </w:tc>
        <w:tc>
          <w:tcPr>
            <w:tcW w:type="dxa" w:w="20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Reviewer</w:t>
            </w:r>
          </w:p>
        </w:tc>
        <w:tc>
          <w:tcPr>
            <w:tcW w:type="dxa" w:w="16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Status</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1</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The book is pitched at a broad range of readers but assumes they already know what “Bayesian” means. Consider a short explainer near the start.</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2</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“SEM” is used as an acronym without explanation. Consider spelling it out, at least on first use.</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3</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“I/O” is used as an acronym without explanation. Consider spelling it out in full.</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4</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Readers who want to follow along with the code aren’t pointed to an R environment. Consider a brief signpost in the Welcome section — Sara found Posit Cloud, a free browser-based setup requiring no installation.</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5</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“tidyverse” and “brms” are both mentioned without much context for the uninitiated. Consider a short explanation of what each actually is.</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6</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It’s not clear upfront who the Foundations section is aimed at — readers new to statistics, new to R, or both — or whether readers should get hands-on with R now given it reappears in later chapters. Sara (experienced with stats, new to R) wasn’t sure how much to engage with the code versus read past it.</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7</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`na.rm = TRUE` is introduced without explanation of what it does (excludes missing values) — confusing on first read for a non-R reader.</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bl>
    <w:p>
      <w:pPr>
        <w:pStyle w:val="Heading1"/>
        <w:pBdr>
          <w:bottom w:val="single" w:color="1F3A5F" w:sz="6" w:space="4"/>
        </w:pBdr>
        <w:spacing w:after="160" w:before="360"/>
      </w:pPr>
      <w:r>
        <w:rPr>
          <w:b/>
          <w:bCs/>
          <w:color w:val="1F3A5F"/>
        </w:rPr>
        <w:t xml:space="preserve">3. Style &amp; Structure — Hold for Review</w:t>
      </w:r>
    </w:p>
    <w:p>
      <w:pPr>
        <w:spacing w:after="160"/>
      </w:pPr>
      <w:r>
        <w:rPr>
          <w:i/>
          <w:iCs/>
          <w:color w:val="1A1A1A"/>
          <w:sz w:val="20"/>
          <w:szCs w:val="20"/>
        </w:rPr>
        <w:t xml:space="preserve">Editorial and voice calls — worth weighing against your own intentions for the book rather than acting on immediately.</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500"/>
        <w:gridCol w:w="5426"/>
        <w:gridCol w:w="2000"/>
        <w:gridCol w:w="1600"/>
      </w:tblGrid>
      <w:tr>
        <w:trPr>
          <w:cantSplit/>
          <w:tblHeader/>
        </w:trPr>
        <w:tc>
          <w:tcPr>
            <w:tcW w:type="dxa" w:w="5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w:t>
            </w:r>
          </w:p>
        </w:tc>
        <w:tc>
          <w:tcPr>
            <w:tcW w:type="dxa" w:w="5426"/>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Item</w:t>
            </w:r>
          </w:p>
        </w:tc>
        <w:tc>
          <w:tcPr>
            <w:tcW w:type="dxa" w:w="20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Reviewer</w:t>
            </w:r>
          </w:p>
        </w:tc>
        <w:tc>
          <w:tcPr>
            <w:tcW w:type="dxa" w:w="1600"/>
            <w:tcBorders>
              <w:top w:val="single" w:color="BFBFBF" w:sz="2"/>
              <w:left w:val="single" w:color="BFBFBF" w:sz="2"/>
              <w:bottom w:val="single" w:color="BFBFBF" w:sz="2"/>
              <w:right w:val="single" w:color="BFBFBF" w:sz="2"/>
            </w:tcBorders>
            <w:shd w:fill="1F3A5F" w:val="clear"/>
            <w:tcMar>
              <w:top w:type="dxa" w:w="100"/>
              <w:left w:type="dxa" w:w="120"/>
              <w:bottom w:type="dxa" w:w="100"/>
              <w:right w:type="dxa" w:w="120"/>
            </w:tcMar>
          </w:tcPr>
          <w:p>
            <w:r>
              <w:rPr>
                <w:b/>
                <w:bCs/>
                <w:color w:val="FFFFFF"/>
                <w:sz w:val="19"/>
                <w:szCs w:val="19"/>
              </w:rPr>
              <w:t xml:space="preserve">Status</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1</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The “Why I wrote it” and “Who this book is for” sections feel lengthy to Sara; she thinks they could be condensed without losing anything important.</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2</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In “How the book is organised”, consider noting each Part’s relative size/scope (e.g. “the heart of the book, in three chapters”) so readers can calibrate expectations before starting.</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3</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Part 5 reads as structurally uneven — some chapters carry more supplementary detail than others. Worth reconsidering the structure.</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4</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Median vs mean: the case for the median is statistically sound, but many stakeholders won’t know what a median is and may not be receptive to it. Consider acknowledging that the median is often more useful to the analyst than to the audience. Sara’s own practice: publish the mean, address outliers explicitly in the narrative (recalculate without them, or show the percentage achieving a target).</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5</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The “why the difference matters” example would land better if the mean value were actually stated.</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6</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The promotion statistic’s binary 0/1 framing feels abstract without a timeframe attached (e.g. does a 1 capture a promotion from 18 years ago for someone who joined 20 years ago?). Sara notes promotion data isn’t usually handled this way in practice.</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7</w:t>
            </w:r>
          </w:p>
        </w:tc>
        <w:tc>
          <w:tcPr>
            <w:tcW w:type="dxa" w:w="5426"/>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Performance ratings are often subjective in real-world settings unless based on specific, consistently applied, measurable criteria — worth acknowledging that limitation.</w:t>
            </w:r>
          </w:p>
        </w:tc>
        <w:tc>
          <w:tcPr>
            <w:tcW w:type="dxa" w:w="20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tcMar>
              <w:top w:type="dxa" w:w="100"/>
              <w:left w:type="dxa" w:w="120"/>
              <w:bottom w:type="dxa" w:w="100"/>
              <w:right w:type="dxa" w:w="120"/>
            </w:tcMar>
          </w:tcPr>
          <w:p>
            <w:r>
              <w:rPr>
                <w:b w:val="false"/>
                <w:bCs w:val="false"/>
                <w:i w:val="false"/>
                <w:iCs w:val="false"/>
                <w:sz w:val="19"/>
                <w:szCs w:val="19"/>
              </w:rPr>
              <w:t xml:space="preserve">Open</w:t>
            </w:r>
          </w:p>
        </w:tc>
      </w:tr>
      <w:tr>
        <w:trPr>
          <w:cantSplit/>
        </w:trPr>
        <w:tc>
          <w:tcPr>
            <w:tcW w:type="dxa" w:w="5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8</w:t>
            </w:r>
          </w:p>
        </w:tc>
        <w:tc>
          <w:tcPr>
            <w:tcW w:type="dxa" w:w="5426"/>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Pushback on “a request for historical data is usually a question about the future” — in Sara’s experience the motivation is more often establishing a baseline (where things stand, to decide whether to act, celebrate, or leave alone), which isn’t quite the same as future-orientation.</w:t>
            </w:r>
          </w:p>
        </w:tc>
        <w:tc>
          <w:tcPr>
            <w:tcW w:type="dxa" w:w="20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Sara Ridley</w:t>
            </w:r>
          </w:p>
        </w:tc>
        <w:tc>
          <w:tcPr>
            <w:tcW w:type="dxa" w:w="1600"/>
            <w:tcBorders>
              <w:top w:val="single" w:color="BFBFBF" w:sz="2"/>
              <w:left w:val="single" w:color="BFBFBF" w:sz="2"/>
              <w:bottom w:val="single" w:color="BFBFBF" w:sz="2"/>
              <w:right w:val="single" w:color="BFBFBF" w:sz="2"/>
            </w:tcBorders>
            <w:shd w:fill="F5F7FA" w:val="clear"/>
            <w:tcMar>
              <w:top w:type="dxa" w:w="100"/>
              <w:left w:type="dxa" w:w="120"/>
              <w:bottom w:type="dxa" w:w="100"/>
              <w:right w:type="dxa" w:w="120"/>
            </w:tcMar>
          </w:tcPr>
          <w:p>
            <w:r>
              <w:rPr>
                <w:b w:val="false"/>
                <w:bCs w:val="false"/>
                <w:i w:val="false"/>
                <w:iCs w:val="false"/>
                <w:sz w:val="19"/>
                <w:szCs w:val="19"/>
              </w:rPr>
              <w:t xml:space="preserve">Open</w:t>
            </w:r>
          </w:p>
        </w:tc>
      </w:tr>
    </w:tbl>
    <w:p>
      <w:pPr>
        <w:pStyle w:val="Heading1"/>
        <w:pBdr>
          <w:bottom w:val="single" w:color="1F3A5F" w:sz="6" w:space="4"/>
        </w:pBdr>
        <w:spacing w:after="160" w:before="360"/>
      </w:pPr>
      <w:r>
        <w:rPr>
          <w:b/>
          <w:bCs/>
          <w:color w:val="1F3A5F"/>
        </w:rPr>
        <w:t xml:space="preserve">What’s Working</w:t>
      </w:r>
    </w:p>
    <w:p>
      <w:pPr>
        <w:spacing w:after="160"/>
      </w:pPr>
      <w:r>
        <w:rPr>
          <w:i w:val="false"/>
          <w:iCs w:val="false"/>
          <w:color w:val="1A1A1A"/>
          <w:sz w:val="20"/>
          <w:szCs w:val="20"/>
        </w:rPr>
        <w:t xml:space="preserve">Context to keep, not action items.</w:t>
      </w:r>
    </w:p>
    <w:p>
      <w:pPr>
        <w:pStyle w:val="ListParagraph"/>
        <w:numPr>
          <w:ilvl w:val="0"/>
          <w:numId w:val="2"/>
        </w:numPr>
        <w:spacing w:after="80"/>
      </w:pPr>
      <w:r>
        <w:rPr>
          <w:color w:val="1A1A1A"/>
          <w:sz w:val="20"/>
          <w:szCs w:val="20"/>
        </w:rPr>
        <w:t xml:space="preserve">The airplane example as an opening hook — compelling, and makes the book’s subject clear immediately.</w:t>
      </w:r>
      <w:r>
        <w:rPr>
          <w:i/>
          <w:iCs/>
          <w:color w:val="555555"/>
          <w:sz w:val="20"/>
          <w:szCs w:val="20"/>
        </w:rPr>
        <w:t xml:space="preserve">  (Sara Ridley)</w:t>
      </w:r>
    </w:p>
    <w:p>
      <w:pPr>
        <w:pStyle w:val="ListParagraph"/>
        <w:numPr>
          <w:ilvl w:val="0"/>
          <w:numId w:val="2"/>
        </w:numPr>
        <w:spacing w:after="80"/>
      </w:pPr>
      <w:r>
        <w:rPr>
          <w:color w:val="1A1A1A"/>
          <w:sz w:val="20"/>
          <w:szCs w:val="20"/>
        </w:rPr>
        <w:t xml:space="preserve">The logical organisation of the book — smooths the reader’s journey before they make it.</w:t>
      </w:r>
      <w:r>
        <w:rPr>
          <w:i/>
          <w:iCs/>
          <w:color w:val="555555"/>
          <w:sz w:val="20"/>
          <w:szCs w:val="20"/>
        </w:rPr>
        <w:t xml:space="preserve">  (Sara Ridley)</w:t>
      </w:r>
    </w:p>
    <w:p>
      <w:pPr>
        <w:pStyle w:val="ListParagraph"/>
        <w:numPr>
          <w:ilvl w:val="0"/>
          <w:numId w:val="2"/>
        </w:numPr>
        <w:spacing w:after="80"/>
      </w:pPr>
      <w:r>
        <w:rPr>
          <w:color w:val="1A1A1A"/>
          <w:sz w:val="20"/>
          <w:szCs w:val="20"/>
        </w:rPr>
        <w:t xml:space="preserve">The “why people analytics” section — resonated personally and built excitement to keep reading.</w:t>
      </w:r>
      <w:r>
        <w:rPr>
          <w:i/>
          <w:iCs/>
          <w:color w:val="555555"/>
          <w:sz w:val="20"/>
          <w:szCs w:val="20"/>
        </w:rPr>
        <w:t xml:space="preserve">  (Sara Ridley)</w:t>
      </w:r>
    </w:p>
    <w:p>
      <w:pPr>
        <w:pStyle w:val="ListParagraph"/>
        <w:numPr>
          <w:ilvl w:val="0"/>
          <w:numId w:val="2"/>
        </w:numPr>
        <w:spacing w:after="80"/>
      </w:pPr>
      <w:r>
        <w:rPr>
          <w:color w:val="1A1A1A"/>
          <w:sz w:val="20"/>
          <w:szCs w:val="20"/>
        </w:rPr>
        <w:t xml:space="preserve">“People Are Not Good at This” — very relatable, well explained, ties in well with the book’s broader message.</w:t>
      </w:r>
      <w:r>
        <w:rPr>
          <w:i/>
          <w:iCs/>
          <w:color w:val="555555"/>
          <w:sz w:val="20"/>
          <w:szCs w:val="20"/>
        </w:rPr>
        <w:t xml:space="preserve">  (Sara Ridley)</w:t>
      </w:r>
    </w:p>
    <w:p>
      <w:pPr>
        <w:pStyle w:val="ListParagraph"/>
        <w:numPr>
          <w:ilvl w:val="0"/>
          <w:numId w:val="2"/>
        </w:numPr>
        <w:spacing w:after="80"/>
      </w:pPr>
      <w:r>
        <w:rPr>
          <w:color w:val="1A1A1A"/>
          <w:sz w:val="20"/>
          <w:szCs w:val="20"/>
        </w:rPr>
        <w:t xml:space="preserve">“Thinking in Chances” and “Distributions, Sampling and the Idea of a Model” sections — both excellent, no suggestions at this stage.</w:t>
      </w:r>
      <w:r>
        <w:rPr>
          <w:i/>
          <w:iCs/>
          <w:color w:val="555555"/>
          <w:sz w:val="20"/>
          <w:szCs w:val="20"/>
        </w:rPr>
        <w:t xml:space="preserve">  (Sara Ridley)</w:t>
      </w:r>
    </w:p>
    <w:p>
      <w:pPr>
        <w:pStyle w:val="Heading1"/>
        <w:pBdr>
          <w:bottom w:val="single" w:color="1F3A5F" w:sz="6" w:space="4"/>
        </w:pBdr>
        <w:spacing w:after="160" w:before="360"/>
      </w:pPr>
      <w:r>
        <w:rPr>
          <w:b/>
          <w:bCs/>
          <w:color w:val="1F3A5F"/>
        </w:rPr>
        <w:t xml:space="preserve">Raw Feedback Log</w:t>
      </w:r>
    </w:p>
    <w:p>
      <w:pPr>
        <w:spacing w:after="160"/>
      </w:pPr>
      <w:r>
        <w:rPr>
          <w:i w:val="false"/>
          <w:iCs w:val="false"/>
          <w:color w:val="1A1A1A"/>
          <w:sz w:val="20"/>
          <w:szCs w:val="20"/>
        </w:rPr>
        <w:t xml:space="preserve">Original wording, kept for reference. Add new entries below as more feedback arrives.</w:t>
      </w:r>
    </w:p>
    <w:p>
      <w:pPr>
        <w:pStyle w:val="Heading2"/>
        <w:spacing w:after="100" w:before="240"/>
      </w:pPr>
      <w:r>
        <w:rPr>
          <w:b/>
          <w:bCs/>
          <w:color w:val="1F3A5F"/>
        </w:rPr>
        <w:t xml:space="preserve">Sara Ridley — Welcome section</w:t>
      </w:r>
    </w:p>
    <w:p>
      <w:pPr>
        <w:spacing w:after="160"/>
      </w:pPr>
      <w:r>
        <w:rPr>
          <w:i/>
          <w:iCs/>
          <w:color w:val="1A1A1A"/>
          <w:sz w:val="20"/>
          <w:szCs w:val="20"/>
        </w:rPr>
        <w:t xml:space="preserve">Scope: read on mobile; welcome section only. Overall reaction: very positive, keen to continue.</w:t>
      </w:r>
    </w:p>
    <w:p>
      <w:pPr>
        <w:spacing w:after="100"/>
        <w:ind w:left="431"/>
      </w:pPr>
      <w:r>
        <w:rPr>
          <w:i/>
          <w:iCs/>
          <w:color w:val="333333"/>
          <w:sz w:val="19"/>
          <w:szCs w:val="19"/>
        </w:rPr>
        <w:t xml:space="preserve">“Thanks so much for sending this through – I’ve just read the welcome section on my phone and thought it would be worthwhile sending over my thoughts at this point before I get carried away with the rest of the book! Firstly, it’s definitely piqued my interest and I plan to start reading the rest tomorrow from a larger screen.”</w:t>
      </w:r>
    </w:p>
    <w:p>
      <w:pPr>
        <w:spacing w:after="100"/>
        <w:ind w:left="431"/>
      </w:pPr>
      <w:r>
        <w:rPr>
          <w:i/>
          <w:iCs/>
          <w:color w:val="333333"/>
          <w:sz w:val="19"/>
          <w:szCs w:val="19"/>
        </w:rPr>
        <w:t xml:space="preserve">“I’m not sure of exactly what you are looking for from people reviewing and the reference to section 24.8.1 was a little opaque to me – is that in chapter 24? And do I have to get that far before I send any feedback?”</w:t>
      </w:r>
    </w:p>
    <w:p>
      <w:pPr>
        <w:spacing w:after="100"/>
        <w:ind w:left="431"/>
      </w:pPr>
      <w:r>
        <w:rPr>
          <w:i/>
          <w:iCs/>
          <w:color w:val="333333"/>
          <w:sz w:val="19"/>
          <w:szCs w:val="19"/>
        </w:rPr>
        <w:t xml:space="preserve">Good: the airplane example as a hook; the logical organisation of the book; the “why” for people analytics.</w:t>
      </w:r>
    </w:p>
    <w:p>
      <w:pPr>
        <w:spacing w:after="100"/>
        <w:ind w:left="431"/>
      </w:pPr>
      <w:r>
        <w:rPr>
          <w:i/>
          <w:iCs/>
          <w:color w:val="333333"/>
          <w:sz w:val="19"/>
          <w:szCs w:val="19"/>
        </w:rPr>
        <w:t xml:space="preserve">Areas to improve: “Why I wrote it” and “Who this book is for” are a bit lengthy and could be condensed; the book assumes readers know “Bayesian” and “SEM”, and “I/O” should be written in full — “I’m not a fan of acronyms as you can probably tell!”; every box has explanatory text except the “note” box, which was confusing; the “How the book is organised” section would benefit from noting each Part’s relative size; Part 5 seems chunky, with some chapters having extra detail and others not.</w:t>
      </w:r>
    </w:p>
    <w:p>
      <w:pPr>
        <w:pStyle w:val="Heading2"/>
        <w:spacing w:after="100" w:before="240"/>
      </w:pPr>
      <w:r>
        <w:rPr>
          <w:b/>
          <w:bCs/>
          <w:color w:val="1F3A5F"/>
        </w:rPr>
        <w:t xml:space="preserve">Sara Ridley — Foundations section</w:t>
      </w:r>
    </w:p>
    <w:p>
      <w:pPr>
        <w:spacing w:after="160"/>
      </w:pPr>
      <w:r>
        <w:rPr>
          <w:i/>
          <w:iCs/>
          <w:color w:val="1A1A1A"/>
          <w:sz w:val="20"/>
          <w:szCs w:val="20"/>
        </w:rPr>
        <w:t xml:space="preserve">Scope: Foundations section — Welcome-section signposting, ‘Meeting your data’, ‘Thinking in Chances’, ‘Distributions, Sampling and the Idea of a Model’. Overall reaction: very positive, continuing to Bayesian Core next.</w:t>
      </w:r>
    </w:p>
    <w:p>
      <w:pPr>
        <w:spacing w:after="100"/>
        <w:ind w:left="431"/>
      </w:pPr>
      <w:r>
        <w:rPr>
          <w:i/>
          <w:iCs/>
          <w:color w:val="333333"/>
          <w:sz w:val="19"/>
          <w:szCs w:val="19"/>
        </w:rPr>
        <w:t xml:space="preserve">“I have now read the next section (Foundations) and have some more observations which I hope you find useful.”</w:t>
      </w:r>
    </w:p>
    <w:p>
      <w:pPr>
        <w:spacing w:after="100"/>
        <w:ind w:left="431"/>
      </w:pPr>
      <w:r>
        <w:rPr>
          <w:i/>
          <w:iCs/>
          <w:color w:val="333333"/>
          <w:sz w:val="19"/>
          <w:szCs w:val="19"/>
        </w:rPr>
        <w:t xml:space="preserve">General observations: “Although the book isn’t about learning R, I think many readers, particularly those who are logically minded or have used similar tools, would benefit from being pointed towards an R environment. I did some googling and found Posit Cloud, which offers a free browser-based setup requiring no installation. I’d suggest a brief signpost to something like this sits in the Welcome section, alongside short explanations of what tidyverse and brms actually are — both are mentioned without much context for the uninitiated.”</w:t>
      </w:r>
    </w:p>
    <w:p>
      <w:pPr>
        <w:spacing w:after="100"/>
        <w:ind w:left="431"/>
      </w:pPr>
      <w:r>
        <w:rPr>
          <w:i/>
          <w:iCs/>
          <w:color w:val="333333"/>
          <w:sz w:val="19"/>
          <w:szCs w:val="19"/>
        </w:rPr>
        <w:t xml:space="preserve">“Related to this: it would help to clarify upfront who the Foundations section is aimed at. Is it for readers new to statistics, new to R, or both? And if R features in later chapters, is there value in the reader getting hands-on with it now? As someone who isn’t new to statistics but hasn’t used R before, I wasn’t sure how much I should be engaging with the code versus reading past it.”</w:t>
      </w:r>
    </w:p>
    <w:p>
      <w:pPr>
        <w:spacing w:after="100"/>
        <w:ind w:left="431"/>
      </w:pPr>
      <w:r>
        <w:rPr>
          <w:i/>
          <w:iCs/>
          <w:color w:val="333333"/>
          <w:sz w:val="19"/>
          <w:szCs w:val="19"/>
        </w:rPr>
        <w:t xml:space="preserve">‘Meeting your data’ section: “This is a strong section — well written, well structured, and mostly very well explained.” A few specific points:</w:t>
      </w:r>
    </w:p>
    <w:p>
      <w:pPr>
        <w:spacing w:after="100"/>
        <w:ind w:left="431"/>
      </w:pPr>
      <w:r>
        <w:rPr>
          <w:i/>
          <w:iCs/>
          <w:color w:val="333333"/>
          <w:sz w:val="19"/>
          <w:szCs w:val="19"/>
        </w:rPr>
        <w:t xml:space="preserve">“Median vs mean. The case for using the median is statistically sound, but in practice many stakeholders won’t know what a median is and won’t be receptive to it. It might be worth acknowledging that the median is often more useful to the analyst than to the audience of the analysis. For what it’s worth, my own approach is to publish the mean but address outliers explicitly in the narrative — either recalculating without them or showing the percentage achieving a target.”</w:t>
      </w:r>
    </w:p>
    <w:p>
      <w:pPr>
        <w:spacing w:after="100"/>
        <w:ind w:left="431"/>
      </w:pPr>
      <w:r>
        <w:rPr>
          <w:i/>
          <w:iCs/>
          <w:color w:val="333333"/>
          <w:sz w:val="19"/>
          <w:szCs w:val="19"/>
        </w:rPr>
        <w:t xml:space="preserve">“‘Why the difference matters’ example. Good, but I think it would land better if the mean value were actually stated.”</w:t>
      </w:r>
    </w:p>
    <w:p>
      <w:pPr>
        <w:spacing w:after="100"/>
        <w:ind w:left="431"/>
      </w:pPr>
      <w:r>
        <w:rPr>
          <w:i/>
          <w:iCs/>
          <w:color w:val="333333"/>
          <w:sz w:val="19"/>
          <w:szCs w:val="19"/>
        </w:rPr>
        <w:t xml:space="preserve">“na.rm = TRUE. This was introduced without explicit explanation of what it does (excludes missing values) which I found a bit confusing on first read.”</w:t>
      </w:r>
    </w:p>
    <w:p>
      <w:pPr>
        <w:spacing w:after="100"/>
        <w:ind w:left="431"/>
      </w:pPr>
      <w:r>
        <w:rPr>
          <w:i/>
          <w:iCs/>
          <w:color w:val="333333"/>
          <w:sz w:val="19"/>
          <w:szCs w:val="19"/>
        </w:rPr>
        <w:t xml:space="preserve">“The promotion statistic. The binary 0/1 framing felt a little abstract without a timeframe attached. If someone joined 20 years ago, does a 1 capture a promotion from 18 years ago? Without that context it’s difficult to relate to the scenario, and in my experience promotion data isn’t handled this way in practice.”</w:t>
      </w:r>
    </w:p>
    <w:p>
      <w:pPr>
        <w:spacing w:after="100"/>
        <w:ind w:left="431"/>
      </w:pPr>
      <w:r>
        <w:rPr>
          <w:i/>
          <w:iCs/>
          <w:color w:val="333333"/>
          <w:sz w:val="19"/>
          <w:szCs w:val="19"/>
        </w:rPr>
        <w:t xml:space="preserve">“Performance ratings. These tend to be subjective in real-world settings unless they’re based on specific, consistently applied measurable criteria and I think it’s worth acknowledging that limitation.”</w:t>
      </w:r>
    </w:p>
    <w:p>
      <w:pPr>
        <w:spacing w:after="100"/>
        <w:ind w:left="431"/>
      </w:pPr>
      <w:r>
        <w:rPr>
          <w:i/>
          <w:iCs/>
          <w:color w:val="333333"/>
          <w:sz w:val="19"/>
          <w:szCs w:val="19"/>
        </w:rPr>
        <w:t xml:space="preserve">“‘A request for historical data is usually a question about the future.’ I’d push back on this one. In my experience, the motivation is more often about establishing a baseline; understanding where things stand so a decision can be made about whether to act, celebrate, or leave well alone. That’s not quite the same as being oriented towards the future.”</w:t>
      </w:r>
    </w:p>
    <w:p>
      <w:pPr>
        <w:spacing w:after="100"/>
        <w:ind w:left="431"/>
      </w:pPr>
      <w:r>
        <w:rPr>
          <w:i/>
          <w:iCs/>
          <w:color w:val="333333"/>
          <w:sz w:val="19"/>
          <w:szCs w:val="19"/>
        </w:rPr>
        <w:t xml:space="preserve">“‘People Are Not Good at This’ — Very relatable and very well explained and ties in well with the broader message of the book.”</w:t>
      </w:r>
    </w:p>
    <w:p>
      <w:pPr>
        <w:spacing w:after="100"/>
        <w:ind w:left="431"/>
      </w:pPr>
      <w:r>
        <w:rPr>
          <w:i/>
          <w:iCs/>
          <w:color w:val="333333"/>
          <w:sz w:val="19"/>
          <w:szCs w:val="19"/>
        </w:rPr>
        <w:t xml:space="preserve">“‘Thinking in Chances’ and ‘Distributions, Sampling and the Idea of a Model’ sections — Both excellent. No suggestions at this stage.” — “Bayesian Core tomorrow!”</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2026-08-18T12:43:54.044Z</dcterms:created>
  <dcterms:modified xsi:type="dcterms:W3CDTF">2026-08-18T12:43:54.045Z</dcterms:modified>
</cp:coreProperties>
</file>

<file path=docProps/custom.xml><?xml version="1.0" encoding="utf-8"?>
<Properties xmlns="http://schemas.openxmlformats.org/officeDocument/2006/custom-properties" xmlns:vt="http://schemas.openxmlformats.org/officeDocument/2006/docPropsVTypes"/>
</file>