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tblLayout w:type="fixed"/>
        <w:tblCellMar>
          <w:left w:w="0" w:type="dxa"/>
          <w:right w:w="60" w:type="dxa"/>
        </w:tblCellMar>
        <w:tblLook w:val="04A0" w:firstRow="1" w:lastRow="0" w:firstColumn="1" w:lastColumn="0" w:noHBand="0" w:noVBand="1"/>
      </w:tblPr>
      <w:tblGrid>
        <w:gridCol w:w="6300"/>
        <w:gridCol w:w="3348"/>
      </w:tblGrid>
      <w:tr w:rsidR="005C1FA0" w14:paraId="01D63588" w14:textId="77777777"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</w:tcPr>
          <w:p w14:paraId="51616B69" w14:textId="77777777" w:rsidR="005C1FA0" w:rsidRDefault="00824CE9">
            <w:pPr>
              <w:spacing w:after="40"/>
            </w:pPr>
            <w:r>
              <w:rPr>
                <w:b/>
                <w:color w:val="1F3A5F"/>
                <w:sz w:val="32"/>
              </w:rPr>
              <w:t>JPMorgan Chase &amp; Co. (NYSE: JPM)</w:t>
            </w:r>
          </w:p>
          <w:p w14:paraId="21627942" w14:textId="77777777" w:rsidR="005C1FA0" w:rsidRDefault="00824CE9">
            <w:pPr>
              <w:spacing w:after="160"/>
            </w:pPr>
            <w:r>
              <w:rPr>
                <w:b/>
                <w:i/>
                <w:sz w:val="24"/>
              </w:rPr>
              <w:t>Positioned to Compound in a Higher-for-Longer Economy</w:t>
            </w:r>
          </w:p>
          <w:p w14:paraId="59D291D9" w14:textId="77777777" w:rsidR="005C1FA0" w:rsidRDefault="00824CE9">
            <w:pPr>
              <w:spacing w:after="80"/>
            </w:pPr>
            <w:r>
              <w:rPr>
                <w:b/>
                <w:color w:val="1F3A5F"/>
                <w:sz w:val="24"/>
              </w:rPr>
              <w:t>Investment Thesis</w:t>
            </w:r>
          </w:p>
          <w:p w14:paraId="7E32067F" w14:textId="77777777" w:rsidR="005C1FA0" w:rsidRDefault="00824CE9">
            <w:pPr>
              <w:spacing w:after="140"/>
              <w:jc w:val="both"/>
            </w:pPr>
            <w:r>
              <w:t>We recommend purchase of JPMorgan Chase at the May 29, 2026 close of $299.31, with a 12-month price target of $342 derived from our dividend growth model — approximately 14.1% price upside and a total expected return near 14% including the ~2.1% forward dividend yield.</w:t>
            </w:r>
          </w:p>
          <w:p w14:paraId="60304014" w14:textId="77777777" w:rsidR="005C1FA0" w:rsidRDefault="00824CE9">
            <w:pPr>
              <w:spacing w:after="140"/>
              <w:jc w:val="both"/>
            </w:pPr>
            <w:r>
              <w:t>JPM is the most diversified earnings engine in U.S. banking, and our macro outlook favors exactly that profile. ACCM’s economic model calls for nominal GDP growth of ~5.2%, inflation of ~3.4%, and a 10-year Treasury near 4.9% — a higher-for-longer scenario in which loan demand, card spend, deposit balances, payments volumes, and net interest income all remain well supported. First-quarter 2026 results confirmed the franchise’s momentum: net income of $16.5B (EPS $5.94, +17% y/y), record Markets revenue of $11.6B, and investment banking fees up 28%.</w:t>
            </w:r>
            <w:r/>
          </w:p>
          <w:p w14:paraId="3617288A" w14:textId="77777777" w:rsidR="005C1FA0" w:rsidRDefault="00824CE9">
            <w:pPr>
              <w:spacing w:after="140"/>
              <w:jc w:val="both"/>
            </w:pPr>
            <w:r>
              <w:t>JPM is also a prime indirect beneficiary of the AI and data-center buildout, financing the capex cycle through corporate lending, bond underwriting, project finance, advisory, treasury services, and risk management — fee streams that grow with capital formation regardless of which AI platform wins.</w:t>
            </w:r>
          </w:p>
          <w:p w14:paraId="317B17D7" w14:textId="77777777" w:rsidR="005C1FA0" w:rsidRDefault="00824CE9">
            <w:pPr>
              <w:spacing w:after="140"/>
              <w:jc w:val="both"/>
            </w:pPr>
            <w:r>
              <w:t>The stock trades ~11% below its January 52-week high of $334.61 after a pullback driven by 2026 expense guidance and a modest NII guide-down to ~$103B. At 13.4x FY2026E EPS with a ~17% ROE, a fortress balance sheet, and rising capital returns, we view the reset as an attractive entry point. Rating: BUY.</w:t>
            </w:r>
          </w:p>
          <w:p w14:paraId="5A4E678C" w14:textId="77777777" w:rsidR="005C1FA0" w:rsidRDefault="00824CE9">
            <w:pPr>
              <w:spacing w:after="60"/>
            </w:pPr>
            <w:r>
              <w:rPr>
                <w:b/>
                <w:color w:val="1F3A5F"/>
              </w:rPr>
              <w:t>Price Performance (TTM)</w:t>
            </w:r>
          </w:p>
          <w:p w14:paraId="0CE75AE7" w14:textId="77777777" w:rsidR="005C1FA0" w:rsidRDefault="00824CE9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0111FB11" wp14:editId="29D9721A">
                  <wp:extent cx="3840480" cy="142159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pm_tt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421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6F8C2" w14:textId="77777777" w:rsidR="005C1FA0" w:rsidRDefault="00824CE9">
            <w:r>
              <w:rPr>
                <w:i/>
                <w:sz w:val="15"/>
              </w:rPr>
              <w:t>Source: Yahoo Finance daily closes, 5/23/25–5/29/26.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</w:tcPr>
          <w:p w14:paraId="14D1DDBB" w14:textId="77777777" w:rsidR="005C1FA0" w:rsidRDefault="00824CE9">
            <w:pPr>
              <w:spacing w:after="40"/>
            </w:pPr>
            <w:r>
              <w:rPr>
                <w:sz w:val="19"/>
              </w:rPr>
              <w:t>Date of Coverage: 6/1/2026</w:t>
            </w:r>
          </w:p>
          <w:p w14:paraId="52340BB3" w14:textId="77777777" w:rsidR="005C1FA0" w:rsidRDefault="00824CE9">
            <w:pPr>
              <w:spacing w:after="160"/>
            </w:pPr>
            <w:r>
              <w:rPr>
                <w:sz w:val="19"/>
              </w:rPr>
              <w:t>Analyst: Andrew Pasten</w:t>
            </w:r>
          </w:p>
          <w:tbl>
            <w:tblPr>
              <w:tblW w:w="3000" w:type="dxa"/>
              <w:tblLayout w:type="fixed"/>
              <w:tblCellMar>
                <w:top w:w="30" w:type="dxa"/>
                <w:left w:w="80" w:type="dxa"/>
                <w:bottom w:w="3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1900"/>
              <w:gridCol w:w="1100"/>
            </w:tblGrid>
            <w:tr w:rsidR="005C1FA0" w14:paraId="09E440C3" w14:textId="77777777">
              <w:tc>
                <w:tcPr>
                  <w:tcW w:w="1100" w:type="dxa"/>
                  <w:gridSpan w:val="2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1F3A5F"/>
                </w:tcPr>
                <w:p w14:paraId="31B1B7C8" w14:textId="77777777" w:rsidR="005C1FA0" w:rsidRDefault="00824CE9">
                  <w:pPr>
                    <w:spacing w:after="0"/>
                    <w:jc w:val="center"/>
                  </w:pPr>
                  <w:r>
                    <w:rPr>
                      <w:b/>
                      <w:color w:val="FFFFFF"/>
                    </w:rPr>
                    <w:t>Key Statistics</w:t>
                  </w:r>
                </w:p>
              </w:tc>
            </w:tr>
            <w:tr w:rsidR="005C1FA0" w14:paraId="072DB49D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149528CC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Rating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394AD72D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BUY</w:t>
                  </w:r>
                </w:p>
              </w:tc>
            </w:tr>
            <w:tr w:rsidR="005C1FA0" w14:paraId="5D492F64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7F76A7A6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Sector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060A897D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Financials – Banks</w:t>
                  </w:r>
                </w:p>
              </w:tc>
            </w:tr>
            <w:tr w:rsidR="005C1FA0" w14:paraId="7B5ACADD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5BABE4E5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Ticker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6C790FAA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JPM</w:t>
                  </w:r>
                </w:p>
              </w:tc>
            </w:tr>
            <w:tr w:rsidR="005C1FA0" w14:paraId="42366004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652585E1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Purchase Price (5/29/26)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6B8E03D8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$299.31</w:t>
                  </w:r>
                </w:p>
              </w:tc>
            </w:tr>
            <w:tr w:rsidR="005C1FA0" w14:paraId="5D563124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3B0E5EAF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12-Month Price Target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31532243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$335</w:t>
                  </w:r>
                </w:p>
              </w:tc>
            </w:tr>
            <w:tr w:rsidR="005C1FA0" w14:paraId="337BDF38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4EA812E3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Upside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20E95C05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+12.1%</w:t>
                  </w:r>
                </w:p>
              </w:tc>
            </w:tr>
            <w:tr w:rsidR="005C1FA0" w14:paraId="298FDFDD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322F320C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Market Cap (mm)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579FD3DE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$807,021</w:t>
                  </w:r>
                </w:p>
              </w:tc>
            </w:tr>
            <w:tr w:rsidR="005C1FA0" w14:paraId="233B066B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0F8BF090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52-Week High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06987E89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$334.61</w:t>
                  </w:r>
                </w:p>
              </w:tc>
            </w:tr>
            <w:tr w:rsidR="005C1FA0" w14:paraId="7DCC17D1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2A71F6A3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52-Week Low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710F94CB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$260.71</w:t>
                  </w:r>
                </w:p>
              </w:tc>
            </w:tr>
            <w:tr w:rsidR="005C1FA0" w14:paraId="02356BD2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19BAB8AB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P/E (FY26E)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2B4B48D2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13.4x</w:t>
                  </w:r>
                </w:p>
              </w:tc>
            </w:tr>
            <w:tr w:rsidR="005C1FA0" w14:paraId="67E5A684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56760E5C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P/E (FY25, Adj.)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0A11CCAC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14.9x</w:t>
                  </w:r>
                </w:p>
              </w:tc>
            </w:tr>
            <w:tr w:rsidR="005C1FA0" w14:paraId="3574965E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70321375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Dividend Yield (FY26E)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4C2152DC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2.1%</w:t>
                  </w:r>
                </w:p>
              </w:tc>
            </w:tr>
            <w:tr w:rsidR="005C1FA0" w14:paraId="13670FD0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54B962D2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FY25 ROE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671107D9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16.7%</w:t>
                  </w:r>
                </w:p>
              </w:tc>
            </w:tr>
            <w:tr w:rsidR="005C1FA0" w14:paraId="553DA351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73D65B54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Book Value / Share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shd w:val="clear" w:color="auto" w:fill="F2F2F2"/>
                  <w:vAlign w:val="center"/>
                </w:tcPr>
                <w:p w14:paraId="017A8B46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$126.99</w:t>
                  </w:r>
                </w:p>
              </w:tc>
            </w:tr>
            <w:tr w:rsidR="005C1FA0" w14:paraId="65AA1547" w14:textId="77777777">
              <w:tc>
                <w:tcPr>
                  <w:tcW w:w="19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38AF3EAF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Beta</w:t>
                  </w:r>
                </w:p>
              </w:tc>
              <w:tc>
                <w:tcPr>
                  <w:tcW w:w="1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  <w:vAlign w:val="center"/>
                </w:tcPr>
                <w:p w14:paraId="36047FDD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0.99</w:t>
                  </w:r>
                </w:p>
              </w:tc>
            </w:tr>
          </w:tbl>
          <w:p w14:paraId="48FF3662" w14:textId="77777777" w:rsidR="005C1FA0" w:rsidRDefault="005C1FA0"/>
        </w:tc>
      </w:tr>
    </w:tbl>
    <w:p w14:paraId="11D0536A" w14:textId="77777777" w:rsidR="005C1FA0" w:rsidRDefault="00824CE9">
      <w:r>
        <w:br w:type="page"/>
      </w:r>
    </w:p>
    <w:p w14:paraId="001CB50C" w14:textId="77777777" w:rsidR="005C1FA0" w:rsidRDefault="00824CE9">
      <w:pPr>
        <w:pBdr>
          <w:bottom w:val="single" w:sz="8" w:space="2" w:color="1F3A5F"/>
        </w:pBdr>
        <w:spacing w:before="200" w:after="80"/>
      </w:pPr>
      <w:r>
        <w:rPr>
          <w:b/>
          <w:color w:val="1F3A5F"/>
          <w:sz w:val="26"/>
        </w:rPr>
        <w:lastRenderedPageBreak/>
        <w:t>Company Description</w:t>
      </w:r>
    </w:p>
    <w:p w14:paraId="685A45EE" w14:textId="77777777" w:rsidR="005C1FA0" w:rsidRDefault="00824CE9">
      <w:pPr>
        <w:jc w:val="both"/>
      </w:pPr>
      <w:r>
        <w:t xml:space="preserve">JPMorgan Chase &amp; Co. is the largest U.S. bank, with $4.42 trillion in assets, $2.56 trillion in deposits, and $1.49 trillion in loans at year-end 2025, serving customers in over 100 markets. The firm operates through three reportable segments plus a Corporate segment. Consumer &amp; Community Banking (CCB) spans consumer deposits, the #1 U.S. credit card franchise ($248B of card loans), home lending, auto, and Chase branch and digital banking; in 1Q26 CCB earned $5.0B of net income at a 32% ROE. The Commercial </w:t>
      </w:r>
      <w:r>
        <w:t>&amp; Investment Bank (CIB) combines global investment banking, markets, securities services, payments, and commercial banking; it produced $9.0B of net income at a 21% ROE in 1Q26, ranking #1 in global IB fees with record Markets revenue. Asset &amp; Wealth Management (AWM) oversees $4.8 trillion of AUM across institutional, private bank, and retail channels, and grew net income 12% year-over-year in 1Q26.</w:t>
      </w:r>
    </w:p>
    <w:p w14:paraId="6A399A9E" w14:textId="77777777" w:rsidR="005C1FA0" w:rsidRDefault="00824CE9">
      <w:pPr>
        <w:jc w:val="both"/>
      </w:pPr>
      <w:r>
        <w:t>Revenue is well balanced between spread and fee businesses: of FY2025 net revenue of $182.5B, roughly $95.4B was net interest income and $87.1B noninterest income (trading, IB fees, asset management fees, card and payments fees). This mix is the core of the investment case — JPM monetizes multiple channels of nominal growth rather than relying on any single business line. The balance sheet remains a fortress: a 15.5% Tier 1 capital ratio, $25.8B loan-loss reserve (1.73% of loans), nonperforming assets of ju</w:t>
      </w:r>
      <w:r>
        <w:t>st 0.76% of loans, and book value per share of $126.99, up 9.4% year-over-year. Principal competitors include Bank of America, Citigroup, Wells Fargo, Goldman Sachs, and Morgan Stanley; JPM out-earns each of them on ROE while holding the industry’s largest deposit base.</w:t>
      </w:r>
    </w:p>
    <w:p w14:paraId="3EEDA1D9" w14:textId="77777777" w:rsidR="005C1FA0" w:rsidRDefault="00824CE9">
      <w:pPr>
        <w:pBdr>
          <w:bottom w:val="single" w:sz="8" w:space="2" w:color="1F3A5F"/>
        </w:pBdr>
        <w:spacing w:before="200" w:after="80"/>
      </w:pPr>
      <w:r>
        <w:rPr>
          <w:b/>
          <w:color w:val="1F3A5F"/>
          <w:sz w:val="26"/>
        </w:rPr>
        <w:t>Macro Backdrop &amp; Industry Overview</w:t>
      </w:r>
    </w:p>
    <w:p w14:paraId="3D66E4BD" w14:textId="77777777" w:rsidR="005C1FA0" w:rsidRDefault="00824CE9">
      <w:pPr>
        <w:jc w:val="both"/>
      </w:pPr>
      <w:r>
        <w:t>ACCM’s economic model underpins this selection. We project nominal GDP growth of approximately 5.2%, built from consumer spending growth of 5.2% (wage growth of 3.5%, ~1.0M jobs added, and a ~1.0pp drawdown in the household saving rate), business investment growth of 4.4% led by the AI and data-center capex cycle, government spending growth of 4.5%, and a narrowing trade deficit. Our inflation model — weighting labor costs (68%) and materials (32%) — yields a 3.4% inflation forecast, implying real growth of roughly 1.8 to 2.2% and unemployment contained at ~4.5%. Consistent with this, ACCM forecasts the 10-year Treasury at approximately 4.9%, above the Wall Street consensus of roughly 4.0–4.25%.</w:t>
      </w:r>
      <w:r/>
    </w:p>
    <w:p w14:paraId="2F61F782" w14:textId="77777777" w:rsidR="005C1FA0" w:rsidRDefault="00824CE9">
      <w:pPr>
        <w:jc w:val="both"/>
      </w:pPr>
      <w:r>
        <w:t>The market is migrating toward our view. The Fed has held the funds rate at 3.50–3.75% through its April 2026 meeting, with options markets pricing roughly a 30% probability of a hike by early 2027 rather than cuts. The 10-year yield ended May 2026 near 4.5% after touching 4.67% mid-month, and the 30-year pushed above 5.19% — its highest level since before the financial crisis. For large diversified banks, this higher-for-longer regime is constructive: asset yields reprice upward, deposit franchises with lo</w:t>
      </w:r>
      <w:r>
        <w:t>w-cost core funding (JPM: $2.3T of core deposits) become more valuable, and strong nominal growth supports loan volumes, card spend, and capital-markets activity. The principal industry offsets are credit normalization — charge-offs rise as rates stay high — and deposit competition, both of which favor scale players with diversified fee income over monoline and regional lenders.</w:t>
      </w:r>
    </w:p>
    <w:p w14:paraId="5C610FB1" w14:textId="77777777" w:rsidR="005C1FA0" w:rsidRDefault="00824CE9">
      <w:pPr>
        <w:spacing w:after="80"/>
        <w:jc w:val="both"/>
      </w:pPr>
      <w:r>
        <w:t>The AI infrastructure buildout is a distinct demand tailwind for wholesale banking. Hyperscalers, utilities, and data-center developers are funding hundreds of billions of dollars of capex through corporate loans, investment-grade bond issuance, project finance, and structured credit — products where JPM holds the #1 IB fee share. The 28% year-over-year growth in JPM’s 1Q26 investment banking fees and record Markets revenue are early evidence of this financing cycle monetizing.</w:t>
      </w:r>
      <w:r>
        <w:rPr>
          <w:sz w:val="21"/>
        </w:rPr>
        <w:t xml:space="preserve"> The scale is now documented rather than estimated: capital expenditure at the five largest hyperscalers — Amazon, Microsoft, Alphabet, Meta and Oracle — totaled $424.3B in calendar 2025, up 74.4% year over year, with the first quarter of 2026 running 90.8% above the prior year (company 10-K and 10-Q filings).</w:t>
      </w:r>
    </w:p>
    <w:p w14:paraId="12A3CE7F" w14:textId="77777777" w:rsidR="005C1FA0" w:rsidRDefault="00824CE9">
      <w:r>
        <w:br w:type="page"/>
      </w:r>
    </w:p>
    <w:p w14:paraId="3135A5C5" w14:textId="77777777" w:rsidR="005C1FA0" w:rsidRDefault="00824CE9">
      <w:pPr>
        <w:pBdr>
          <w:bottom w:val="single" w:sz="8" w:space="2" w:color="1F3A5F"/>
        </w:pBdr>
        <w:spacing w:before="200" w:after="80"/>
      </w:pPr>
      <w:r>
        <w:rPr>
          <w:b/>
          <w:color w:val="1F3A5F"/>
          <w:sz w:val="26"/>
        </w:rPr>
        <w:lastRenderedPageBreak/>
        <w:t>Financial Analysis</w:t>
      </w:r>
    </w:p>
    <w:tbl>
      <w:tblPr>
        <w:tblW w:w="9650" w:type="dxa"/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2650"/>
        <w:gridCol w:w="1000"/>
        <w:gridCol w:w="1000"/>
        <w:gridCol w:w="1000"/>
        <w:gridCol w:w="1000"/>
        <w:gridCol w:w="1000"/>
        <w:gridCol w:w="1000"/>
        <w:gridCol w:w="1000"/>
      </w:tblGrid>
      <w:tr w:rsidR="005C1FA0" w14:paraId="219BB145" w14:textId="77777777"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722542EA" w14:textId="77777777" w:rsidR="005C1FA0" w:rsidRDefault="00824CE9">
            <w:pPr>
              <w:spacing w:after="0"/>
            </w:pPr>
            <w:r>
              <w:rPr>
                <w:b/>
                <w:color w:val="FFFFFF"/>
                <w:sz w:val="17"/>
              </w:rPr>
              <w:t>Key Metrics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1A850EBC" w14:textId="77777777" w:rsidR="005C1FA0" w:rsidRDefault="00824CE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2021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7D93025B" w14:textId="77777777" w:rsidR="005C1FA0" w:rsidRDefault="00824CE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2022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0BCE68E1" w14:textId="77777777" w:rsidR="005C1FA0" w:rsidRDefault="00824CE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089A311F" w14:textId="77777777" w:rsidR="005C1FA0" w:rsidRDefault="00824CE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1E5B1A47" w14:textId="77777777" w:rsidR="005C1FA0" w:rsidRDefault="00824CE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280BC91F" w14:textId="77777777" w:rsidR="005C1FA0" w:rsidRDefault="00824CE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2026E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672F6DFF" w14:textId="77777777" w:rsidR="005C1FA0" w:rsidRDefault="00824CE9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2027E</w:t>
            </w:r>
          </w:p>
        </w:tc>
      </w:tr>
      <w:tr w:rsidR="005C1FA0" w14:paraId="1DDE56D8" w14:textId="77777777"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EC718A" w14:textId="77777777" w:rsidR="005C1FA0" w:rsidRDefault="00824CE9">
            <w:pPr>
              <w:spacing w:after="0"/>
            </w:pPr>
            <w:r>
              <w:rPr>
                <w:sz w:val="17"/>
              </w:rPr>
              <w:t>Net Revenue ($mm)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CCB44B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121,649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2D7025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129,531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341F8C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158,384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AB0B1C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177,800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D6156D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182,510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00D1C8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198,587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7CE808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206,317</w:t>
            </w:r>
          </w:p>
        </w:tc>
      </w:tr>
      <w:tr w:rsidR="005C1FA0" w14:paraId="2FF97E50" w14:textId="77777777"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5B6716F" w14:textId="77777777" w:rsidR="005C1FA0" w:rsidRDefault="00824CE9">
            <w:pPr>
              <w:spacing w:after="0"/>
            </w:pPr>
            <w:r>
              <w:rPr>
                <w:sz w:val="17"/>
              </w:rPr>
              <w:t>Revenue Growth (%)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32AAEC6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1.4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77FE115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6.5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FEAC5EA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22.3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B748F9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12.3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773D51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2.6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F78237F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8.8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F67529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3.9</w:t>
            </w:r>
          </w:p>
        </w:tc>
      </w:tr>
      <w:tr w:rsidR="005C1FA0" w14:paraId="03F3695A" w14:textId="77777777"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6F836E" w14:textId="77777777" w:rsidR="005C1FA0" w:rsidRDefault="00824CE9">
            <w:pPr>
              <w:spacing w:after="0"/>
            </w:pPr>
            <w:r>
              <w:rPr>
                <w:sz w:val="17"/>
              </w:rPr>
              <w:t>Diluted EPS, Adj. ($)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11C78F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15.47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21A66C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12.38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FA3F40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16.68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592EB3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20.02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616890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20.14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F5267E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22.42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D282DF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23.60</w:t>
            </w:r>
          </w:p>
        </w:tc>
      </w:tr>
      <w:tr w:rsidR="005C1FA0" w14:paraId="517548B9" w14:textId="77777777"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C1D47FD" w14:textId="77777777" w:rsidR="005C1FA0" w:rsidRDefault="00824CE9">
            <w:pPr>
              <w:spacing w:after="0"/>
            </w:pPr>
            <w:r>
              <w:rPr>
                <w:sz w:val="17"/>
              </w:rPr>
              <w:t>EPS Growth (%)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A5F7868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68.7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B9B37FD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-20.0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CBFAD11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34.7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5F3BF1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20.0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8B736E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0.6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0D80592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11.3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5A9E3D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5.3</w:t>
            </w:r>
          </w:p>
        </w:tc>
      </w:tr>
      <w:tr w:rsidR="005C1FA0" w14:paraId="01576434" w14:textId="77777777"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73D4C0" w14:textId="77777777" w:rsidR="005C1FA0" w:rsidRDefault="00824CE9">
            <w:pPr>
              <w:spacing w:after="0"/>
            </w:pPr>
            <w:r>
              <w:rPr>
                <w:sz w:val="17"/>
              </w:rPr>
              <w:t>ROE (%)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B580AC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18.4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1625CB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14.0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B4B861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17.4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126710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18.4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08942C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16.7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294125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17.2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B4D4E0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17.0</w:t>
            </w:r>
          </w:p>
        </w:tc>
      </w:tr>
      <w:tr w:rsidR="005C1FA0" w14:paraId="03631FB5" w14:textId="77777777"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ABD5AB" w14:textId="77777777" w:rsidR="005C1FA0" w:rsidRDefault="00824CE9">
            <w:pPr>
              <w:spacing w:after="0"/>
            </w:pPr>
            <w:r>
              <w:rPr>
                <w:sz w:val="17"/>
              </w:rPr>
              <w:t>Net Interest Margin (%)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B30AC22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1.67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5485D60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2.07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432CC82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2.70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DC61E4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2.65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0A45514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2.55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B608D73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–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21F3C90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–</w:t>
            </w:r>
          </w:p>
        </w:tc>
      </w:tr>
      <w:tr w:rsidR="005C1FA0" w14:paraId="4D68200A" w14:textId="77777777"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C4097F" w14:textId="77777777" w:rsidR="005C1FA0" w:rsidRDefault="00824CE9">
            <w:pPr>
              <w:spacing w:after="0"/>
            </w:pPr>
            <w:r>
              <w:rPr>
                <w:sz w:val="17"/>
              </w:rPr>
              <w:t>Efficiency Ratio (%)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AD1415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58.1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E85B1A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58.4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FBAF7D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54.0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882D59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51.1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406820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52.1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E787B1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–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4D52A3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–</w:t>
            </w:r>
          </w:p>
        </w:tc>
      </w:tr>
      <w:tr w:rsidR="005C1FA0" w14:paraId="72846ED5" w14:textId="77777777"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EA1FDE5" w14:textId="77777777" w:rsidR="005C1FA0" w:rsidRDefault="00824CE9">
            <w:pPr>
              <w:spacing w:after="0"/>
            </w:pPr>
            <w:r>
              <w:rPr>
                <w:sz w:val="17"/>
              </w:rPr>
              <w:t>Provision for Credit Losses ($mm)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7960100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(9,256)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B1296D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6,389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78F1EED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9,320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8A24C55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10,678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557115F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14,212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8426811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13,414*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9F2613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–</w:t>
            </w:r>
          </w:p>
        </w:tc>
      </w:tr>
      <w:tr w:rsidR="005C1FA0" w14:paraId="7ACD887D" w14:textId="77777777"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9CC99A" w14:textId="77777777" w:rsidR="005C1FA0" w:rsidRDefault="00824CE9">
            <w:pPr>
              <w:spacing w:after="0"/>
            </w:pPr>
            <w:r>
              <w:rPr>
                <w:sz w:val="17"/>
              </w:rPr>
              <w:t>Dividends per Share ($)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EF0C42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3.80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B62EB9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4.00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2B3483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4.10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8A8677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4.80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556D40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5.80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4D3147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6.30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68428A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6.81</w:t>
            </w:r>
          </w:p>
        </w:tc>
      </w:tr>
      <w:tr w:rsidR="005C1FA0" w14:paraId="25D7CD8C" w14:textId="77777777"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9FA13E1" w14:textId="77777777" w:rsidR="005C1FA0" w:rsidRDefault="00824CE9">
            <w:pPr>
              <w:spacing w:after="0"/>
            </w:pPr>
            <w:r>
              <w:rPr>
                <w:sz w:val="17"/>
              </w:rPr>
              <w:t>Payout to Shareholders (%)†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9D96AF1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56.6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E86EFA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65.7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3F634FA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47.4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75B3197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71.1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8A2E5E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86.1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021B50D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65.4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82B7297" w14:textId="77777777" w:rsidR="005C1FA0" w:rsidRDefault="00824CE9">
            <w:pPr>
              <w:spacing w:after="0"/>
              <w:jc w:val="right"/>
            </w:pPr>
            <w:r>
              <w:rPr>
                <w:sz w:val="17"/>
              </w:rPr>
              <w:t>–</w:t>
            </w:r>
          </w:p>
        </w:tc>
      </w:tr>
    </w:tbl>
    <w:p w14:paraId="62F528AF" w14:textId="77777777" w:rsidR="005C1FA0" w:rsidRDefault="00824CE9">
      <w:pPr>
        <w:spacing w:after="160"/>
      </w:pPr>
      <w:r>
        <w:rPr>
          <w:i/>
          <w:sz w:val="16"/>
        </w:rPr>
        <w:t>Source: Bloomberg (Bloomberg-adjusted figures), ACCM estimates. *Bloomberg LTM figure. †Dividends plus net buybacks as a % of operating net income (input to our DGM).</w:t>
      </w:r>
    </w:p>
    <w:p w14:paraId="72269D95" w14:textId="77777777" w:rsidR="005C1FA0" w:rsidRDefault="00824CE9">
      <w:pPr>
        <w:jc w:val="both"/>
      </w:pPr>
      <w:r>
        <w:t>Revenue has compounded at a ~10.7% CAGR since 2021, driven first by the 2022–2023 rate-repricing cycle (NII rising from $52.3B to $95.4B between 2021 and 2025) and the First Republic acquisition, then by fee momentum in markets, cards, and asset management. Adjusted diluted EPS grew from $15.47 to $20.14 over the same period despite 2022’s reserve-build trough, and consensus has EPS reaching $22.42 in 2026 — a trajectory 1Q26 already supports, with EPS of $5.94 (+17% y/y) on net revenue of $49.9B (+10% y/y)</w:t>
      </w:r>
      <w:r>
        <w:t>. Profitability is structurally superior to peers: ROE has averaged ~17% over five years, the efficiency ratio has improved from 58% to 52%, and ROTCE consistently exceeds 20%.</w:t>
      </w:r>
    </w:p>
    <w:p w14:paraId="4E785F6E" w14:textId="77777777" w:rsidR="005C1FA0" w:rsidRDefault="00824CE9">
      <w:pPr>
        <w:jc w:val="both"/>
      </w:pPr>
      <w:r>
        <w:t>Two watch items temper the story. First, credit normalization is real: provisions rose to $14.2B in 2025 and net charge-offs to $9.8B, driven primarily by card seasoning; management added a further net reserve build in 1Q26. We view this as normalization rather than deterioration — the reserve stands at 1.73% of loans and NPAs remain below trend at 0.76%. Second, management guided FY2026 NII down modestly to ~$103B and flagged elevated expense growth (technology and AI investment), the proximate cause of th</w:t>
      </w:r>
      <w:r>
        <w:t>e spring pullback in the shares. Against that, capital return is accelerating: dividends per share have grown at an ~11% CAGR since 2021, and net payout to shareholders (dividends plus net buybacks) reached $48.2B in 2025, or 86% of operating earnings, with $34.6B of gross repurchases shrinking the share count 2–3% annually.</w:t>
      </w:r>
    </w:p>
    <w:p w14:paraId="7AF1D400" w14:textId="77777777" w:rsidR="005C1FA0" w:rsidRDefault="00824CE9">
      <w:pPr>
        <w:pBdr>
          <w:bottom w:val="single" w:sz="8" w:space="2" w:color="1F3A5F"/>
        </w:pBdr>
        <w:spacing w:before="200" w:after="80"/>
      </w:pPr>
      <w:r>
        <w:rPr>
          <w:b/>
          <w:color w:val="1F3A5F"/>
          <w:sz w:val="26"/>
        </w:rPr>
        <w:t>Valuation</w:t>
      </w:r>
    </w:p>
    <w:p w14:paraId="2A5F0A6C" w14:textId="77777777" w:rsidR="005C1FA0" w:rsidRDefault="00824CE9">
      <w:pPr>
        <w:jc w:val="both"/>
      </w:pPr>
      <w:r>
        <w:t>Because JPM is a financial, we value it with a dividend growth model on total cash returned to shareholders rather than a free-cash-flow DCF. Our cost of equity of 8.88% comes from CAPM: a 4.45% 10-year Treasury, a 0.99 Bloomberg-adjusted beta, and Damodaran’s 4.48% equity risk premium. For the growth rate we apply the standard convention that large banks grow with nominal GDP, proxied by the 10-year Treasury: g = 4.45%. Note the conservatism — our own economic model puts nominal GDP growth at ~5.2% and the 10-year at 4.9%; using the lower g biases the valuation downward. Notably, because g is set equal to the risk-free rate, the capitalization spread reduces to Beta x ERP (~4.43%) regardless of the rate level — the valuation is essentially unchanged whether the 10-year sits at today’s 4.45% or at ACCM’s 4.9% forecast, so our target does not depend on the rate call being exactly right.</w:t>
      </w:r>
      <w:r/>
    </w:p>
    <w:p w14:paraId="1B1FA5FB" w14:textId="77777777" w:rsidR="005C1FA0" w:rsidRDefault="00824CE9">
      <w:pPr>
        <w:jc w:val="both"/>
      </w:pPr>
      <w:r>
        <w:t>We define shareholder cash flow as dividends plus net buybacks. On Bloomberg consensus FY2026 operating net income of $60.5B and the 2021–2025 average payout of 65.4%, JPM returns an estimated $39.5B in 2026, or $14.21 per diluted share. Capitalizing at (Ke − g) = 4.43% yields an intrinsic value of $321 per share at the start of FY2026, which accretes at g to $341.58 at June 1, 2027, twelve months past the purchase date. Against the $299.31 purchase price, our $342 target implies 14.1% price appreciation and a ~16% total return including the dividend. The market corroborates the discount: at 13.4x FY26E EPS, the stock has de-rated from the ~15x forward multiple it commanded at its January high, and its price-to-book premium (2.4x) is justified by the wide spread between a ~17% ROE and an 8.9% cost of equity. Full model detail is provided in Appendix A.1.</w:t>
      </w:r>
      <w:r/>
      <w:r/>
    </w:p>
    <w:p w14:paraId="282F525F" w14:textId="77777777" w:rsidR="005C1FA0" w:rsidRDefault="00824CE9">
      <w:pPr>
        <w:pBdr>
          <w:bottom w:val="single" w:sz="8" w:space="2" w:color="1F3A5F"/>
        </w:pBdr>
        <w:spacing w:before="200" w:after="80"/>
      </w:pPr>
      <w:r>
        <w:rPr>
          <w:b/>
          <w:color w:val="1F3A5F"/>
          <w:sz w:val="26"/>
        </w:rPr>
        <w:t>Risk Assessment</w:t>
      </w:r>
    </w:p>
    <w:p w14:paraId="3A77C53A" w14:textId="77777777" w:rsidR="005C1FA0" w:rsidRDefault="00824CE9">
      <w:pPr>
        <w:jc w:val="both"/>
      </w:pPr>
      <w:r>
        <w:t>Credit risk is the primary exposure: in a higher-for-longer world, card and commercial charge-offs could overshoot our normalization view, and provisions have already doubled since 2023. Rate path is a two-sided risk — an aggressive Fed cutting cycle would compress NII below the ~$103B guide, while a hike-driven long-end spike could pressure loan demand, AOCI, and capital-markets sentiment. Regulatory capital (Basel III endgame, GSIB surcharges) could constrain buybacks, which carry roughly half our modeled</w:t>
      </w:r>
      <w:r>
        <w:t xml:space="preserve"> shareholder payout. Expense growth guidance for 2026 already disappointed once; sustained negative operating leverage would erode the ROE premium. Finally, JPM carries succession risk around CEO Jamie Dimon and a valuation premium to peers that demands continued execution. We mitigate these through position sizing (≤5% of portfolio per policy) and the sell discipline below.</w:t>
      </w:r>
    </w:p>
    <w:p w14:paraId="1FD61D2F" w14:textId="77777777" w:rsidR="005C1FA0" w:rsidRDefault="00824CE9">
      <w:pPr>
        <w:pBdr>
          <w:bottom w:val="single" w:sz="8" w:space="2" w:color="1F3A5F"/>
        </w:pBdr>
        <w:spacing w:before="200" w:after="80"/>
      </w:pPr>
      <w:r>
        <w:rPr>
          <w:b/>
          <w:color w:val="1F3A5F"/>
          <w:sz w:val="26"/>
        </w:rPr>
        <w:t>Sell Discipline</w:t>
      </w:r>
    </w:p>
    <w:p w14:paraId="742A691D" w14:textId="77777777" w:rsidR="005C1FA0" w:rsidRDefault="00824CE9">
      <w:pPr>
        <w:spacing w:after="80"/>
        <w:jc w:val="both"/>
      </w:pPr>
      <w:r>
        <w:t>We will exit or trim the position if (1) the price reaches our $342 target without a commensurate improvement in fundamentals, at which point the model is re-run and the thesis re-underwritten; (2) credit metrics breach our normalization thresholds — card net charge-offs sustained above ~4% or NPAs above 1.25% of loans; (3) the macro regime shifts to the recession/rapid-easing scenario that undercuts our nominal-growth thesis; or (4) the stock deviates more than 20% below purchase price absent a fundamental explanation, triggering a formal review under ACCM’s deviation discipline.</w:t>
      </w:r>
      <w:r/>
    </w:p>
    <w:p w14:paraId="1A0F83F6" w14:textId="77777777" w:rsidR="005C1FA0" w:rsidRDefault="00824CE9">
      <w:r>
        <w:br w:type="page"/>
      </w:r>
    </w:p>
    <w:p w14:paraId="604622BF" w14:textId="77777777" w:rsidR="005C1FA0" w:rsidRDefault="00824CE9">
      <w:pPr>
        <w:pBdr>
          <w:bottom w:val="single" w:sz="8" w:space="2" w:color="1F3A5F"/>
        </w:pBdr>
        <w:spacing w:before="200" w:after="80"/>
      </w:pPr>
      <w:r>
        <w:rPr>
          <w:b/>
          <w:color w:val="1F3A5F"/>
          <w:sz w:val="26"/>
        </w:rPr>
        <w:lastRenderedPageBreak/>
        <w:t>Appendix A.1 – Dividend Growth Model</w:t>
      </w:r>
    </w:p>
    <w:p w14:paraId="7DAFE3EE" w14:textId="77777777" w:rsidR="005C1FA0" w:rsidRDefault="00824CE9">
      <w:pPr>
        <w:spacing w:after="60"/>
      </w:pPr>
      <w:r>
        <w:rPr>
          <w:b/>
        </w:rPr>
        <w:t>Cash Flow to Shareholders ($mm)</w:t>
      </w:r>
    </w:p>
    <w:tbl>
      <w:tblPr>
        <w:tblW w:w="9648" w:type="dxa"/>
        <w:tblLayout w:type="fixed"/>
        <w:tblCellMar>
          <w:top w:w="25" w:type="dxa"/>
          <w:left w:w="70" w:type="dxa"/>
          <w:bottom w:w="25" w:type="dxa"/>
          <w:right w:w="70" w:type="dxa"/>
        </w:tblCellMar>
        <w:tblLook w:val="04A0" w:firstRow="1" w:lastRow="0" w:firstColumn="1" w:lastColumn="0" w:noHBand="0" w:noVBand="1"/>
      </w:tblPr>
      <w:tblGrid>
        <w:gridCol w:w="2748"/>
        <w:gridCol w:w="1380"/>
        <w:gridCol w:w="1380"/>
        <w:gridCol w:w="1380"/>
        <w:gridCol w:w="1380"/>
        <w:gridCol w:w="1380"/>
      </w:tblGrid>
      <w:tr w:rsidR="005C1FA0" w14:paraId="7D994BEB" w14:textId="77777777">
        <w:tc>
          <w:tcPr>
            <w:tcW w:w="2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5FC82CE7" w14:textId="77777777" w:rsidR="005C1FA0" w:rsidRDefault="005C1FA0">
            <w:pPr>
              <w:spacing w:after="0"/>
            </w:pP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1D6F751C" w14:textId="77777777" w:rsidR="005C1FA0" w:rsidRDefault="00824CE9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57EC68D2" w14:textId="77777777" w:rsidR="005C1FA0" w:rsidRDefault="00824CE9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237E1C3A" w14:textId="77777777" w:rsidR="005C1FA0" w:rsidRDefault="00824CE9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380DB20A" w14:textId="77777777" w:rsidR="005C1FA0" w:rsidRDefault="00824CE9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007402BA" w14:textId="77777777" w:rsidR="005C1FA0" w:rsidRDefault="00824CE9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2025</w:t>
            </w:r>
          </w:p>
        </w:tc>
      </w:tr>
      <w:tr w:rsidR="005C1FA0" w14:paraId="5EEA76E0" w14:textId="77777777">
        <w:tc>
          <w:tcPr>
            <w:tcW w:w="2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0278F8" w14:textId="77777777" w:rsidR="005C1FA0" w:rsidRDefault="00824CE9">
            <w:pPr>
              <w:spacing w:after="0"/>
            </w:pPr>
            <w:r>
              <w:rPr>
                <w:sz w:val="18"/>
              </w:rPr>
              <w:t>Dividends Paid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E7BE8C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12,858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85F5D2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13,562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3467E3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13,463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8226D6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14,783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18C27F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16,625</w:t>
            </w:r>
          </w:p>
        </w:tc>
      </w:tr>
      <w:tr w:rsidR="005C1FA0" w14:paraId="1C143217" w14:textId="77777777">
        <w:tc>
          <w:tcPr>
            <w:tcW w:w="2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DF4910" w14:textId="77777777" w:rsidR="005C1FA0" w:rsidRDefault="00824CE9">
            <w:pPr>
              <w:spacing w:after="0"/>
            </w:pPr>
            <w:r>
              <w:rPr>
                <w:sz w:val="18"/>
              </w:rPr>
              <w:t>Stock Repurchased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802D4EA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20,983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FAED046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10,596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0790145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9,824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D328703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28,680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725AD9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34,591</w:t>
            </w:r>
          </w:p>
        </w:tc>
      </w:tr>
      <w:tr w:rsidR="005C1FA0" w14:paraId="7B1EA35F" w14:textId="77777777">
        <w:tc>
          <w:tcPr>
            <w:tcW w:w="2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D26E8D" w14:textId="77777777" w:rsidR="005C1FA0" w:rsidRDefault="00824CE9">
            <w:pPr>
              <w:spacing w:after="0"/>
            </w:pPr>
            <w:r>
              <w:rPr>
                <w:sz w:val="18"/>
              </w:rPr>
              <w:t>Stock Issued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E7FB08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(7,350)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96134A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6EA5E5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DF1BE1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(2,500)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3D70D7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(3,000)</w:t>
            </w:r>
          </w:p>
        </w:tc>
      </w:tr>
      <w:tr w:rsidR="005C1FA0" w14:paraId="1C20B172" w14:textId="77777777">
        <w:tc>
          <w:tcPr>
            <w:tcW w:w="2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6E6759" w14:textId="77777777" w:rsidR="005C1FA0" w:rsidRDefault="00824CE9">
            <w:pPr>
              <w:spacing w:after="0"/>
            </w:pPr>
            <w:r>
              <w:rPr>
                <w:b/>
                <w:sz w:val="18"/>
              </w:rPr>
              <w:t>Net CF to Shareholders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7FBAA4" w14:textId="77777777" w:rsidR="005C1FA0" w:rsidRDefault="00824CE9">
            <w:pPr>
              <w:spacing w:after="0"/>
              <w:jc w:val="right"/>
            </w:pPr>
            <w:r>
              <w:rPr>
                <w:b/>
                <w:sz w:val="18"/>
              </w:rPr>
              <w:t>26,491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6280257" w14:textId="77777777" w:rsidR="005C1FA0" w:rsidRDefault="00824CE9">
            <w:pPr>
              <w:spacing w:after="0"/>
              <w:jc w:val="right"/>
            </w:pPr>
            <w:r>
              <w:rPr>
                <w:b/>
                <w:sz w:val="18"/>
              </w:rPr>
              <w:t>24,158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7EE9880" w14:textId="77777777" w:rsidR="005C1FA0" w:rsidRDefault="00824CE9">
            <w:pPr>
              <w:spacing w:after="0"/>
              <w:jc w:val="right"/>
            </w:pPr>
            <w:r>
              <w:rPr>
                <w:b/>
                <w:sz w:val="18"/>
              </w:rPr>
              <w:t>23,287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75D389F" w14:textId="77777777" w:rsidR="005C1FA0" w:rsidRDefault="00824CE9">
            <w:pPr>
              <w:spacing w:after="0"/>
              <w:jc w:val="right"/>
            </w:pPr>
            <w:r>
              <w:rPr>
                <w:b/>
                <w:sz w:val="18"/>
              </w:rPr>
              <w:t>40,963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E520899" w14:textId="77777777" w:rsidR="005C1FA0" w:rsidRDefault="00824CE9">
            <w:pPr>
              <w:spacing w:after="0"/>
              <w:jc w:val="right"/>
            </w:pPr>
            <w:r>
              <w:rPr>
                <w:b/>
                <w:sz w:val="18"/>
              </w:rPr>
              <w:t>48,216</w:t>
            </w:r>
          </w:p>
        </w:tc>
      </w:tr>
      <w:tr w:rsidR="005C1FA0" w14:paraId="07F4F5F9" w14:textId="77777777">
        <w:tc>
          <w:tcPr>
            <w:tcW w:w="2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44306A" w14:textId="77777777" w:rsidR="005C1FA0" w:rsidRDefault="00824CE9">
            <w:pPr>
              <w:spacing w:after="0"/>
            </w:pPr>
            <w:r>
              <w:rPr>
                <w:sz w:val="18"/>
              </w:rPr>
              <w:t>Operating Net Income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022FB8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46,840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ED7E2F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36,763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0EB0D5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49,087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A2BA9D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57,645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DDEDB5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56,016</w:t>
            </w:r>
          </w:p>
        </w:tc>
      </w:tr>
      <w:tr w:rsidR="005C1FA0" w14:paraId="32A9FD24" w14:textId="77777777">
        <w:tc>
          <w:tcPr>
            <w:tcW w:w="2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B8D144B" w14:textId="77777777" w:rsidR="005C1FA0" w:rsidRDefault="00824CE9">
            <w:pPr>
              <w:spacing w:after="0"/>
            </w:pPr>
            <w:r>
              <w:rPr>
                <w:sz w:val="18"/>
              </w:rPr>
              <w:t>Payout Ratio (%)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E505BFC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56.6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E5AB1C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65.7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E245D6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47.4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79DF589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71.1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1E17DF5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86.1</w:t>
            </w:r>
          </w:p>
        </w:tc>
      </w:tr>
      <w:tr w:rsidR="005C1FA0" w14:paraId="60B2CC7B" w14:textId="77777777">
        <w:tc>
          <w:tcPr>
            <w:tcW w:w="2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611F73" w14:textId="77777777" w:rsidR="005C1FA0" w:rsidRDefault="00824CE9">
            <w:pPr>
              <w:spacing w:after="0"/>
            </w:pPr>
            <w:r>
              <w:rPr>
                <w:sz w:val="18"/>
              </w:rPr>
              <w:t>Diluted Shares (mm)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0062A8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3,026.6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D5A5BE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2,970.0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443446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2,943.1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9661DC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2,879.0</w:t>
            </w:r>
          </w:p>
        </w:tc>
        <w:tc>
          <w:tcPr>
            <w:tcW w:w="1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34F549" w14:textId="77777777" w:rsidR="005C1FA0" w:rsidRDefault="00824CE9">
            <w:pPr>
              <w:spacing w:after="0"/>
              <w:jc w:val="right"/>
            </w:pPr>
            <w:r>
              <w:rPr>
                <w:sz w:val="18"/>
              </w:rPr>
              <w:t>2,781.5</w:t>
            </w:r>
          </w:p>
        </w:tc>
      </w:tr>
    </w:tbl>
    <w:p w14:paraId="465B7827" w14:textId="77777777" w:rsidR="005C1FA0" w:rsidRDefault="005C1FA0">
      <w:pPr>
        <w:spacing w:after="40"/>
      </w:pPr>
    </w:p>
    <w:tbl>
      <w:tblPr>
        <w:tblW w:w="9648" w:type="dxa"/>
        <w:tblLayout w:type="fixed"/>
        <w:tblLook w:val="04A0" w:firstRow="1" w:lastRow="0" w:firstColumn="1" w:lastColumn="0" w:noHBand="0" w:noVBand="1"/>
      </w:tblPr>
      <w:tblGrid>
        <w:gridCol w:w="4700"/>
        <w:gridCol w:w="4948"/>
      </w:tblGrid>
      <w:tr w:rsidR="005C1FA0" w14:paraId="7939C780" w14:textId="77777777"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</w:tcPr>
          <w:p w14:paraId="3E1D5878" w14:textId="77777777" w:rsidR="005C1FA0" w:rsidRDefault="00824CE9">
            <w:pPr>
              <w:spacing w:after="60"/>
            </w:pPr>
            <w:r>
              <w:rPr>
                <w:b/>
              </w:rPr>
              <w:t>Cost of Equity (CAPM)</w:t>
            </w:r>
          </w:p>
          <w:tbl>
            <w:tblPr>
              <w:tblW w:w="4400" w:type="dxa"/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00"/>
              <w:gridCol w:w="1300"/>
            </w:tblGrid>
            <w:tr w:rsidR="005C1FA0" w14:paraId="02BFB4C7" w14:textId="77777777">
              <w:tc>
                <w:tcPr>
                  <w:tcW w:w="3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06D7C771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10-Year Treasury (Rf)</w:t>
                  </w:r>
                </w:p>
              </w:tc>
              <w:tc>
                <w:tcPr>
                  <w:tcW w:w="13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1F0AF758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sz w:val="18"/>
                    </w:rPr>
                    <w:t>4.45%</w:t>
                  </w:r>
                </w:p>
              </w:tc>
            </w:tr>
            <w:tr w:rsidR="005C1FA0" w14:paraId="5E7FD741" w14:textId="77777777">
              <w:tc>
                <w:tcPr>
                  <w:tcW w:w="3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0F86E68D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Beta (Bloomberg Adj.)</w:t>
                  </w:r>
                </w:p>
              </w:tc>
              <w:tc>
                <w:tcPr>
                  <w:tcW w:w="13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454761CD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sz w:val="18"/>
                    </w:rPr>
                    <w:t>0.988</w:t>
                  </w:r>
                </w:p>
              </w:tc>
            </w:tr>
            <w:tr w:rsidR="005C1FA0" w14:paraId="052BFDA9" w14:textId="77777777">
              <w:tc>
                <w:tcPr>
                  <w:tcW w:w="3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6971B406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Equity Risk Premium (Damodaran)</w:t>
                  </w:r>
                </w:p>
              </w:tc>
              <w:tc>
                <w:tcPr>
                  <w:tcW w:w="13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4A143B19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sz w:val="18"/>
                    </w:rPr>
                    <w:t>4.48%</w:t>
                  </w:r>
                </w:p>
              </w:tc>
            </w:tr>
            <w:tr w:rsidR="005C1FA0" w14:paraId="29E6D76F" w14:textId="77777777">
              <w:tc>
                <w:tcPr>
                  <w:tcW w:w="3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03AEEC21" w14:textId="77777777" w:rsidR="005C1FA0" w:rsidRDefault="00824CE9">
                  <w:pPr>
                    <w:spacing w:after="0"/>
                  </w:pPr>
                  <w:r>
                    <w:rPr>
                      <w:b/>
                      <w:sz w:val="18"/>
                    </w:rPr>
                    <w:t>Cost of Equity (Ke)</w:t>
                  </w:r>
                </w:p>
              </w:tc>
              <w:tc>
                <w:tcPr>
                  <w:tcW w:w="13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68A55626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8.88%</w:t>
                  </w:r>
                </w:p>
              </w:tc>
            </w:tr>
          </w:tbl>
          <w:p w14:paraId="17E378D2" w14:textId="77777777" w:rsidR="005C1FA0" w:rsidRDefault="005C1FA0"/>
        </w:tc>
        <w:tc>
          <w:tcPr>
            <w:tcW w:w="4948" w:type="dxa"/>
            <w:tcBorders>
              <w:top w:val="nil"/>
              <w:left w:val="nil"/>
              <w:bottom w:val="nil"/>
              <w:right w:val="nil"/>
            </w:tcBorders>
          </w:tcPr>
          <w:p w14:paraId="0C9ECC4F" w14:textId="77777777" w:rsidR="005C1FA0" w:rsidRDefault="00824CE9">
            <w:pPr>
              <w:spacing w:after="60"/>
            </w:pPr>
            <w:r>
              <w:rPr>
                <w:b/>
              </w:rPr>
              <w:t>DGM Inputs &amp; Output</w:t>
            </w:r>
          </w:p>
          <w:tbl>
            <w:tblPr>
              <w:tblW w:w="4500" w:type="dxa"/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00"/>
              <w:gridCol w:w="1400"/>
            </w:tblGrid>
            <w:tr w:rsidR="005C1FA0" w14:paraId="20BFE58C" w14:textId="77777777">
              <w:tc>
                <w:tcPr>
                  <w:tcW w:w="3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4310B922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Dividend Growth Rate (g)</w:t>
                  </w:r>
                </w:p>
              </w:tc>
              <w:tc>
                <w:tcPr>
                  <w:tcW w:w="14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739B1D4C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sz w:val="18"/>
                    </w:rPr>
                    <w:t>4.45%</w:t>
                  </w:r>
                </w:p>
              </w:tc>
            </w:tr>
            <w:tr w:rsidR="005C1FA0" w14:paraId="7701CBEC" w14:textId="77777777">
              <w:tc>
                <w:tcPr>
                  <w:tcW w:w="3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7CD5E5ED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FY2026E Operating Net Income</w:t>
                  </w:r>
                </w:p>
              </w:tc>
              <w:tc>
                <w:tcPr>
                  <w:tcW w:w="14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34E2AC89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sz w:val="18"/>
                    </w:rPr>
                    <w:t>$60,486mm</w:t>
                  </w:r>
                </w:p>
              </w:tc>
            </w:tr>
            <w:tr w:rsidR="005C1FA0" w14:paraId="0B983F8A" w14:textId="77777777">
              <w:tc>
                <w:tcPr>
                  <w:tcW w:w="3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1AF919DE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Average Payout Ratio (2021–25)</w:t>
                  </w:r>
                </w:p>
              </w:tc>
              <w:tc>
                <w:tcPr>
                  <w:tcW w:w="14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61621A4F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sz w:val="18"/>
                    </w:rPr>
                    <w:t>65.4%</w:t>
                  </w:r>
                </w:p>
              </w:tc>
            </w:tr>
            <w:tr w:rsidR="005C1FA0" w14:paraId="573CF6C4" w14:textId="77777777">
              <w:tc>
                <w:tcPr>
                  <w:tcW w:w="3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6ACA47C1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Net CF to Shareholders, FY26E</w:t>
                  </w:r>
                </w:p>
              </w:tc>
              <w:tc>
                <w:tcPr>
                  <w:tcW w:w="14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6D2FA0E9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sz w:val="18"/>
                    </w:rPr>
                    <w:t>$39,539mm</w:t>
                  </w:r>
                </w:p>
              </w:tc>
            </w:tr>
            <w:tr w:rsidR="005C1FA0" w14:paraId="52156D63" w14:textId="77777777">
              <w:tc>
                <w:tcPr>
                  <w:tcW w:w="3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58D39B3D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Net CF per Share, FY26E (D1)</w:t>
                  </w:r>
                </w:p>
              </w:tc>
              <w:tc>
                <w:tcPr>
                  <w:tcW w:w="14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48F74B6D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sz w:val="18"/>
                    </w:rPr>
                    <w:t>$14.21</w:t>
                  </w:r>
                </w:p>
              </w:tc>
            </w:tr>
            <w:tr w:rsidR="005C1FA0" w14:paraId="470380F3" w14:textId="77777777">
              <w:tc>
                <w:tcPr>
                  <w:tcW w:w="3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1B12522C" w14:textId="77777777" w:rsidR="005C1FA0" w:rsidRDefault="00824CE9">
                  <w:pPr>
                    <w:spacing w:after="0"/>
                  </w:pPr>
                  <w:r>
                    <w:rPr>
                      <w:sz w:val="18"/>
                    </w:rPr>
                    <w:t>DGM Value = D1 / (Ke − g)</w:t>
                  </w:r>
                </w:p>
              </w:tc>
              <w:tc>
                <w:tcPr>
                  <w:tcW w:w="14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28E72858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sz w:val="18"/>
                    </w:rPr>
                    <w:t>$321.15</w:t>
                  </w:r>
                </w:p>
              </w:tc>
            </w:tr>
            <w:tr w:rsidR="005C1FA0" w14:paraId="7EB34F04" w14:textId="77777777">
              <w:tc>
                <w:tcPr>
                  <w:tcW w:w="3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6C76C0F8" w14:textId="77777777" w:rsidR="005C1FA0" w:rsidRDefault="00824CE9">
                  <w:pPr>
                    <w:spacing w:after="0"/>
                  </w:pPr>
                  <w:r>
                    <w:rPr>
                      <w:b/>
                      <w:sz w:val="18"/>
                    </w:rPr>
                    <w:t>Value at Target Date (12-mo fwd)</w:t>
                  </w:r>
                </w:p>
              </w:tc>
              <w:tc>
                <w:tcPr>
                  <w:tcW w:w="14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22D5CA01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$335.41</w:t>
                  </w:r>
                </w:p>
              </w:tc>
            </w:tr>
            <w:tr w:rsidR="005C1FA0" w14:paraId="08F85274" w14:textId="77777777">
              <w:tc>
                <w:tcPr>
                  <w:tcW w:w="31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3FEB57AC" w14:textId="77777777" w:rsidR="005C1FA0" w:rsidRDefault="00824CE9">
                  <w:pPr>
                    <w:spacing w:after="0"/>
                  </w:pPr>
                  <w:r>
                    <w:rPr>
                      <w:b/>
                      <w:sz w:val="18"/>
                    </w:rPr>
                    <w:t>Price Target</w:t>
                  </w:r>
                </w:p>
              </w:tc>
              <w:tc>
                <w:tcPr>
                  <w:tcW w:w="1400" w:type="dxa"/>
                  <w:tcBorders>
                    <w:top w:val="single" w:sz="4" w:space="0" w:color="BFBFBF"/>
                    <w:left w:val="single" w:sz="4" w:space="0" w:color="BFBFBF"/>
                    <w:bottom w:val="single" w:sz="4" w:space="0" w:color="BFBFBF"/>
                    <w:right w:val="single" w:sz="4" w:space="0" w:color="BFBFBF"/>
                  </w:tcBorders>
                </w:tcPr>
                <w:p w14:paraId="428F27D8" w14:textId="77777777" w:rsidR="005C1FA0" w:rsidRDefault="00824CE9">
                  <w:pPr>
                    <w:spacing w:after="0"/>
                    <w:jc w:val="right"/>
                  </w:pPr>
                  <w:r>
                    <w:rPr>
                      <w:b/>
                      <w:sz w:val="18"/>
                    </w:rPr>
                    <w:t>$335</w:t>
                  </w:r>
                </w:p>
              </w:tc>
            </w:tr>
          </w:tbl>
          <w:p w14:paraId="397FDC78" w14:textId="77777777" w:rsidR="005C1FA0" w:rsidRDefault="005C1FA0"/>
        </w:tc>
      </w:tr>
    </w:tbl>
    <w:p w14:paraId="38A76685" w14:textId="77777777" w:rsidR="005C1FA0" w:rsidRDefault="00824CE9">
      <w:pPr>
        <w:spacing w:before="160"/>
      </w:pPr>
      <w:r>
        <w:rPr>
          <w:i/>
          <w:sz w:val="17"/>
        </w:rPr>
        <w:t>Growth-rate note: consistent with the convention that large banks grow with nominal GDP, g is set to the 10-year Treasury rate (4.45%). ACCM’s own forecasts (nominal GDP ~5.2%; 10-year at 4.9%) would imply a higher g; our assumption is deliberately conservative.</w:t>
      </w:r>
    </w:p>
    <w:p w14:paraId="0914E140" w14:textId="77777777" w:rsidR="005C1FA0" w:rsidRDefault="00824CE9">
      <w:r>
        <w:rPr>
          <w:i/>
          <w:sz w:val="17"/>
        </w:rPr>
        <w:t>Source: Bloomberg, ACCM estimates.</w:t>
      </w:r>
    </w:p>
    <w:sectPr w:rsidR="005C1FA0" w:rsidSect="00034616">
      <w:headerReference w:type="default" r:id="rId9"/>
      <w:footerReference w:type="default" r:id="rId10"/>
      <w:pgSz w:w="12240" w:h="15840"/>
      <w:pgMar w:top="864" w:right="1296" w:bottom="1008" w:left="1296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B899C" w14:textId="77777777" w:rsidR="00824CE9" w:rsidRDefault="00824CE9">
      <w:pPr>
        <w:spacing w:after="0" w:line="240" w:lineRule="auto"/>
      </w:pPr>
      <w:r>
        <w:separator/>
      </w:r>
    </w:p>
  </w:endnote>
  <w:endnote w:type="continuationSeparator" w:id="0">
    <w:p w14:paraId="07C66C4F" w14:textId="77777777" w:rsidR="00824CE9" w:rsidRDefault="00824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CDF2B" w14:textId="77777777" w:rsidR="005C1FA0" w:rsidRDefault="00824CE9">
    <w:pPr>
      <w:pStyle w:val="Footer"/>
      <w:jc w:val="center"/>
    </w:pPr>
    <w:r>
      <w:rPr>
        <w:i/>
        <w:color w:val="888888"/>
        <w:sz w:val="14"/>
      </w:rPr>
      <w:t xml:space="preserve">Angel City Capital Management is a fictitious investment firm created for FRL 6950, Applied Portfolio Management. This document is graduate coursework and not </w:t>
    </w:r>
    <w:proofErr w:type="gramStart"/>
    <w:r>
      <w:rPr>
        <w:i/>
        <w:color w:val="888888"/>
        <w:sz w:val="14"/>
      </w:rPr>
      <w:t>the work</w:t>
    </w:r>
    <w:proofErr w:type="gramEnd"/>
    <w:r>
      <w:rPr>
        <w:i/>
        <w:color w:val="888888"/>
        <w:sz w:val="14"/>
      </w:rPr>
      <w:t xml:space="preserve"> product of a registered investment adviser.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5B225" w14:textId="77777777" w:rsidR="00824CE9" w:rsidRDefault="00824CE9">
      <w:pPr>
        <w:spacing w:after="0" w:line="240" w:lineRule="auto"/>
      </w:pPr>
      <w:r>
        <w:separator/>
      </w:r>
    </w:p>
  </w:footnote>
  <w:footnote w:type="continuationSeparator" w:id="0">
    <w:p w14:paraId="501AF802" w14:textId="77777777" w:rsidR="00824CE9" w:rsidRDefault="00824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59A81" w14:textId="77777777" w:rsidR="005C1FA0" w:rsidRDefault="00824CE9">
    <w:pPr>
      <w:pStyle w:val="Header"/>
      <w:pBdr>
        <w:bottom w:val="single" w:sz="12" w:space="2" w:color="1F3A5F"/>
      </w:pBdr>
      <w:tabs>
        <w:tab w:val="right" w:pos="9648"/>
      </w:tabs>
    </w:pPr>
    <w:r>
      <w:rPr>
        <w:b/>
        <w:color w:val="1F3A5F"/>
        <w:sz w:val="22"/>
      </w:rPr>
      <w:t>Angel City Capital Management</w:t>
    </w:r>
    <w:r>
      <w:rPr>
        <w:color w:val="1F3A5F"/>
        <w:sz w:val="22"/>
      </w:rPr>
      <w:tab/>
      <w:t>Equity 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328928">
    <w:abstractNumId w:val="8"/>
  </w:num>
  <w:num w:numId="2" w16cid:durableId="1289168017">
    <w:abstractNumId w:val="6"/>
  </w:num>
  <w:num w:numId="3" w16cid:durableId="1771505854">
    <w:abstractNumId w:val="5"/>
  </w:num>
  <w:num w:numId="4" w16cid:durableId="2142191599">
    <w:abstractNumId w:val="4"/>
  </w:num>
  <w:num w:numId="5" w16cid:durableId="237522504">
    <w:abstractNumId w:val="7"/>
  </w:num>
  <w:num w:numId="6" w16cid:durableId="1584139979">
    <w:abstractNumId w:val="3"/>
  </w:num>
  <w:num w:numId="7" w16cid:durableId="1268738157">
    <w:abstractNumId w:val="2"/>
  </w:num>
  <w:num w:numId="8" w16cid:durableId="498741417">
    <w:abstractNumId w:val="1"/>
  </w:num>
  <w:num w:numId="9" w16cid:durableId="518468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51E"/>
    <w:rsid w:val="0029639D"/>
    <w:rsid w:val="00326F90"/>
    <w:rsid w:val="005C1FA0"/>
    <w:rsid w:val="00824CE9"/>
    <w:rsid w:val="009E09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BF6FE"/>
  <w14:defaultImageDpi w14:val="300"/>
  <w15:docId w15:val="{4437C515-66C6-455A-AC48-FD2961820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1938</Words>
  <Characters>11049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JPMorgan Chase equity research report</vt:lpstr>
    </vt:vector>
  </TitlesOfParts>
  <Manager/>
  <Company/>
  <LinksUpToDate>false</LinksUpToDate>
  <CharactersWithSpaces>12962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JPMorgan Chase equity research report</dc:title>
  <dc:subject/>
  <dc:creator>Andrew Pasten</dc:creator>
  <cp:keywords/>
  <dc:description/>
  <cp:lastModifiedBy>Andrew Pasten</cp:lastModifiedBy>
  <cp:revision>2</cp:revision>
  <dcterms:created xsi:type="dcterms:W3CDTF">2026-10-04T07:27:00Z</dcterms:created>
  <dcterms:modified xsi:type="dcterms:W3CDTF">2026-10-04T07:27:00Z</dcterms:modified>
  <cp:category/>
</cp:coreProperties>
</file>