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EA" w:rsidRDefault="00DF0032">
      <w:pPr>
        <w:rPr>
          <w:sz w:val="25"/>
          <w:szCs w:val="25"/>
        </w:rPr>
      </w:pPr>
      <w:r w:rsidRPr="00DF0032">
        <w:rPr>
          <w:sz w:val="25"/>
          <w:szCs w:val="25"/>
        </w:rPr>
        <w:t>#6 Extra Credit</w:t>
      </w:r>
    </w:p>
    <w:p w:rsidR="00DF0032" w:rsidRDefault="000D7BB0">
      <w:pPr>
        <w:rPr>
          <w:sz w:val="25"/>
          <w:szCs w:val="25"/>
        </w:rPr>
      </w:pPr>
      <w:r>
        <w:rPr>
          <w:sz w:val="25"/>
          <w:szCs w:val="25"/>
        </w:rPr>
        <w:t>Several changes were made to improve the accuracy of the classifier:</w:t>
      </w:r>
    </w:p>
    <w:p w:rsidR="000D7BB0" w:rsidRDefault="000D7BB0" w:rsidP="000D7BB0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Stop words (such as the, he, or she) </w:t>
      </w:r>
      <w:r w:rsidR="009B5DE6">
        <w:rPr>
          <w:sz w:val="25"/>
          <w:szCs w:val="25"/>
        </w:rPr>
        <w:t xml:space="preserve">refers to the </w:t>
      </w:r>
      <w:r>
        <w:rPr>
          <w:sz w:val="25"/>
          <w:szCs w:val="25"/>
        </w:rPr>
        <w:t xml:space="preserve">most common words in a </w:t>
      </w:r>
      <w:r w:rsidR="00922697">
        <w:rPr>
          <w:sz w:val="25"/>
          <w:szCs w:val="25"/>
        </w:rPr>
        <w:t>language</w:t>
      </w:r>
      <w:r>
        <w:rPr>
          <w:sz w:val="25"/>
          <w:szCs w:val="25"/>
        </w:rPr>
        <w:t>. They are mostly neutral</w:t>
      </w:r>
      <w:r w:rsidR="00B22431">
        <w:rPr>
          <w:sz w:val="25"/>
          <w:szCs w:val="25"/>
        </w:rPr>
        <w:t>, so should be filtered out in computing. Therefore, a stop word list is added to the algorithm. Before the training phase, the stop words list is loaded from the disk (stop_words.txt) and store into a separate hash set, and in both training phase and test phase, the algorithm refers to this set and ignore all the words in this set. By doing s</w:t>
      </w:r>
      <w:r w:rsidR="009B5DE6">
        <w:rPr>
          <w:sz w:val="25"/>
          <w:szCs w:val="25"/>
        </w:rPr>
        <w:t>o, the accuracy is improved by approximately 1</w:t>
      </w:r>
      <w:r w:rsidR="00B22431">
        <w:rPr>
          <w:sz w:val="25"/>
          <w:szCs w:val="25"/>
        </w:rPr>
        <w:t>% before any other optimization is made.</w:t>
      </w:r>
    </w:p>
    <w:p w:rsidR="007E2937" w:rsidRPr="007E2937" w:rsidRDefault="007E2937" w:rsidP="007E2937">
      <w:pPr>
        <w:ind w:left="360"/>
        <w:rPr>
          <w:sz w:val="25"/>
          <w:szCs w:val="25"/>
        </w:rPr>
      </w:pPr>
    </w:p>
    <w:p w:rsidR="007E2937" w:rsidRDefault="00213120" w:rsidP="007E2937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213120">
        <w:rPr>
          <w:sz w:val="25"/>
          <w:szCs w:val="25"/>
        </w:rPr>
        <w:t>Laplace smoothing</w:t>
      </w:r>
      <w:r w:rsidR="00A7528A">
        <w:rPr>
          <w:sz w:val="25"/>
          <w:szCs w:val="25"/>
        </w:rPr>
        <w:t xml:space="preserve"> replaces the original smoothing technique. The final value is set to 0.001. The chart below </w:t>
      </w:r>
      <w:r w:rsidR="007E2937">
        <w:rPr>
          <w:sz w:val="25"/>
          <w:szCs w:val="25"/>
        </w:rPr>
        <w:t>illustrates</w:t>
      </w:r>
      <w:r w:rsidR="00A7528A">
        <w:rPr>
          <w:sz w:val="25"/>
          <w:szCs w:val="25"/>
        </w:rPr>
        <w:t xml:space="preserve"> the error rate</w:t>
      </w:r>
      <w:r w:rsidR="007E2937">
        <w:rPr>
          <w:sz w:val="25"/>
          <w:szCs w:val="25"/>
        </w:rPr>
        <w:t xml:space="preserve"> (in percent)</w:t>
      </w:r>
      <w:r w:rsidR="00A7528A">
        <w:rPr>
          <w:sz w:val="25"/>
          <w:szCs w:val="25"/>
        </w:rPr>
        <w:t xml:space="preserve"> regards to the Laplace k value.</w:t>
      </w:r>
      <w:r w:rsidR="00A7528A">
        <w:rPr>
          <w:noProof/>
          <w:sz w:val="25"/>
          <w:szCs w:val="25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Laplace K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 rate</w:t>
            </w:r>
            <w:r>
              <w:rPr>
                <w:rFonts w:ascii="Calibri" w:hAnsi="Calibri" w:cs="Calibri"/>
                <w:color w:val="000000"/>
              </w:rPr>
              <w:t xml:space="preserve"> (%)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.0</w:t>
            </w:r>
            <w:bookmarkStart w:id="0" w:name="_GoBack"/>
            <w:bookmarkEnd w:id="0"/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</w:tr>
      <w:tr w:rsidR="007E2937" w:rsidTr="007E2937">
        <w:trPr>
          <w:trHeight w:val="290"/>
        </w:trPr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315" w:type="dxa"/>
          </w:tcPr>
          <w:p w:rsidR="007E2937" w:rsidRDefault="007E2937" w:rsidP="007E29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</w:tr>
    </w:tbl>
    <w:p w:rsidR="007E2937" w:rsidRPr="007E2937" w:rsidRDefault="007E2937" w:rsidP="007E2937">
      <w:pPr>
        <w:pStyle w:val="ListParagraph"/>
        <w:rPr>
          <w:sz w:val="25"/>
          <w:szCs w:val="25"/>
        </w:rPr>
      </w:pPr>
    </w:p>
    <w:sectPr w:rsidR="007E2937" w:rsidRPr="007E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4765A"/>
    <w:multiLevelType w:val="hybridMultilevel"/>
    <w:tmpl w:val="EBD6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tjQ1NzYzMDUyNTBV0lEKTi0uzszPAykwrAUA9+UkwywAAAA="/>
  </w:docVars>
  <w:rsids>
    <w:rsidRoot w:val="00307F19"/>
    <w:rsid w:val="000D7BB0"/>
    <w:rsid w:val="001701A3"/>
    <w:rsid w:val="00185C5C"/>
    <w:rsid w:val="00213120"/>
    <w:rsid w:val="002F04EA"/>
    <w:rsid w:val="00307F19"/>
    <w:rsid w:val="007E2937"/>
    <w:rsid w:val="00922697"/>
    <w:rsid w:val="009B5DE6"/>
    <w:rsid w:val="00A7528A"/>
    <w:rsid w:val="00B22431"/>
    <w:rsid w:val="00D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3BDA"/>
  <w15:chartTrackingRefBased/>
  <w15:docId w15:val="{839FB1FB-BFD3-452D-AAE3-F43A121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B0"/>
    <w:pPr>
      <w:ind w:left="720"/>
      <w:contextualSpacing/>
    </w:pPr>
  </w:style>
  <w:style w:type="table" w:styleId="TableGrid">
    <w:name w:val="Table Grid"/>
    <w:basedOn w:val="TableNormal"/>
    <w:uiPriority w:val="39"/>
    <w:rsid w:val="007E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rate regarding Laplace K value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 rate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0.05</c:v>
                </c:pt>
                <c:pt idx="6">
                  <c:v>0.1</c:v>
                </c:pt>
                <c:pt idx="7">
                  <c:v>0.5</c:v>
                </c:pt>
                <c:pt idx="8">
                  <c:v>1</c:v>
                </c:pt>
                <c:pt idx="9">
                  <c:v>5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3.4</c:v>
                </c:pt>
                <c:pt idx="4">
                  <c:v>3.4</c:v>
                </c:pt>
                <c:pt idx="5">
                  <c:v>4.2</c:v>
                </c:pt>
                <c:pt idx="6">
                  <c:v>4.5999999999999996</c:v>
                </c:pt>
                <c:pt idx="7">
                  <c:v>5.6</c:v>
                </c:pt>
                <c:pt idx="8">
                  <c:v>6.4</c:v>
                </c:pt>
                <c:pt idx="9">
                  <c:v>8.8000000000000007</c:v>
                </c:pt>
                <c:pt idx="10">
                  <c:v>11.2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7A-4996-B6C1-41D36BF77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075776"/>
        <c:axId val="708076432"/>
      </c:scatterChart>
      <c:valAx>
        <c:axId val="70807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076432"/>
        <c:crosses val="autoZero"/>
        <c:crossBetween val="midCat"/>
      </c:valAx>
      <c:valAx>
        <c:axId val="70807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07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Tan</dc:creator>
  <cp:keywords/>
  <dc:description/>
  <cp:lastModifiedBy>Andrew Tan</cp:lastModifiedBy>
  <cp:revision>5</cp:revision>
  <dcterms:created xsi:type="dcterms:W3CDTF">2017-04-27T04:06:00Z</dcterms:created>
  <dcterms:modified xsi:type="dcterms:W3CDTF">2017-04-27T06:37:00Z</dcterms:modified>
</cp:coreProperties>
</file>