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Baysian neural networks (BNNs) are powerful tools that augment traditional neural networks’ powerful inference abilities with the power to describe uncertainties. BNNs have led to advances in various areas including computer vision and health.. In most BNNs, only epistemic uncertainty, uncertainty from the model parameters, is accounted for, but recent methods have shown that aleatoric uncertainty, uncertainty deriving from the data, can also be modeled and lead to model improvements. In this paper, we argue for modeling aleatoric uncertainty in the churn prediction problem. I.e determining whether subscribers of a service will quit in the near future. We demonstrate results from modeling aleatoric uncertainty with neural networks on churn data for a telecom company.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Churn rate, or the annual percentage rate at which customers stop subscribing to a service, is an important piece of information for companies to gather year after year as a measure of company success, and as a predictor of future performance. With the ability to understand which customers are likely to cancel a subscription, companies can leverage targeted incentives to convince these customers to stay. With churn analysis, understanding the likelihood that a prediction will be correct is critical: labeling a customer as likely to churn when they actually are not will result in wasted resources on incentives, while overlooking a customer who is likely to churn will result in lost business.</w:t>
      </w:r>
    </w:p>
    <w:p w:rsidR="00000000" w:rsidDel="00000000" w:rsidP="00000000" w:rsidRDefault="00000000" w:rsidRPr="00000000" w14:paraId="00000007">
      <w:pPr>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For evaluation of our models’ performances, we will focus mainly on maximizing the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 which is a weighted average of the </w:t>
      </w:r>
      <w:r w:rsidDel="00000000" w:rsidR="00000000" w:rsidRPr="00000000">
        <w:rPr>
          <w:rFonts w:ascii="Times New Roman" w:cs="Times New Roman" w:eastAsia="Times New Roman" w:hAnsi="Times New Roman"/>
          <w:sz w:val="24"/>
          <w:szCs w:val="24"/>
          <w:rtl w:val="0"/>
        </w:rPr>
        <w:t xml:space="preserve">recall and the precision. The recall represents the proportion of customers who churn that our model is able to correctly identify.  Maximizing recall minimizes the number of customers lost; customers that leave a service usually leave for good. One customer lost costs more than one distribution of an incentive to a customer who is not at risk of leaving. However, because recall can be maximized  by predicting that every customer will churn, we need to balance recall with precision. So, </w:t>
      </w:r>
      <w:r w:rsidDel="00000000" w:rsidR="00000000" w:rsidRPr="00000000">
        <w:rPr>
          <w:rFonts w:ascii="Times New Roman" w:cs="Times New Roman" w:eastAsia="Times New Roman" w:hAnsi="Times New Roman"/>
          <w:color w:val="222222"/>
          <w:sz w:val="24"/>
          <w:szCs w:val="24"/>
          <w:highlight w:val="white"/>
          <w:rtl w:val="0"/>
        </w:rPr>
        <w:t xml:space="preserve">β will be set to be greater than 1 (weighting recall more heavily than precision); the specific value of β is yet to be set, but it will be determined after doing further research into the corresponding value of a lost customer versus the cost of providing incentives for customers believed to be leaving a service in the context of telecom companies.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show that any significant differences in the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w:t>
      </w:r>
      <w:r w:rsidDel="00000000" w:rsidR="00000000" w:rsidRPr="00000000">
        <w:rPr>
          <w:rFonts w:ascii="Times New Roman" w:cs="Times New Roman" w:eastAsia="Times New Roman" w:hAnsi="Times New Roman"/>
          <w:color w:val="222222"/>
          <w:sz w:val="24"/>
          <w:szCs w:val="24"/>
          <w:highlight w:val="white"/>
          <w:rtl w:val="0"/>
        </w:rPr>
        <w:t xml:space="preserve"> between our baseline model and our experimental model are due to the modeling of heteroscedasticity by tuning the hyperparameters of each model to find the combination that results in the best performance, before comparing the baseline to the experimental, averaging the results across 10 training sessions each.</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project’s main objective will be to predict as a classification task if a current customer is at significant risk of changing providers or not. Towards this goal, we will train a Bayesian neural network classifier. Specifically, we will explore the effect on performance of modeling the aleatoric uncertainty across our dataset. We will compare the resulting predictions and confidence levels against models that assume a homoscedastic variance across the input feature space. Specifically, we expect to observe more accurate probabilities associated with our predictions when our model incorporates heteroscedastic uncertainty (Wang et. al 2012). We will measure this with calibration plots, along with a corresponding histogram that will show the density of predictions within each range of probability values. The calibration plots and histogram can be evaluated visually: the closer the calibration plot values follow a ‘y=x’ line, the better the model is shown to be accurate in its understanding of its own predicted probabilities; the histogram will show how often the model predicts with each level of confidence, or show how often the model is extremely confident vs. otherwise. We expect our model which incorporates heteroscedastic uncertainty to yield better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sz w:val="24"/>
          <w:szCs w:val="24"/>
          <w:rtl w:val="0"/>
        </w:rPr>
        <w:t xml:space="preserve"> scores due to its ability to more fully represent the relationship in our data. </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Aleatoric uncertainty is uncertainty whose source cannot be explained by the data; we will model it by predicting the likelihood in addition to the classification of customers as “at risk for churning”/“not at risk” as a function of the input features. The motivation behind exploring this heteroscedastic variance in the input data’s feature space is the nature of real-world scenarios: the variance across any classification problem’s input feature space should not remain constant.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Because of the uneven noise we expect across the input features in the dataset, we predict that if we include the modeling of heteroscedastic variance as a function of the input, the model will have a higher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 than</w:t>
      </w:r>
      <w:r w:rsidDel="00000000" w:rsidR="00000000" w:rsidRPr="00000000">
        <w:rPr>
          <w:rFonts w:ascii="Times New Roman" w:cs="Times New Roman" w:eastAsia="Times New Roman" w:hAnsi="Times New Roman"/>
          <w:sz w:val="24"/>
          <w:szCs w:val="24"/>
          <w:rtl w:val="0"/>
        </w:rPr>
        <w:t xml:space="preserve"> a Bayesian neural net that assumes constant variance. We believe that it will also provide a more nuanced confidence of predictions that the model makes, which will be evaluated by using calibration plots. If our model accurately models change in variance across the input feature space, the hope is that the model would be able to ask for more information, or perhaps make more educated predictions about what the level of risk associated with allocating resources towards retaining each customer is and what should be allocated given that risk.</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build a BNN which can model heteroscedastic variance in the dataset using variational inference to learn the probability distribution over our neural network’s weights. The BNN will model heteroscedastic variance by having two outputs for every input: the predicted mean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oMath>
      <w:r w:rsidDel="00000000" w:rsidR="00000000" w:rsidRPr="00000000">
        <w:rPr>
          <w:rFonts w:ascii="Times New Roman" w:cs="Times New Roman" w:eastAsia="Times New Roman" w:hAnsi="Times New Roman"/>
          <w:sz w:val="24"/>
          <w:szCs w:val="24"/>
          <w:rtl w:val="0"/>
        </w:rPr>
        <w:t xml:space="preserve">(X, W, b), and the predicted standard deviation</w:t>
      </w:r>
      <m:oMath>
        <m:r>
          <w:rPr>
            <w:rFonts w:ascii="Times New Roman" w:cs="Times New Roman" w:eastAsia="Times New Roman" w:hAnsi="Times New Roman"/>
            <w:sz w:val="24"/>
            <w:szCs w:val="24"/>
          </w:rPr>
          <m:t xml:space="preserve">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σ</m:t>
            </m:r>
          </m:e>
        </m:acc>
      </m:oMath>
      <w:r w:rsidDel="00000000" w:rsidR="00000000" w:rsidRPr="00000000">
        <w:rPr>
          <w:rFonts w:ascii="Times New Roman" w:cs="Times New Roman" w:eastAsia="Times New Roman" w:hAnsi="Times New Roman"/>
          <w:sz w:val="24"/>
          <w:szCs w:val="24"/>
          <w:rtl w:val="0"/>
        </w:rPr>
        <w:t xml:space="preserve">(X, W, b) (Kendall, 2017). This predicted mean and predicted standard deviation will be used in our model’s likelihood function. We estimate the likelihood of a particular class given feature values (X), and the weights (W) and biases (b) of our neural network as follows. First we get a real valued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commentRangeStart w:id="0"/>
      <w:r w:rsidDel="00000000" w:rsidR="00000000" w:rsidRPr="00000000">
        <w:rPr>
          <w:rFonts w:ascii="Times New Roman" w:cs="Times New Roman" w:eastAsia="Times New Roman" w:hAnsi="Times New Roman"/>
          <w:sz w:val="24"/>
          <w:szCs w:val="24"/>
        </w:rPr>
        <w:drawing>
          <wp:inline distB="114300" distT="114300" distL="114300" distR="114300">
            <wp:extent cx="1985963" cy="266317"/>
            <wp:effectExtent b="0" l="0" r="0" t="0"/>
            <wp:docPr id="1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85963" cy="266317"/>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get 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a probability between 0 and 1, by: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67848" cy="223838"/>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167848" cy="2238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represents the probability, based on one sample from the above distribution, that the input features, X, belong to a customer who churned. To get an accurate estimate, we will use Monte Carlo sampling, with T samples. Thus, we will estimate our likelihood as: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43113" cy="515195"/>
            <wp:effectExtent b="0" l="0" r="0" t="0"/>
            <wp:docPr id="1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843113" cy="5151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pick a threshold,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such that we predict the following where 1 corresponds to churn and 0 corresponds to no churn:</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278270" cy="614363"/>
            <wp:effectExtent b="0" l="0" r="0" t="0"/>
            <wp:docPr id="11"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1278270"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We will choose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by examining precision and recall at different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values; similarly to how we will be comparing results from and selecting other hyperparameter values, we will choose the value of t* that maximizes the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-score</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define the prior distribution over the weights and biases of our neural network as follows: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66804" cy="291585"/>
            <wp:effectExtent b="0" l="0" r="0" t="0"/>
            <wp:docPr id="8"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1366804" cy="2915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estimate our posterior distribution with variational inference. We define our variational distribution </w:t>
      </w:r>
      <w:r w:rsidDel="00000000" w:rsidR="00000000" w:rsidRPr="00000000">
        <w:rPr>
          <w:rFonts w:ascii="Times New Roman" w:cs="Times New Roman" w:eastAsia="Times New Roman" w:hAnsi="Times New Roman"/>
          <w:i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N(m, s)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m </w:t>
      </w:r>
      <w:r w:rsidDel="00000000" w:rsidR="00000000" w:rsidRPr="00000000">
        <w:rPr>
          <w:rFonts w:ascii="Times New Roman" w:cs="Times New Roman" w:eastAsia="Times New Roman" w:hAnsi="Times New Roman"/>
          <w:sz w:val="24"/>
          <w:szCs w:val="24"/>
          <w:rtl w:val="0"/>
        </w:rPr>
        <w:t xml:space="preserve">is a vector the same size as the number of </w:t>
      </w:r>
      <w:r w:rsidDel="00000000" w:rsidR="00000000" w:rsidRPr="00000000">
        <w:rPr>
          <w:rFonts w:ascii="Times New Roman" w:cs="Times New Roman" w:eastAsia="Times New Roman" w:hAnsi="Times New Roman"/>
          <w:sz w:val="24"/>
          <w:szCs w:val="24"/>
          <w:rtl w:val="0"/>
        </w:rPr>
        <w:t xml:space="preserve">trainable parameters of our network representing the means of the trainable parameters, and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diagonal matrix, whose diagonal is the same size and represents standard deviations of our trainable parameters (</w:t>
      </w:r>
      <w:r w:rsidDel="00000000" w:rsidR="00000000" w:rsidRPr="00000000">
        <w:rPr>
          <w:rFonts w:ascii="Times New Roman" w:cs="Times New Roman" w:eastAsia="Times New Roman" w:hAnsi="Times New Roman"/>
          <w:color w:val="333333"/>
          <w:sz w:val="24"/>
          <w:szCs w:val="24"/>
          <w:highlight w:val="white"/>
          <w:rtl w:val="0"/>
        </w:rPr>
        <w:t xml:space="preserve">Kingma &amp; Welling, 2014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use as our loss function the negative of the ELBO function, </w:t>
      </w:r>
      <w:r w:rsidDel="00000000" w:rsidR="00000000" w:rsidRPr="00000000">
        <w:rPr>
          <w:rFonts w:ascii="Times New Roman" w:cs="Times New Roman" w:eastAsia="Times New Roman" w:hAnsi="Times New Roman"/>
          <w:sz w:val="24"/>
          <w:szCs w:val="24"/>
          <w:rtl w:val="0"/>
        </w:rPr>
        <w:t xml:space="preserve">which is a lower bound on the evidence (log p(y|x)). Maximizing the ELBO minimizes </w:t>
      </w:r>
      <w:r w:rsidDel="00000000" w:rsidR="00000000" w:rsidRPr="00000000">
        <w:rPr>
          <w:rFonts w:ascii="Times New Roman" w:cs="Times New Roman" w:eastAsia="Times New Roman" w:hAnsi="Times New Roman"/>
          <w:sz w:val="24"/>
          <w:szCs w:val="24"/>
          <w:rtl w:val="0"/>
        </w:rPr>
        <w:t xml:space="preserve">the KL divergence between our variational distribution, </w:t>
      </w:r>
      <w:r w:rsidDel="00000000" w:rsidR="00000000" w:rsidRPr="00000000">
        <w:rPr>
          <w:rFonts w:ascii="Times New Roman" w:cs="Times New Roman" w:eastAsia="Times New Roman" w:hAnsi="Times New Roman"/>
          <w:i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and the actual posterior distribution of our model, which is a measure of dissimilarity between the estimated posterior and the true posterior. As discussed </w:t>
      </w:r>
      <w:r w:rsidDel="00000000" w:rsidR="00000000" w:rsidRPr="00000000">
        <w:rPr>
          <w:rFonts w:ascii="Times New Roman" w:cs="Times New Roman" w:eastAsia="Times New Roman" w:hAnsi="Times New Roman"/>
          <w:sz w:val="24"/>
          <w:szCs w:val="24"/>
          <w:rtl w:val="0"/>
        </w:rPr>
        <w:t xml:space="preserve">in (Roeder, 2017)</w:t>
      </w:r>
      <w:r w:rsidDel="00000000" w:rsidR="00000000" w:rsidRPr="00000000">
        <w:rPr>
          <w:rFonts w:ascii="Times New Roman" w:cs="Times New Roman" w:eastAsia="Times New Roman" w:hAnsi="Times New Roman"/>
          <w:sz w:val="24"/>
          <w:szCs w:val="24"/>
          <w:rtl w:val="0"/>
        </w:rPr>
        <w:t xml:space="preserve"> this minimizes the dissimilarity between our model’s estimated posterior and the true posterior. </w:t>
      </w:r>
      <w:r w:rsidDel="00000000" w:rsidR="00000000" w:rsidRPr="00000000">
        <w:rPr>
          <w:rFonts w:ascii="Times New Roman" w:cs="Times New Roman" w:eastAsia="Times New Roman" w:hAnsi="Times New Roman"/>
          <w:sz w:val="24"/>
          <w:szCs w:val="24"/>
          <w:rtl w:val="0"/>
        </w:rPr>
        <w:t xml:space="preserve">We will use gradient descent on our loss function, defined below, to find the </w:t>
      </w:r>
      <w:r w:rsidDel="00000000" w:rsidR="00000000" w:rsidRPr="00000000">
        <w:rPr>
          <w:rFonts w:ascii="Times New Roman" w:cs="Times New Roman" w:eastAsia="Times New Roman" w:hAnsi="Times New Roman"/>
          <w:i w:val="1"/>
          <w:sz w:val="24"/>
          <w:szCs w:val="24"/>
          <w:rtl w:val="0"/>
        </w:rPr>
        <w:t xml:space="preserve">m*, s* </w:t>
      </w:r>
      <w:r w:rsidDel="00000000" w:rsidR="00000000" w:rsidRPr="00000000">
        <w:rPr>
          <w:rFonts w:ascii="Times New Roman" w:cs="Times New Roman" w:eastAsia="Times New Roman" w:hAnsi="Times New Roman"/>
          <w:sz w:val="24"/>
          <w:szCs w:val="24"/>
          <w:rtl w:val="0"/>
        </w:rPr>
        <w:t xml:space="preserve">which minimize loss. We use the reparameterization trick in our estimation of the ELBO function, which, as discussed by (Xu et. al, 2019), gives a lower marginal variance estimate of the gradient of the ELBO than the score function estimator. </w:t>
      </w: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157821" cy="231331"/>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157821" cy="23133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a likelihood which incorporates heteroscedastic variance into our ELBO function, we hypothesize the BNN will better capture aleatoric uncertainty in the data than if our likelihood assumed constant variance; thus, we believe this model will lead to improvements in accuracy. In order to test this hypothesis, we will compare our results against a baseline BNN with identical architecture, but which assumes a constant variance in its likelihood.</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baseline, our neural network will only predict one value, the predicted mean,       </w:t>
      </w:r>
      <m:oMath>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f</m:t>
            </m:r>
          </m:e>
        </m:acc>
      </m:oMath>
      <w:r w:rsidDel="00000000" w:rsidR="00000000" w:rsidRPr="00000000">
        <w:rPr>
          <w:rFonts w:ascii="Times New Roman" w:cs="Times New Roman" w:eastAsia="Times New Roman" w:hAnsi="Times New Roman"/>
          <w:sz w:val="24"/>
          <w:szCs w:val="24"/>
          <w:rtl w:val="0"/>
        </w:rPr>
        <w:t xml:space="preserve">(X, W, b). All calculations will be the same, except, our likelihood will assume a constant variance, so we calculate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as follows: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71613" cy="225647"/>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71613" cy="22564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planned to do a logspace search of 8 values for </w:t>
      </w:r>
      <m:oMath>
        <m:r>
          <m:t>σ</m:t>
        </m:r>
      </m:oMath>
      <w:r w:rsidDel="00000000" w:rsidR="00000000" w:rsidRPr="00000000">
        <w:rPr>
          <w:rFonts w:ascii="Times New Roman" w:cs="Times New Roman" w:eastAsia="Times New Roman" w:hAnsi="Times New Roman"/>
          <w:sz w:val="24"/>
          <w:szCs w:val="24"/>
          <w:rtl w:val="0"/>
        </w:rPr>
        <w:t xml:space="preserve">: 0.01, 0.05, 0.1, 0.5, 1, 5, 10, and 50</w:t>
      </w:r>
      <w:r w:rsidDel="00000000" w:rsidR="00000000" w:rsidRPr="00000000">
        <w:rPr>
          <w:rFonts w:ascii="Times New Roman" w:cs="Times New Roman" w:eastAsia="Times New Roman" w:hAnsi="Times New Roman"/>
          <w:sz w:val="24"/>
          <w:szCs w:val="24"/>
          <w:rtl w:val="0"/>
        </w:rPr>
        <w:t xml:space="preserve">; however in the end we were only able to test for </w:t>
      </w:r>
      <m:oMath>
        <m:r>
          <m:t>σ</m:t>
        </m:r>
      </m:oMath>
      <w:r w:rsidDel="00000000" w:rsidR="00000000" w:rsidRPr="00000000">
        <w:rPr>
          <w:rFonts w:ascii="Times New Roman" w:cs="Times New Roman" w:eastAsia="Times New Roman" w:hAnsi="Times New Roman"/>
          <w:sz w:val="24"/>
          <w:szCs w:val="24"/>
          <w:rtl w:val="0"/>
        </w:rPr>
        <w:t xml:space="preserve">with a constant value of 0.1.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Experimental Setup:</w:t>
      </w: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are using was originally made public for a data science competition. As part of the competition, the performance of multiple baseline models on the dataset, including the company’s existing solution, was made public. We compare both BNN models to these models in order to validate Bayesian neural networks against other machine learning techniques.</w:t>
      </w:r>
    </w:p>
    <w:p w:rsidR="00000000" w:rsidDel="00000000" w:rsidP="00000000" w:rsidRDefault="00000000" w:rsidRPr="00000000" w14:paraId="00000026">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use the </w:t>
      </w:r>
      <w:hyperlink r:id="rId14">
        <w:r w:rsidDel="00000000" w:rsidR="00000000" w:rsidRPr="00000000">
          <w:rPr>
            <w:rFonts w:ascii="Times New Roman" w:cs="Times New Roman" w:eastAsia="Times New Roman" w:hAnsi="Times New Roman"/>
            <w:color w:val="1155cc"/>
            <w:sz w:val="24"/>
            <w:szCs w:val="24"/>
            <w:u w:val="single"/>
            <w:rtl w:val="0"/>
          </w:rPr>
          <w:t xml:space="preserve">Orange Telecom dataset</w:t>
        </w:r>
      </w:hyperlink>
      <w:r w:rsidDel="00000000" w:rsidR="00000000" w:rsidRPr="00000000">
        <w:rPr>
          <w:rFonts w:ascii="Times New Roman" w:cs="Times New Roman" w:eastAsia="Times New Roman" w:hAnsi="Times New Roman"/>
          <w:color w:val="212529"/>
          <w:sz w:val="24"/>
          <w:szCs w:val="24"/>
          <w:rtl w:val="0"/>
        </w:rPr>
        <w:t xml:space="preserve"> from the </w:t>
      </w:r>
      <w:hyperlink r:id="rId15">
        <w:r w:rsidDel="00000000" w:rsidR="00000000" w:rsidRPr="00000000">
          <w:rPr>
            <w:rFonts w:ascii="Times New Roman" w:cs="Times New Roman" w:eastAsia="Times New Roman" w:hAnsi="Times New Roman"/>
            <w:color w:val="1155cc"/>
            <w:sz w:val="24"/>
            <w:szCs w:val="24"/>
            <w:u w:val="single"/>
            <w:rtl w:val="0"/>
          </w:rPr>
          <w:t xml:space="preserve">2009 Knowledge Discovery in Data Competition</w:t>
        </w:r>
      </w:hyperlink>
      <w:r w:rsidDel="00000000" w:rsidR="00000000" w:rsidRPr="00000000">
        <w:rPr>
          <w:rFonts w:ascii="Times New Roman" w:cs="Times New Roman" w:eastAsia="Times New Roman" w:hAnsi="Times New Roman"/>
          <w:color w:val="212529"/>
          <w:sz w:val="24"/>
          <w:szCs w:val="24"/>
          <w:rtl w:val="0"/>
        </w:rPr>
        <w:t xml:space="preserve">. For this competition, a French telecom company, Orange, provided customer data with 230 features and a label for whether or not each customer will churn. The dataset has 50,000 entries with imbalanced classes. 7.5% of the instances belong to the churn class, while 92.5% do not churn. The company inflated the proportion of people who churn in the sample, so it is actually higher than under natural circumstances. In order to protect the privacy of its customers and its proprietary information, the company removed all variable names, encoded all categorical features, and multiplied all continuous features by a scalar value. Although we do not know what any of the features in our dataset represent, this dataset is ideal to explore the effect of modeling aleatoric uncertainty, as it is large enough that issues arising from epistemic uncertainty should be minimal. </w:t>
      </w:r>
    </w:p>
    <w:p w:rsidR="00000000" w:rsidDel="00000000" w:rsidP="00000000" w:rsidRDefault="00000000" w:rsidRPr="00000000" w14:paraId="00000027">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For many of our models’ hyperparameters, we use the same tuning procedures across models. In both our focus and baseline models, we gridsearch our learning rates (testing 1e-3, 5e-3, 7e-3, 9e-3) optimizing for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12529"/>
          <w:sz w:val="24"/>
          <w:szCs w:val="24"/>
          <w:rtl w:val="0"/>
        </w:rPr>
        <w:t xml:space="preserve">, and, for simplicity, we will fix the mean and variance of our prior at mean=0, variance=1 for the weights and biases of our model. For both models, we tried optimization with SGD and Adam. We leave the number of Monte Carlo samples fixed at 100 for both models for simplicity. We leave architecture fixed for both focus and baseline models. Our focus model shares its first 2 hidden layers between both output heads, and each output head has 3 hidden layers. To ensure the two networks are of comparable complexity, our baseline model will be a fully connected BNN with 5 hidden layers. For simplicity, we keep hidden sizes uniform across the networks for both baseline and focus models, and we gridsearch hidden sizes of 128 and 512.</w:t>
      </w: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stratify our data when we split into training and test sets, and we use a 80 : 20 train test split. To help our model learn instances of churn despite the dataset’s class imbalance, we duplicate instances of churn until the dataset is composed of 40% churn instances and 60% no churn instances. We run variational inference for 200 epochs or until loss increases for 20 consecutive epochs.</w:t>
      </w:r>
    </w:p>
    <w:p w:rsidR="00000000" w:rsidDel="00000000" w:rsidP="00000000" w:rsidRDefault="00000000" w:rsidRPr="00000000" w14:paraId="00000029">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baseline models mentioned in the report on the Knowledge Discovery in Data Competition are evaluated using AUC. We will use AUC as a secondary metric so that we can compare our results with results previously published on this dataset. We will create precision/recall (PRC) plots to show the precision and recall of our models because these curves are shown to be most effective on imbalanced datasets (Saito, 2015). As described in the motivation, so we will seek to maximize the F</w:t>
      </w:r>
      <w:r w:rsidDel="00000000" w:rsidR="00000000" w:rsidRPr="00000000">
        <w:rPr>
          <w:rFonts w:ascii="Times New Roman" w:cs="Times New Roman" w:eastAsia="Times New Roman" w:hAnsi="Times New Roman"/>
          <w:color w:val="222222"/>
          <w:sz w:val="24"/>
          <w:szCs w:val="24"/>
          <w:vertAlign w:val="subscript"/>
          <w:rtl w:val="0"/>
        </w:rPr>
        <w:t xml:space="preserve">5</w:t>
      </w:r>
      <w:r w:rsidDel="00000000" w:rsidR="00000000" w:rsidRPr="00000000">
        <w:rPr>
          <w:rFonts w:ascii="Times New Roman" w:cs="Times New Roman" w:eastAsia="Times New Roman" w:hAnsi="Times New Roman"/>
          <w:color w:val="212529"/>
          <w:sz w:val="24"/>
          <w:szCs w:val="24"/>
          <w:rtl w:val="0"/>
        </w:rPr>
        <w:t xml:space="preserve">-score. This will allow us to compare the performance of our models, and understand whether accounting or heteroscedastic variance in our dataset results in more desirable predictions.</w:t>
      </w:r>
    </w:p>
    <w:p w:rsidR="00000000" w:rsidDel="00000000" w:rsidP="00000000" w:rsidRDefault="00000000" w:rsidRPr="00000000" w14:paraId="0000002A">
      <w:pPr>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evaluate the accuracy of our model’s predicted class probabilities with calibration plots. To create these plots, we group our model’s predictions by ranges of 10% of probabilities assigned by our model, and then count the number of instances from each group for which our model made the correct classification.</w:t>
      </w:r>
      <w:r w:rsidDel="00000000" w:rsidR="00000000" w:rsidRPr="00000000">
        <w:rPr>
          <w:rtl w:val="0"/>
        </w:rPr>
      </w:r>
    </w:p>
    <w:p w:rsidR="00000000" w:rsidDel="00000000" w:rsidP="00000000" w:rsidRDefault="00000000" w:rsidRPr="00000000" w14:paraId="0000002B">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ab/>
      </w:r>
      <w:r w:rsidDel="00000000" w:rsidR="00000000" w:rsidRPr="00000000">
        <w:rPr>
          <w:rFonts w:ascii="Times New Roman" w:cs="Times New Roman" w:eastAsia="Times New Roman" w:hAnsi="Times New Roman"/>
          <w:color w:val="212529"/>
          <w:sz w:val="24"/>
          <w:szCs w:val="24"/>
          <w:rtl w:val="0"/>
        </w:rPr>
        <w:t xml:space="preserve">We use be using pytorch to implement our program. We implement variational inference ourselves.</w:t>
      </w:r>
    </w:p>
    <w:p w:rsidR="00000000" w:rsidDel="00000000" w:rsidP="00000000" w:rsidRDefault="00000000" w:rsidRPr="00000000" w14:paraId="0000002C">
      <w:pPr>
        <w:spacing w:after="240" w:lineRule="auto"/>
        <w:rPr>
          <w:rFonts w:ascii="Times New Roman" w:cs="Times New Roman" w:eastAsia="Times New Roman" w:hAnsi="Times New Roman"/>
          <w:b w:val="1"/>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Experiments</w:t>
      </w:r>
    </w:p>
    <w:p w:rsidR="00000000" w:rsidDel="00000000" w:rsidP="00000000" w:rsidRDefault="00000000" w:rsidRPr="00000000" w14:paraId="0000002D">
      <w:pPr>
        <w:spacing w:after="24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To validate our approach. We tested a simplified version of our model on a toy dataset. This dataset was comprised of X values between -10 and 10 with Y = X - 5 + noise. The noise was equal to samples from a normal distribution ~N(0, x + 10.0000001). The hyperparameters used to train the model are given below.</w:t>
      </w:r>
    </w:p>
    <w:p w:rsidR="00000000" w:rsidDel="00000000" w:rsidP="00000000" w:rsidRDefault="00000000" w:rsidRPr="00000000" w14:paraId="0000002E">
      <w:pPr>
        <w:spacing w:after="240" w:lineRule="auto"/>
        <w:rPr>
          <w:rFonts w:ascii="Times New Roman" w:cs="Times New Roman" w:eastAsia="Times New Roman" w:hAnsi="Times New Roman"/>
          <w:color w:val="212529"/>
          <w:sz w:val="24"/>
          <w:szCs w:val="24"/>
        </w:rPr>
      </w:pPr>
      <w:r w:rsidDel="00000000" w:rsidR="00000000" w:rsidRPr="00000000">
        <w:rPr>
          <w:rtl w:val="0"/>
        </w:rPr>
      </w:r>
    </w:p>
    <w:tbl>
      <w:tblPr>
        <w:tblStyle w:val="Table1"/>
        <w:tblW w:w="3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915"/>
        <w:tblGridChange w:id="0">
          <w:tblGrid>
            <w:gridCol w:w="2430"/>
            <w:gridCol w:w="915"/>
          </w:tblGrid>
        </w:tblGridChange>
      </w:tblGrid>
      <w:tr>
        <w:trPr>
          <w:trHeight w:val="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Hyperparameters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Batchsize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Number of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1e-3</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NN  Hidden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0</w:t>
            </w:r>
          </w:p>
        </w:tc>
      </w:tr>
    </w:tbl>
    <w:p w:rsidR="00000000" w:rsidDel="00000000" w:rsidP="00000000" w:rsidRDefault="00000000" w:rsidRPr="00000000" w14:paraId="00000039">
      <w:pPr>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Pr>
        <w:drawing>
          <wp:inline distB="114300" distT="114300" distL="114300" distR="114300">
            <wp:extent cx="3093572" cy="1957388"/>
            <wp:effectExtent b="0" l="0" r="0" t="0"/>
            <wp:docPr id="9"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3093572"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1: Loss for a linear model on our toy dataset. Hyperparameters used are batchsize of 100, 100 epochs, and learning rate of 1e-3</w:t>
      </w:r>
    </w:p>
    <w:p w:rsidR="00000000" w:rsidDel="00000000" w:rsidP="00000000" w:rsidRDefault="00000000" w:rsidRPr="00000000" w14:paraId="0000003B">
      <w:pPr>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3C">
      <w:pPr>
        <w:spacing w:after="240" w:lineRule="auto"/>
        <w:jc w:val="center"/>
        <w:rPr>
          <w:rFonts w:ascii="Times New Roman" w:cs="Times New Roman" w:eastAsia="Times New Roman" w:hAnsi="Times New Roman"/>
          <w:color w:val="212529"/>
          <w:sz w:val="24"/>
          <w:szCs w:val="24"/>
        </w:rPr>
      </w:pPr>
      <w:commentRangeStart w:id="1"/>
      <w:r w:rsidDel="00000000" w:rsidR="00000000" w:rsidRPr="00000000">
        <w:rPr>
          <w:rFonts w:ascii="Times New Roman" w:cs="Times New Roman" w:eastAsia="Times New Roman" w:hAnsi="Times New Roman"/>
          <w:color w:val="212529"/>
          <w:sz w:val="24"/>
          <w:szCs w:val="24"/>
        </w:rPr>
        <w:drawing>
          <wp:inline distB="114300" distT="114300" distL="114300" distR="114300">
            <wp:extent cx="4114800" cy="274320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rtl w:val="0"/>
        </w:rPr>
        <w:br w:type="textWrapping"/>
      </w:r>
      <w:r w:rsidDel="00000000" w:rsidR="00000000" w:rsidRPr="00000000">
        <w:rPr>
          <w:rFonts w:ascii="Times New Roman" w:cs="Times New Roman" w:eastAsia="Times New Roman" w:hAnsi="Times New Roman"/>
          <w:i w:val="1"/>
          <w:color w:val="212529"/>
          <w:sz w:val="24"/>
          <w:szCs w:val="24"/>
          <w:rtl w:val="0"/>
        </w:rPr>
        <w:t xml:space="preserve">Figure 2: Predicted means and standard deviations plotted against the real Y values in a toy dataset.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spacing w:after="240" w:lineRule="auto"/>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After training the model, we obtained predicted means and standard deviations for various X values. In the above figure we can observe these predicted means and standard deviations against the actual Y values. As X increases in value, the standard deviation increases.</w:t>
      </w:r>
    </w:p>
    <w:p w:rsidR="00000000" w:rsidDel="00000000" w:rsidP="00000000" w:rsidRDefault="00000000" w:rsidRPr="00000000" w14:paraId="0000003E">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784796" cy="2519363"/>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784796" cy="2519363"/>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rtl w:val="0"/>
        </w:rPr>
        <w:br w:type="textWrapping"/>
      </w:r>
      <w:r w:rsidDel="00000000" w:rsidR="00000000" w:rsidRPr="00000000">
        <w:rPr>
          <w:rFonts w:ascii="Times New Roman" w:cs="Times New Roman" w:eastAsia="Times New Roman" w:hAnsi="Times New Roman"/>
          <w:i w:val="1"/>
          <w:color w:val="212529"/>
          <w:sz w:val="24"/>
          <w:szCs w:val="24"/>
          <w:rtl w:val="0"/>
        </w:rPr>
        <w:t xml:space="preserve">Figure 3: Predicted standard deviations over X values against the standard deviation used to generate the dataset</w:t>
      </w:r>
      <w:r w:rsidDel="00000000" w:rsidR="00000000" w:rsidRPr="00000000">
        <w:rPr>
          <w:rtl w:val="0"/>
        </w:rPr>
      </w:r>
    </w:p>
    <w:p w:rsidR="00000000" w:rsidDel="00000000" w:rsidP="00000000" w:rsidRDefault="00000000" w:rsidRPr="00000000" w14:paraId="0000003F">
      <w:pPr>
        <w:spacing w:after="24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figure 3 we explicitly graph the standard deviation predicted from the network at various X values and compare it against the real standard deviation used to generate the data the model trained against. In this graph we can see our model outputs an exponential standard deviation. We believe this occurs because the simplified model is linear and outputs the log standard deviation. Therefore, the predicted log standard deviation is linear and the predicted standard deviation is exponential. After incorporating more layers into our network the output standard deviation will not be linear.</w:t>
      </w:r>
    </w:p>
    <w:p w:rsidR="00000000" w:rsidDel="00000000" w:rsidP="00000000" w:rsidRDefault="00000000" w:rsidRPr="00000000" w14:paraId="00000040">
      <w:pPr>
        <w:spacing w:after="24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On the same toy dataset parameters, we trained a baseline model that does not model heteroscedasticity. The hyperparameters were kept the same as the set used for the experimental model. The graphed results are as follows:</w:t>
      </w:r>
    </w:p>
    <w:p w:rsidR="00000000" w:rsidDel="00000000" w:rsidP="00000000" w:rsidRDefault="00000000" w:rsidRPr="00000000" w14:paraId="00000041">
      <w:pPr>
        <w:spacing w:after="240" w:lineRule="auto"/>
        <w:jc w:val="center"/>
        <w:rPr>
          <w:rFonts w:ascii="Times New Roman" w:cs="Times New Roman" w:eastAsia="Times New Roman" w:hAnsi="Times New Roman"/>
          <w:color w:val="212529"/>
          <w:sz w:val="24"/>
          <w:szCs w:val="24"/>
        </w:rPr>
      </w:pPr>
      <w:commentRangeStart w:id="2"/>
      <w:r w:rsidDel="00000000" w:rsidR="00000000" w:rsidRPr="00000000">
        <w:rPr>
          <w:rFonts w:ascii="Times New Roman" w:cs="Times New Roman" w:eastAsia="Times New Roman" w:hAnsi="Times New Roman"/>
          <w:color w:val="212529"/>
          <w:sz w:val="24"/>
          <w:szCs w:val="24"/>
        </w:rPr>
        <w:drawing>
          <wp:inline distB="114300" distT="114300" distL="114300" distR="114300">
            <wp:extent cx="3467100" cy="2371402"/>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67100" cy="2371402"/>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4: Loss for a homoscedastic linear model on our toy dataset. Hyperparameters used are batchsize of 100, 100 epochs, and learning rate of 1e-3</w:t>
      </w:r>
      <w:r w:rsidDel="00000000" w:rsidR="00000000" w:rsidRPr="00000000">
        <w:rPr>
          <w:rtl w:val="0"/>
        </w:rPr>
      </w:r>
    </w:p>
    <w:p w:rsidR="00000000" w:rsidDel="00000000" w:rsidP="00000000" w:rsidRDefault="00000000" w:rsidRPr="00000000" w14:paraId="00000043">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724275" cy="264795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724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lineRule="auto"/>
        <w:jc w:val="center"/>
        <w:rPr>
          <w:rFonts w:ascii="Times New Roman" w:cs="Times New Roman" w:eastAsia="Times New Roman" w:hAnsi="Times New Roman"/>
          <w:i w:val="1"/>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5: Performance of model with constant variance.</w:t>
      </w:r>
      <w:r w:rsidDel="00000000" w:rsidR="00000000" w:rsidRPr="00000000">
        <w:rPr>
          <w:rtl w:val="0"/>
        </w:rPr>
      </w:r>
    </w:p>
    <w:p w:rsidR="00000000" w:rsidDel="00000000" w:rsidP="00000000" w:rsidRDefault="00000000" w:rsidRPr="00000000" w14:paraId="00000045">
      <w:pPr>
        <w:spacing w:after="240" w:lineRule="auto"/>
        <w:jc w:val="cente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6">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3733800" cy="2647950"/>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6: Constant variance against the variance  used to generate the dataset</w:t>
      </w:r>
      <w:r w:rsidDel="00000000" w:rsidR="00000000" w:rsidRPr="00000000">
        <w:rPr>
          <w:rtl w:val="0"/>
        </w:rPr>
      </w:r>
    </w:p>
    <w:p w:rsidR="00000000" w:rsidDel="00000000" w:rsidP="00000000" w:rsidRDefault="00000000" w:rsidRPr="00000000" w14:paraId="00000048">
      <w:pPr>
        <w:spacing w:after="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529"/>
          <w:sz w:val="24"/>
          <w:szCs w:val="24"/>
          <w:rtl w:val="0"/>
        </w:rPr>
        <w:tab/>
        <w:t xml:space="preserve">As can be seen by the graphs, the baseline model and the experimental model predicted relatively similar mean values; however, it’s clear that the experimental model’s learned variance values describe the data more completely. In terms of basic metrics, the baseline model’s final batch resulted in a loss value of </w:t>
      </w:r>
      <w:r w:rsidDel="00000000" w:rsidR="00000000" w:rsidRPr="00000000">
        <w:rPr>
          <w:rFonts w:ascii="Times New Roman" w:cs="Times New Roman" w:eastAsia="Times New Roman" w:hAnsi="Times New Roman"/>
          <w:color w:val="212121"/>
          <w:sz w:val="24"/>
          <w:szCs w:val="24"/>
          <w:highlight w:val="white"/>
          <w:rtl w:val="0"/>
        </w:rPr>
        <w:t xml:space="preserve">8139.12 and a MAE value of 8.81, compared to the experimental model’s slightly higher loss value of 8230.07 and a slightly lower MAE value of 8.60. We have yet to confirm what the best value of </w:t>
      </w:r>
      <w:r w:rsidDel="00000000" w:rsidR="00000000" w:rsidRPr="00000000">
        <w:rPr>
          <w:rFonts w:ascii="Times New Roman" w:cs="Times New Roman" w:eastAsia="Times New Roman" w:hAnsi="Times New Roman"/>
          <w:color w:val="222222"/>
          <w:sz w:val="24"/>
          <w:szCs w:val="24"/>
          <w:highlight w:val="white"/>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 to use for the F</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β</w:t>
      </w:r>
      <w:r w:rsidDel="00000000" w:rsidR="00000000" w:rsidRPr="00000000">
        <w:rPr>
          <w:rFonts w:ascii="Times New Roman" w:cs="Times New Roman" w:eastAsia="Times New Roman" w:hAnsi="Times New Roman"/>
          <w:color w:val="222222"/>
          <w:sz w:val="24"/>
          <w:szCs w:val="24"/>
          <w:highlight w:val="white"/>
          <w:rtl w:val="0"/>
        </w:rPr>
        <w:t xml:space="preserve">, but once that is confirmed we will be using that primarily as the metric for evaluating and comparing the two models.</w:t>
      </w:r>
      <w:r w:rsidDel="00000000" w:rsidR="00000000" w:rsidRPr="00000000">
        <w:rPr>
          <w:rtl w:val="0"/>
        </w:rPr>
      </w:r>
    </w:p>
    <w:p w:rsidR="00000000" w:rsidDel="00000000" w:rsidP="00000000" w:rsidRDefault="00000000" w:rsidRPr="00000000" w14:paraId="00000049">
      <w:pPr>
        <w:spacing w:line="276" w:lineRule="auto"/>
        <w:ind w:left="0" w:firstLine="72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After performing our grid search, we found three layers of hidden size 128 and a learning rate of 9e-3 to be optimal for the focus and baseline methods. From here, we evaluated the models and generated calibration plots and precision-recall curves</w:t>
      </w:r>
    </w:p>
    <w:p w:rsidR="00000000" w:rsidDel="00000000" w:rsidP="00000000" w:rsidRDefault="00000000" w:rsidRPr="00000000" w14:paraId="0000004B">
      <w:pPr>
        <w:spacing w:after="240" w:lineRule="auto"/>
        <w:jc w:val="center"/>
        <w:rPr>
          <w:rFonts w:ascii="Times New Roman" w:cs="Times New Roman" w:eastAsia="Times New Roman" w:hAnsi="Times New Roman"/>
          <w:color w:val="212529"/>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171450</wp:posOffset>
            </wp:positionV>
            <wp:extent cx="5943600" cy="2971800"/>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2971800"/>
                    </a:xfrm>
                    <a:prstGeom prst="rect"/>
                    <a:ln/>
                  </pic:spPr>
                </pic:pic>
              </a:graphicData>
            </a:graphic>
          </wp:anchor>
        </w:drawing>
      </w:r>
    </w:p>
    <w:p w:rsidR="00000000" w:rsidDel="00000000" w:rsidP="00000000" w:rsidRDefault="00000000" w:rsidRPr="00000000" w14:paraId="0000004C">
      <w:pPr>
        <w:spacing w:after="240" w:lineRule="auto"/>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4D">
      <w:pPr>
        <w:spacing w:after="240" w:lineRule="auto"/>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4E">
      <w:pPr>
        <w:spacing w:after="240" w:lineRule="auto"/>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4F">
      <w:pPr>
        <w:spacing w:after="240" w:lineRule="auto"/>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50">
      <w:pPr>
        <w:spacing w:after="240" w:lineRule="auto"/>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51">
      <w:pPr>
        <w:spacing w:after="240" w:lineRule="auto"/>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52">
      <w:pPr>
        <w:spacing w:after="240" w:lineRule="auto"/>
        <w:jc w:val="left"/>
        <w:rPr>
          <w:rFonts w:ascii="Times New Roman" w:cs="Times New Roman" w:eastAsia="Times New Roman" w:hAnsi="Times New Roman"/>
          <w:i w:val="1"/>
          <w:color w:val="212529"/>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381000</wp:posOffset>
                </wp:positionV>
                <wp:extent cx="1071563" cy="279147"/>
                <wp:effectExtent b="0" l="0" r="0" t="0"/>
                <wp:wrapSquare wrapText="bothSides" distB="114300" distT="114300" distL="114300" distR="114300"/>
                <wp:docPr id="1" name=""/>
                <a:graphic>
                  <a:graphicData uri="http://schemas.microsoft.com/office/word/2010/wordprocessingShape">
                    <wps:wsp>
                      <wps:cNvSpPr txBox="1"/>
                      <wps:cNvPr id="2" name="Shape 2"/>
                      <wps:spPr>
                        <a:xfrm>
                          <a:off x="2374225" y="1348850"/>
                          <a:ext cx="1137000" cy="27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Predicted Probability</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381000</wp:posOffset>
                </wp:positionV>
                <wp:extent cx="1071563" cy="279147"/>
                <wp:effectExtent b="0" l="0" r="0" t="0"/>
                <wp:wrapSquare wrapText="bothSides" distB="114300" distT="114300" distL="114300" distR="114300"/>
                <wp:docPr id="1"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1071563" cy="279147"/>
                        </a:xfrm>
                        <a:prstGeom prst="rect"/>
                        <a:ln/>
                      </pic:spPr>
                    </pic:pic>
                  </a:graphicData>
                </a:graphic>
              </wp:anchor>
            </w:drawing>
          </mc:Fallback>
        </mc:AlternateContent>
      </w:r>
    </w:p>
    <w:p w:rsidR="00000000" w:rsidDel="00000000" w:rsidP="00000000" w:rsidRDefault="00000000" w:rsidRPr="00000000" w14:paraId="00000053">
      <w:pPr>
        <w:spacing w:after="240" w:lineRule="auto"/>
        <w:jc w:val="center"/>
        <w:rPr>
          <w:rFonts w:ascii="Times New Roman" w:cs="Times New Roman" w:eastAsia="Times New Roman" w:hAnsi="Times New Roman"/>
          <w:i w:val="1"/>
          <w:color w:val="212529"/>
          <w:sz w:val="24"/>
          <w:szCs w:val="24"/>
        </w:rPr>
      </w:pPr>
      <w:r w:rsidDel="00000000" w:rsidR="00000000" w:rsidRPr="00000000">
        <w:rPr>
          <w:rtl w:val="0"/>
        </w:rPr>
      </w:r>
    </w:p>
    <w:p w:rsidR="00000000" w:rsidDel="00000000" w:rsidP="00000000" w:rsidRDefault="00000000" w:rsidRPr="00000000" w14:paraId="00000054">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7: Calibration plot and histogram of predicted probabilities for focus model trained for 30 epochs with hidden size 128 and learning rate 9e-3</w:t>
      </w:r>
      <w:r w:rsidDel="00000000" w:rsidR="00000000" w:rsidRPr="00000000">
        <w:rPr>
          <w:rtl w:val="0"/>
        </w:rPr>
      </w:r>
    </w:p>
    <w:p w:rsidR="00000000" w:rsidDel="00000000" w:rsidP="00000000" w:rsidRDefault="00000000" w:rsidRPr="00000000" w14:paraId="00000055">
      <w:pPr>
        <w:spacing w:line="276" w:lineRule="auto"/>
        <w:ind w:left="44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6">
      <w:pPr>
        <w:spacing w:line="276" w:lineRule="auto"/>
        <w:ind w:left="44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7">
      <w:pPr>
        <w:spacing w:line="276" w:lineRule="auto"/>
        <w:ind w:left="44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8">
      <w:pPr>
        <w:spacing w:line="276" w:lineRule="auto"/>
        <w:ind w:left="44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5943600" cy="2971800"/>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lineRule="auto"/>
        <w:jc w:val="cente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i w:val="1"/>
          <w:color w:val="212529"/>
          <w:sz w:val="24"/>
          <w:szCs w:val="24"/>
          <w:rtl w:val="0"/>
        </w:rPr>
        <w:t xml:space="preserve">Figure 8: Calibration plot and histogram of predicted probabilities for baseline model trained for 30 epochs with hidden size 128 and learning rate 9e-3 and homoscedastic variance of 0.1</w:t>
      </w:r>
      <w:r w:rsidDel="00000000" w:rsidR="00000000" w:rsidRPr="00000000">
        <w:rPr>
          <w:rtl w:val="0"/>
        </w:rPr>
      </w:r>
    </w:p>
    <w:p w:rsidR="00000000" w:rsidDel="00000000" w:rsidP="00000000" w:rsidRDefault="00000000" w:rsidRPr="00000000" w14:paraId="0000005A">
      <w:pPr>
        <w:spacing w:line="276" w:lineRule="auto"/>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ab/>
        <w:t xml:space="preserve">Unfortunately, we were not able to generate significantly different results between our focus method and the baseline method. One concern that came up is that the differences to model aleatoric uncertainty in binary classification are relatively small in comparison to multi-class classification or even regression, which we did when testing our model against toy data. Other things that may have caused issues were insufficient training epochs. In the future, it would be good to explore both of these issues further.</w:t>
      </w:r>
    </w:p>
    <w:p w:rsidR="00000000" w:rsidDel="00000000" w:rsidP="00000000" w:rsidRDefault="00000000" w:rsidRPr="00000000" w14:paraId="0000005C">
      <w:pPr>
        <w:spacing w:line="276" w:lineRule="auto"/>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D">
      <w:pPr>
        <w:spacing w:line="480" w:lineRule="auto"/>
        <w:ind w:left="44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E">
      <w:pPr>
        <w:spacing w:after="240" w:before="240" w:line="480" w:lineRule="auto"/>
        <w:ind w:left="900" w:hanging="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480" w:lineRule="auto"/>
        <w:ind w:left="900" w:hanging="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480" w:lineRule="auto"/>
        <w:ind w:left="900" w:hanging="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480" w:lineRule="auto"/>
        <w:ind w:left="900" w:hanging="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480" w:lineRule="auto"/>
        <w:ind w:left="900" w:hanging="45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Blundell, C., Cornebise, J., Kavukcuoglu, K. &amp; Wierstra, D.. (2015). Weight Uncertainty in Neural Network. </w:t>
      </w:r>
      <w:r w:rsidDel="00000000" w:rsidR="00000000" w:rsidRPr="00000000">
        <w:rPr>
          <w:rFonts w:ascii="Times New Roman" w:cs="Times New Roman" w:eastAsia="Times New Roman" w:hAnsi="Times New Roman"/>
          <w:i w:val="1"/>
          <w:sz w:val="24"/>
          <w:szCs w:val="24"/>
          <w:rtl w:val="0"/>
        </w:rPr>
        <w:t xml:space="preserve">Proceedings of the 32nd International Conference on Machine Learning, in PMLR</w:t>
      </w:r>
      <w:r w:rsidDel="00000000" w:rsidR="00000000" w:rsidRPr="00000000">
        <w:rPr>
          <w:rFonts w:ascii="Times New Roman" w:cs="Times New Roman" w:eastAsia="Times New Roman" w:hAnsi="Times New Roman"/>
          <w:sz w:val="24"/>
          <w:szCs w:val="24"/>
          <w:rtl w:val="0"/>
        </w:rPr>
        <w:t xml:space="preserve"> 37:1613-1622</w:t>
      </w:r>
      <w:r w:rsidDel="00000000" w:rsidR="00000000" w:rsidRPr="00000000">
        <w:rPr>
          <w:rtl w:val="0"/>
        </w:rPr>
      </w:r>
    </w:p>
    <w:p w:rsidR="00000000" w:rsidDel="00000000" w:rsidP="00000000" w:rsidRDefault="00000000" w:rsidRPr="00000000" w14:paraId="00000063">
      <w:pPr>
        <w:spacing w:after="240" w:before="240" w:line="480" w:lineRule="auto"/>
        <w:ind w:left="880" w:hanging="440"/>
        <w:rPr>
          <w:rFonts w:ascii="Times New Roman" w:cs="Times New Roman" w:eastAsia="Times New Roman" w:hAnsi="Times New Roman"/>
          <w:color w:val="333333"/>
          <w:sz w:val="24"/>
          <w:szCs w:val="24"/>
          <w:highlight w:val="white"/>
        </w:rPr>
      </w:pPr>
      <w:commentRangeStart w:id="3"/>
      <w:commentRangeStart w:id="4"/>
      <w:commentRangeStart w:id="5"/>
      <w:commentRangeStart w:id="6"/>
      <w:r w:rsidDel="00000000" w:rsidR="00000000" w:rsidRPr="00000000">
        <w:rPr>
          <w:rFonts w:ascii="Times New Roman" w:cs="Times New Roman" w:eastAsia="Times New Roman" w:hAnsi="Times New Roman"/>
          <w:color w:val="333333"/>
          <w:sz w:val="24"/>
          <w:szCs w:val="24"/>
          <w:highlight w:val="white"/>
          <w:rtl w:val="0"/>
        </w:rPr>
        <w:t xml:space="preserve">Kendall, A., &amp; Gal, Y. (2017). What Uncertainties Do We Need in Bayesian Deep Learning for Computer Vision? </w:t>
      </w:r>
      <w:r w:rsidDel="00000000" w:rsidR="00000000" w:rsidRPr="00000000">
        <w:rPr>
          <w:rFonts w:ascii="Times New Roman" w:cs="Times New Roman" w:eastAsia="Times New Roman" w:hAnsi="Times New Roman"/>
          <w:i w:val="1"/>
          <w:color w:val="333333"/>
          <w:sz w:val="24"/>
          <w:szCs w:val="24"/>
          <w:highlight w:val="white"/>
          <w:rtl w:val="0"/>
        </w:rPr>
        <w:t xml:space="preserve">Advances in Neural Information Processing Systems 30</w:t>
      </w:r>
      <w:r w:rsidDel="00000000" w:rsidR="00000000" w:rsidRPr="00000000">
        <w:rPr>
          <w:rFonts w:ascii="Times New Roman" w:cs="Times New Roman" w:eastAsia="Times New Roman" w:hAnsi="Times New Roman"/>
          <w:color w:val="333333"/>
          <w:sz w:val="24"/>
          <w:szCs w:val="24"/>
          <w:highlight w:val="white"/>
          <w:rtl w:val="0"/>
        </w:rPr>
        <w:t xml:space="preserve"> (pp. 5574–5584).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4">
      <w:pPr>
        <w:spacing w:after="240" w:before="240" w:line="480" w:lineRule="auto"/>
        <w:ind w:left="880" w:hanging="44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Kingma, Diederik P, and Max Welling. (2014) “Proceedings of the 2nd International Conference on Learning Representations.” ArXiv, </w:t>
      </w:r>
      <w:r w:rsidDel="00000000" w:rsidR="00000000" w:rsidRPr="00000000">
        <w:rPr>
          <w:rFonts w:ascii="Times New Roman" w:cs="Times New Roman" w:eastAsia="Times New Roman" w:hAnsi="Times New Roman"/>
          <w:i w:val="1"/>
          <w:color w:val="333333"/>
          <w:sz w:val="24"/>
          <w:szCs w:val="24"/>
          <w:highlight w:val="white"/>
          <w:rtl w:val="0"/>
        </w:rPr>
        <w:t xml:space="preserve">Auto-Encoding Variational Bayes</w:t>
      </w:r>
      <w:r w:rsidDel="00000000" w:rsidR="00000000" w:rsidRPr="00000000">
        <w:rPr>
          <w:rtl w:val="0"/>
        </w:rPr>
      </w:r>
    </w:p>
    <w:p w:rsidR="00000000" w:rsidDel="00000000" w:rsidP="00000000" w:rsidRDefault="00000000" w:rsidRPr="00000000" w14:paraId="00000065">
      <w:pPr>
        <w:spacing w:after="240" w:before="240"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529"/>
          <w:sz w:val="24"/>
          <w:szCs w:val="24"/>
          <w:rtl w:val="0"/>
        </w:rPr>
        <w:t xml:space="preserve">Saito, T., &amp; Rehmsmeier, M. (2015). The Precision-Recall Plot Is More Informative than the ROC Plot When Evaluating Binary Classifiers on Imbalanced Datasets. </w:t>
      </w:r>
      <w:r w:rsidDel="00000000" w:rsidR="00000000" w:rsidRPr="00000000">
        <w:rPr>
          <w:rFonts w:ascii="Times New Roman" w:cs="Times New Roman" w:eastAsia="Times New Roman" w:hAnsi="Times New Roman"/>
          <w:i w:val="1"/>
          <w:color w:val="212529"/>
          <w:sz w:val="24"/>
          <w:szCs w:val="24"/>
          <w:rtl w:val="0"/>
        </w:rPr>
        <w:t xml:space="preserve">PLOS ONE</w:t>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i w:val="1"/>
          <w:color w:val="212529"/>
          <w:sz w:val="24"/>
          <w:szCs w:val="24"/>
          <w:rtl w:val="0"/>
        </w:rPr>
        <w:t xml:space="preserve">10</w:t>
      </w:r>
      <w:r w:rsidDel="00000000" w:rsidR="00000000" w:rsidRPr="00000000">
        <w:rPr>
          <w:rFonts w:ascii="Times New Roman" w:cs="Times New Roman" w:eastAsia="Times New Roman" w:hAnsi="Times New Roman"/>
          <w:color w:val="212529"/>
          <w:sz w:val="24"/>
          <w:szCs w:val="24"/>
          <w:rtl w:val="0"/>
        </w:rPr>
        <w:t xml:space="preserve">(3), e0118432.</w:t>
      </w:r>
      <w:hyperlink r:id="rId25">
        <w:r w:rsidDel="00000000" w:rsidR="00000000" w:rsidRPr="00000000">
          <w:rPr>
            <w:rFonts w:ascii="Times New Roman" w:cs="Times New Roman" w:eastAsia="Times New Roman" w:hAnsi="Times New Roman"/>
            <w:color w:val="212529"/>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https://doi.org/10.1371/journal.pone.0118432</w:t>
        </w:r>
      </w:hyperlink>
      <w:r w:rsidDel="00000000" w:rsidR="00000000" w:rsidRPr="00000000">
        <w:rPr>
          <w:rtl w:val="0"/>
        </w:rPr>
      </w:r>
    </w:p>
    <w:p w:rsidR="00000000" w:rsidDel="00000000" w:rsidP="00000000" w:rsidRDefault="00000000" w:rsidRPr="00000000" w14:paraId="00000066">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Vafeiadis, T., Diamantaras, K. I., Sarigiannidis, G., &amp; Chatzisavvas, K. Ch. (2015). A comparison of machine learning techniques for customer churn prediction. </w:t>
      </w:r>
      <w:r w:rsidDel="00000000" w:rsidR="00000000" w:rsidRPr="00000000">
        <w:rPr>
          <w:rFonts w:ascii="Times New Roman" w:cs="Times New Roman" w:eastAsia="Times New Roman" w:hAnsi="Times New Roman"/>
          <w:i w:val="1"/>
          <w:sz w:val="24"/>
          <w:szCs w:val="24"/>
          <w:rtl w:val="0"/>
        </w:rPr>
        <w:t xml:space="preserve">Simulation Modelling Practice and Theory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 1–9.</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https://doi.org/10.1016/j.simpat.2015.03.003</w:t>
        </w:r>
      </w:hyperlink>
      <w:r w:rsidDel="00000000" w:rsidR="00000000" w:rsidRPr="00000000">
        <w:rPr>
          <w:rtl w:val="0"/>
        </w:rPr>
      </w:r>
    </w:p>
    <w:p w:rsidR="00000000" w:rsidDel="00000000" w:rsidP="00000000" w:rsidRDefault="00000000" w:rsidRPr="00000000" w14:paraId="00000067">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C., &amp; Neal, R. M. (2012). </w:t>
      </w:r>
      <w:r w:rsidDel="00000000" w:rsidR="00000000" w:rsidRPr="00000000">
        <w:rPr>
          <w:rFonts w:ascii="Times New Roman" w:cs="Times New Roman" w:eastAsia="Times New Roman" w:hAnsi="Times New Roman"/>
          <w:i w:val="1"/>
          <w:sz w:val="24"/>
          <w:szCs w:val="24"/>
          <w:rtl w:val="0"/>
        </w:rPr>
        <w:t xml:space="preserve">Gaussian Process Regression with Heteroscedastic or Non-Gaussian Residuals</w:t>
      </w:r>
      <w:r w:rsidDel="00000000" w:rsidR="00000000" w:rsidRPr="00000000">
        <w:rPr>
          <w:rFonts w:ascii="Times New Roman" w:cs="Times New Roman" w:eastAsia="Times New Roman" w:hAnsi="Times New Roman"/>
          <w:sz w:val="24"/>
          <w:szCs w:val="24"/>
          <w:rtl w:val="0"/>
        </w:rPr>
        <w:t xml:space="preserve">. Technical report, University of Toronto.  </w:t>
      </w:r>
      <w:hyperlink r:id="rId29">
        <w:r w:rsidDel="00000000" w:rsidR="00000000" w:rsidRPr="00000000">
          <w:rPr>
            <w:rFonts w:ascii="Times New Roman" w:cs="Times New Roman" w:eastAsia="Times New Roman" w:hAnsi="Times New Roman"/>
            <w:color w:val="1155cc"/>
            <w:sz w:val="24"/>
            <w:szCs w:val="24"/>
            <w:u w:val="single"/>
            <w:rtl w:val="0"/>
          </w:rPr>
          <w:t xml:space="preserve">http://arxiv.org/abs/1212.6246</w:t>
        </w:r>
      </w:hyperlink>
      <w:r w:rsidDel="00000000" w:rsidR="00000000" w:rsidRPr="00000000">
        <w:rPr>
          <w:rtl w:val="0"/>
        </w:rPr>
      </w:r>
    </w:p>
    <w:p w:rsidR="00000000" w:rsidDel="00000000" w:rsidP="00000000" w:rsidRDefault="00000000" w:rsidRPr="00000000" w14:paraId="00000068">
      <w:pPr>
        <w:spacing w:after="240" w:before="240" w:line="480" w:lineRule="auto"/>
        <w:ind w:left="90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R., Li, W., Tan, W., &amp; Mo, T. (2017) "Deep and Shallow Model for Insurance Churn Prediction Service," </w:t>
      </w:r>
      <w:r w:rsidDel="00000000" w:rsidR="00000000" w:rsidRPr="00000000">
        <w:rPr>
          <w:rFonts w:ascii="Times New Roman" w:cs="Times New Roman" w:eastAsia="Times New Roman" w:hAnsi="Times New Roman"/>
          <w:i w:val="1"/>
          <w:sz w:val="24"/>
          <w:szCs w:val="24"/>
          <w:rtl w:val="0"/>
        </w:rPr>
        <w:t xml:space="preserve">2017 IEEE International Conference on Services Computing (SCC)</w:t>
      </w:r>
      <w:r w:rsidDel="00000000" w:rsidR="00000000" w:rsidRPr="00000000">
        <w:rPr>
          <w:rFonts w:ascii="Times New Roman" w:cs="Times New Roman" w:eastAsia="Times New Roman" w:hAnsi="Times New Roman"/>
          <w:sz w:val="24"/>
          <w:szCs w:val="24"/>
          <w:rtl w:val="0"/>
        </w:rPr>
        <w:t xml:space="preserve">, Honolulu, HI, pp. 346-353. </w:t>
      </w:r>
      <w:hyperlink r:id="rId30">
        <w:r w:rsidDel="00000000" w:rsidR="00000000" w:rsidRPr="00000000">
          <w:rPr>
            <w:rFonts w:ascii="Times New Roman" w:cs="Times New Roman" w:eastAsia="Times New Roman" w:hAnsi="Times New Roman"/>
            <w:color w:val="1155cc"/>
            <w:sz w:val="24"/>
            <w:szCs w:val="24"/>
            <w:u w:val="single"/>
            <w:rtl w:val="0"/>
          </w:rPr>
          <w:t xml:space="preserve">https://doi.org/10.1109/SCC.2017.51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480" w:lineRule="auto"/>
        <w:ind w:left="90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Roeder, G., Wu, Y., &amp; Duvenaud, D. K. (2017). Sticking the landing: Simple, lower-variance gradient estimators for variational inference. In Advances in Neural Information Processing Systems (pp. 6925-6934). </w:t>
      </w:r>
      <w:hyperlink r:id="rId31">
        <w:r w:rsidDel="00000000" w:rsidR="00000000" w:rsidRPr="00000000">
          <w:rPr>
            <w:rFonts w:ascii="Times New Roman" w:cs="Times New Roman" w:eastAsia="Times New Roman" w:hAnsi="Times New Roman"/>
            <w:color w:val="1155cc"/>
            <w:sz w:val="24"/>
            <w:szCs w:val="24"/>
            <w:u w:val="single"/>
            <w:rtl w:val="0"/>
          </w:rPr>
          <w:t xml:space="preserve">http://papers.nips.cc/paper/7268-sticking-the-landing-simple-lower-variance-gradient-estimators-for-variational-inference.pdf</w:t>
        </w:r>
      </w:hyperlink>
      <w:r w:rsidDel="00000000" w:rsidR="00000000" w:rsidRPr="00000000">
        <w:rPr>
          <w:rtl w:val="0"/>
        </w:rPr>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 M., Quiroz, M., Kohn, R., &amp; Sisson, S. A. (2019, April). Variance reduction properties of the reparameterization trick. In The 22nd International Conference on Artificial Intelligence and Statistics (pp. 2711-2720).</w:t>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Berman" w:id="1" w:date="2019-12-18T06:08:0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comparison between Fig 2 and Fig 5. I suggest keeping a fig like this in the final report, which would show the performance on the same dataset for a range of architectures (with and without heterskedasticity)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I'm a bit concerned there is not one more level of concrete plan about the kind of results fig you'll make on real data to prove/disprove your hypothesis.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don't have any sense of calibration evaluation yet, which I feel like should have been debugged by now.</w:t>
      </w:r>
    </w:p>
  </w:comment>
  <w:comment w:author="Daniel Berman" w:id="3" w:date="2019-12-18T06:10: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key citations missing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refs and heterskedastic refs could be improved</w:t>
      </w:r>
    </w:p>
  </w:comment>
  <w:comment w:author="Emerson Wenzel" w:id="4" w:date="2019-12-19T01:42:41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Reparameterization trick citation added.</w:t>
      </w:r>
    </w:p>
  </w:comment>
  <w:comment w:author="Emerson Wenzel" w:id="5" w:date="2019-12-19T01:43:3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we want the Blundell paper instead of the kingma?</w:t>
      </w:r>
    </w:p>
  </w:comment>
  <w:comment w:author="Emerson Wenzel" w:id="6" w:date="2019-12-19T01:46:22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I think I'm incorrect.</w:t>
      </w:r>
    </w:p>
  </w:comment>
  <w:comment w:author="Andy W" w:id="0" w:date="2019-12-19T04:16:13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change this to be sigma squared? (variance)</w:t>
      </w:r>
    </w:p>
  </w:comment>
  <w:comment w:author="Daniel Berman" w:id="2" w:date="2019-12-18T06:08:3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put results from focus and baseline side-by-side in one figure, so easy to compare.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4.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26" Type="http://schemas.openxmlformats.org/officeDocument/2006/relationships/hyperlink" Target="https://doi.org/10.1371/journal.pone.0118432" TargetMode="External"/><Relationship Id="rId25" Type="http://schemas.openxmlformats.org/officeDocument/2006/relationships/hyperlink" Target="https://doi.org/10.1371/journal.pone.0118432" TargetMode="External"/><Relationship Id="rId28" Type="http://schemas.openxmlformats.org/officeDocument/2006/relationships/hyperlink" Target="https://doi.org/10.1016/j.simpat.2015.03.003" TargetMode="External"/><Relationship Id="rId27" Type="http://schemas.openxmlformats.org/officeDocument/2006/relationships/hyperlink" Target="https://doi.org/10.1016/j.simpat.2015.03.003"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arxiv.org/abs/1212.6246" TargetMode="External"/><Relationship Id="rId7" Type="http://schemas.openxmlformats.org/officeDocument/2006/relationships/image" Target="media/image1.jpg"/><Relationship Id="rId8" Type="http://schemas.openxmlformats.org/officeDocument/2006/relationships/image" Target="media/image3.jpg"/><Relationship Id="rId31" Type="http://schemas.openxmlformats.org/officeDocument/2006/relationships/hyperlink" Target="http://papers.nips.cc/paper/7268-sticking-the-landing-simple-lower-variance-gradient-estimators-for-variational-inference.pdf" TargetMode="External"/><Relationship Id="rId30" Type="http://schemas.openxmlformats.org/officeDocument/2006/relationships/hyperlink" Target="https://doi.org/10.1109/SCC.2017.51" TargetMode="External"/><Relationship Id="rId11" Type="http://schemas.openxmlformats.org/officeDocument/2006/relationships/image" Target="media/image9.jpg"/><Relationship Id="rId10" Type="http://schemas.openxmlformats.org/officeDocument/2006/relationships/image" Target="media/image13.jpg"/><Relationship Id="rId32"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7.jpg"/><Relationship Id="rId15" Type="http://schemas.openxmlformats.org/officeDocument/2006/relationships/hyperlink" Target="http://www.mtome.com/Publications/CiML/CiML-v3-book.pdf" TargetMode="External"/><Relationship Id="rId14" Type="http://schemas.openxmlformats.org/officeDocument/2006/relationships/hyperlink" Target="https://www.kdd.org/kdd-cup/view/kdd-cup-2009/Data" TargetMode="External"/><Relationship Id="rId17" Type="http://schemas.openxmlformats.org/officeDocument/2006/relationships/image" Target="media/image12.png"/><Relationship Id="rId16" Type="http://schemas.openxmlformats.org/officeDocument/2006/relationships/image" Target="media/image15.jpg"/><Relationship Id="rId19" Type="http://schemas.openxmlformats.org/officeDocument/2006/relationships/image" Target="media/image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