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C240" w14:textId="6EE88938" w:rsidR="00CF45D4" w:rsidRDefault="00CF45D4">
      <w:r>
        <w:t>FYP Project Report</w:t>
      </w:r>
    </w:p>
    <w:p w14:paraId="52314705" w14:textId="77777777" w:rsidR="00CF45D4" w:rsidRDefault="00CF45D4"/>
    <w:p w14:paraId="0E8F4905" w14:textId="29F11059" w:rsidR="00AB016B" w:rsidRDefault="00AB016B">
      <w:r>
        <w:t>Data Sources</w:t>
      </w:r>
    </w:p>
    <w:p w14:paraId="4793FC44" w14:textId="77777777" w:rsidR="00AB016B" w:rsidRDefault="00AB016B"/>
    <w:p w14:paraId="24BDDD6C" w14:textId="6067EE57" w:rsidR="00AB016B" w:rsidRDefault="00AB016B">
      <w:r>
        <w:t>Data Processing</w:t>
      </w:r>
    </w:p>
    <w:p w14:paraId="27F4A534" w14:textId="77777777" w:rsidR="00AB016B" w:rsidRDefault="00AB016B"/>
    <w:p w14:paraId="5AD9454F" w14:textId="4A8A632D" w:rsidR="00CF45D4" w:rsidRDefault="00CF45D4">
      <w:r>
        <w:t>ML</w:t>
      </w:r>
      <w:r w:rsidR="001E4E86">
        <w:t xml:space="preserve"> Models</w:t>
      </w:r>
    </w:p>
    <w:p w14:paraId="35B040B3" w14:textId="77777777" w:rsidR="00CF45D4" w:rsidRDefault="00CF45D4"/>
    <w:p w14:paraId="5EDC5F32" w14:textId="6C34763C" w:rsidR="00CF45D4" w:rsidRDefault="00CF45D4">
      <w:r>
        <w:t>Linear regression</w:t>
      </w:r>
    </w:p>
    <w:p w14:paraId="66534F32" w14:textId="77777777" w:rsidR="001E4E86" w:rsidRDefault="001E4E86"/>
    <w:p w14:paraId="44FFC033" w14:textId="6EEFC386" w:rsidR="001E4E86" w:rsidRDefault="001E4E86">
      <w:r>
        <w:t>Ridge regression</w:t>
      </w:r>
    </w:p>
    <w:p w14:paraId="771A8906" w14:textId="77777777" w:rsidR="001E4E86" w:rsidRDefault="001E4E86"/>
    <w:p w14:paraId="6C160B52" w14:textId="77777777" w:rsidR="00CF45D4" w:rsidRDefault="00CF45D4"/>
    <w:p w14:paraId="0C1EF007" w14:textId="43D370C9" w:rsidR="00CF45D4" w:rsidRDefault="00CF45D4">
      <w:r>
        <w:t xml:space="preserve">Cross-validation </w:t>
      </w:r>
      <w:r w:rsidR="001E4E86">
        <w:t>(CV)</w:t>
      </w:r>
    </w:p>
    <w:p w14:paraId="43912C5E" w14:textId="77777777" w:rsidR="000101F0" w:rsidRDefault="00CF45D4" w:rsidP="00CF45D4">
      <w:pPr>
        <w:pStyle w:val="ListParagraph"/>
        <w:numPr>
          <w:ilvl w:val="0"/>
          <w:numId w:val="1"/>
        </w:numPr>
      </w:pPr>
      <w:r>
        <w:t xml:space="preserve">A model usually creates a prediction function from the same set of data, which might lead to a bias towards that </w:t>
      </w:r>
      <w:r w:rsidR="000101F0">
        <w:t>dataset</w:t>
      </w:r>
      <w:r>
        <w:t>. This</w:t>
      </w:r>
      <w:r w:rsidR="000101F0">
        <w:t xml:space="preserve"> might produce inaccuracies when prompted with un-seen data (a situation called overfitting)</w:t>
      </w:r>
      <w:r>
        <w:t xml:space="preserve">. </w:t>
      </w:r>
    </w:p>
    <w:p w14:paraId="0A683CD3" w14:textId="24263555" w:rsidR="00216FB7" w:rsidRDefault="00CF45D4" w:rsidP="00CF45D4">
      <w:pPr>
        <w:pStyle w:val="ListParagraph"/>
        <w:numPr>
          <w:ilvl w:val="0"/>
          <w:numId w:val="1"/>
        </w:numPr>
      </w:pPr>
      <w:r>
        <w:t xml:space="preserve">Cross-validation </w:t>
      </w:r>
      <w:r w:rsidR="00216FB7">
        <w:t xml:space="preserve">solves this problem by </w:t>
      </w:r>
      <w:r>
        <w:t>us</w:t>
      </w:r>
      <w:r w:rsidR="00216FB7">
        <w:t>ing</w:t>
      </w:r>
      <w:r>
        <w:t xml:space="preserve"> the K</w:t>
      </w:r>
      <w:r w:rsidR="00216FB7">
        <w:t>-</w:t>
      </w:r>
      <w:r>
        <w:t>fold strategy</w:t>
      </w:r>
      <w:r w:rsidR="00216FB7">
        <w:t xml:space="preserve">. The dataset is split into k smaller datasets and the model is trained and tested k times on k-1 folds and </w:t>
      </w:r>
      <w:proofErr w:type="gramStart"/>
      <w:r w:rsidR="00216FB7">
        <w:t>1 fold</w:t>
      </w:r>
      <w:proofErr w:type="gramEnd"/>
      <w:r w:rsidR="00216FB7">
        <w:t xml:space="preserve"> respectively.</w:t>
      </w:r>
      <w:r w:rsidR="001E4E86">
        <w:t xml:space="preserve"> </w:t>
      </w:r>
      <w:proofErr w:type="spellStart"/>
      <w:r w:rsidR="001E4E86">
        <w:t>Eg</w:t>
      </w:r>
      <w:proofErr w:type="spellEnd"/>
      <w:r w:rsidR="001E4E86">
        <w:t>, a CV with 5 folds running on a dataset of 100 data will produce 20 data per fold.</w:t>
      </w:r>
    </w:p>
    <w:p w14:paraId="788F105A" w14:textId="77777777" w:rsidR="001E4E86" w:rsidRDefault="00216FB7" w:rsidP="00CF45D4">
      <w:pPr>
        <w:pStyle w:val="ListParagraph"/>
        <w:numPr>
          <w:ilvl w:val="0"/>
          <w:numId w:val="1"/>
        </w:numPr>
      </w:pPr>
      <w:r>
        <w:t xml:space="preserve">Cross-validation is computationally </w:t>
      </w:r>
      <w:r w:rsidR="00CF45D4">
        <w:t xml:space="preserve">done using </w:t>
      </w:r>
      <w:r w:rsidR="00CF45D4" w:rsidRPr="00CF45D4">
        <w:t>the cross_val_score helper function on the dataset</w:t>
      </w:r>
      <w:r w:rsidR="00CF45D4">
        <w:t xml:space="preserve"> by splitting </w:t>
      </w:r>
      <w:r w:rsidR="00CF45D4" w:rsidRPr="00CF45D4">
        <w:t xml:space="preserve">the data, </w:t>
      </w:r>
      <w:r w:rsidR="00CF45D4">
        <w:t xml:space="preserve">fitting </w:t>
      </w:r>
      <w:r w:rsidR="00CF45D4" w:rsidRPr="00CF45D4">
        <w:t xml:space="preserve">a </w:t>
      </w:r>
      <w:r w:rsidRPr="00CF45D4">
        <w:t>model,</w:t>
      </w:r>
      <w:r w:rsidR="00CF45D4" w:rsidRPr="00CF45D4">
        <w:t xml:space="preserve"> and computing the score </w:t>
      </w:r>
      <w:r w:rsidR="00CF45D4">
        <w:t xml:space="preserve">for </w:t>
      </w:r>
      <w:r>
        <w:t>k</w:t>
      </w:r>
      <w:r w:rsidR="00CF45D4">
        <w:t xml:space="preserve"> number of </w:t>
      </w:r>
      <w:r w:rsidR="00CF45D4" w:rsidRPr="00CF45D4">
        <w:t>consecutive times (with different splits each time)</w:t>
      </w:r>
      <w:r w:rsidR="00CF45D4">
        <w:t xml:space="preserve">. </w:t>
      </w:r>
      <w:r w:rsidR="001E4E86" w:rsidRPr="001E4E86">
        <w:t>The Root Mean Squared Error (RMSE) is used as a performance metric.</w:t>
      </w:r>
    </w:p>
    <w:p w14:paraId="69217E47" w14:textId="674B0213" w:rsidR="00D15340" w:rsidRDefault="00216FB7" w:rsidP="00D15340">
      <w:pPr>
        <w:pStyle w:val="ListParagraph"/>
        <w:numPr>
          <w:ilvl w:val="0"/>
          <w:numId w:val="1"/>
        </w:numPr>
      </w:pPr>
      <w:r>
        <w:t>The results of each of the selected number of folds are documented below:</w:t>
      </w:r>
    </w:p>
    <w:p w14:paraId="6BBBE3B1" w14:textId="77777777" w:rsidR="001E4E86" w:rsidRDefault="001E4E86" w:rsidP="001E4E86">
      <w:pPr>
        <w:ind w:left="360"/>
      </w:pPr>
    </w:p>
    <w:tbl>
      <w:tblPr>
        <w:tblStyle w:val="TableGrid"/>
        <w:tblW w:w="9924" w:type="dxa"/>
        <w:jc w:val="center"/>
        <w:tblLook w:val="04A0" w:firstRow="1" w:lastRow="0" w:firstColumn="1" w:lastColumn="0" w:noHBand="0" w:noVBand="1"/>
      </w:tblPr>
      <w:tblGrid>
        <w:gridCol w:w="1550"/>
        <w:gridCol w:w="1995"/>
        <w:gridCol w:w="2268"/>
        <w:gridCol w:w="1984"/>
        <w:gridCol w:w="2127"/>
      </w:tblGrid>
      <w:tr w:rsidR="00D15340" w14:paraId="1062CBEC" w14:textId="7FF53471" w:rsidTr="00D15340">
        <w:trPr>
          <w:trHeight w:val="358"/>
          <w:jc w:val="center"/>
        </w:trPr>
        <w:tc>
          <w:tcPr>
            <w:tcW w:w="1550" w:type="dxa"/>
            <w:vMerge w:val="restart"/>
          </w:tcPr>
          <w:p w14:paraId="2CBE6DBB" w14:textId="0F248951" w:rsidR="00D15340" w:rsidRDefault="00D15340" w:rsidP="00D15340">
            <w:pPr>
              <w:jc w:val="center"/>
            </w:pPr>
            <w:r>
              <w:t>K - folds</w:t>
            </w:r>
          </w:p>
        </w:tc>
        <w:tc>
          <w:tcPr>
            <w:tcW w:w="4263" w:type="dxa"/>
            <w:gridSpan w:val="2"/>
          </w:tcPr>
          <w:p w14:paraId="658B9FE9" w14:textId="2095C608" w:rsidR="00D15340" w:rsidRDefault="00D15340" w:rsidP="00D15340">
            <w:pPr>
              <w:jc w:val="center"/>
            </w:pPr>
            <w:r>
              <w:t>Linear Regression</w:t>
            </w:r>
          </w:p>
        </w:tc>
        <w:tc>
          <w:tcPr>
            <w:tcW w:w="4111" w:type="dxa"/>
            <w:gridSpan w:val="2"/>
          </w:tcPr>
          <w:p w14:paraId="7CE9DAF8" w14:textId="42335547" w:rsidR="00D15340" w:rsidRDefault="00D15340" w:rsidP="00D15340">
            <w:pPr>
              <w:tabs>
                <w:tab w:val="left" w:pos="1223"/>
              </w:tabs>
              <w:jc w:val="center"/>
            </w:pPr>
            <w:r>
              <w:t>Ridge Regression</w:t>
            </w:r>
          </w:p>
        </w:tc>
      </w:tr>
      <w:tr w:rsidR="00D15340" w14:paraId="74F210F9" w14:textId="328248F7" w:rsidTr="00D15340">
        <w:trPr>
          <w:trHeight w:val="358"/>
          <w:jc w:val="center"/>
        </w:trPr>
        <w:tc>
          <w:tcPr>
            <w:tcW w:w="1550" w:type="dxa"/>
            <w:vMerge/>
          </w:tcPr>
          <w:p w14:paraId="19A5BCC3" w14:textId="77777777" w:rsidR="00D15340" w:rsidRDefault="00D15340" w:rsidP="00D15340">
            <w:pPr>
              <w:jc w:val="center"/>
            </w:pPr>
          </w:p>
        </w:tc>
        <w:tc>
          <w:tcPr>
            <w:tcW w:w="1995" w:type="dxa"/>
          </w:tcPr>
          <w:p w14:paraId="50C28E3A" w14:textId="517D2A2A" w:rsidR="00D15340" w:rsidRDefault="00D15340" w:rsidP="00D15340">
            <w:pPr>
              <w:tabs>
                <w:tab w:val="center" w:pos="1805"/>
                <w:tab w:val="right" w:pos="3610"/>
              </w:tabs>
              <w:jc w:val="center"/>
            </w:pPr>
            <w:r>
              <w:t>Mean RSME</w:t>
            </w:r>
          </w:p>
        </w:tc>
        <w:tc>
          <w:tcPr>
            <w:tcW w:w="2268" w:type="dxa"/>
          </w:tcPr>
          <w:p w14:paraId="06473612" w14:textId="43FE960F" w:rsidR="00D15340" w:rsidRDefault="00D15340" w:rsidP="00D15340">
            <w:pPr>
              <w:tabs>
                <w:tab w:val="center" w:pos="1805"/>
                <w:tab w:val="right" w:pos="3610"/>
              </w:tabs>
              <w:jc w:val="center"/>
            </w:pPr>
            <w:r>
              <w:t>Standard Deviation</w:t>
            </w:r>
          </w:p>
        </w:tc>
        <w:tc>
          <w:tcPr>
            <w:tcW w:w="1984" w:type="dxa"/>
          </w:tcPr>
          <w:p w14:paraId="3832C473" w14:textId="49C76260" w:rsidR="00D15340" w:rsidRDefault="00D15340" w:rsidP="00D15340">
            <w:pPr>
              <w:jc w:val="center"/>
            </w:pPr>
            <w:r>
              <w:t>Mean RSME</w:t>
            </w:r>
          </w:p>
        </w:tc>
        <w:tc>
          <w:tcPr>
            <w:tcW w:w="2127" w:type="dxa"/>
          </w:tcPr>
          <w:p w14:paraId="4B3602B9" w14:textId="3F11ADF7" w:rsidR="00D15340" w:rsidRDefault="00D15340" w:rsidP="00D15340">
            <w:pPr>
              <w:jc w:val="center"/>
            </w:pPr>
            <w:r>
              <w:t>Standard Deviation</w:t>
            </w:r>
          </w:p>
        </w:tc>
      </w:tr>
      <w:tr w:rsidR="00D15340" w14:paraId="45FB344A" w14:textId="7213489F" w:rsidTr="00D15340">
        <w:trPr>
          <w:trHeight w:val="342"/>
          <w:jc w:val="center"/>
        </w:trPr>
        <w:tc>
          <w:tcPr>
            <w:tcW w:w="1550" w:type="dxa"/>
          </w:tcPr>
          <w:p w14:paraId="423430B7" w14:textId="2FD1D7D1" w:rsidR="00D15340" w:rsidRDefault="00D15340" w:rsidP="00D15340">
            <w:pPr>
              <w:jc w:val="center"/>
            </w:pPr>
            <w:r>
              <w:t>5</w:t>
            </w:r>
          </w:p>
        </w:tc>
        <w:tc>
          <w:tcPr>
            <w:tcW w:w="1995" w:type="dxa"/>
          </w:tcPr>
          <w:p w14:paraId="6FD361E5" w14:textId="140A21F2" w:rsidR="00D15340" w:rsidRDefault="00D15340" w:rsidP="00D15340">
            <w:pPr>
              <w:jc w:val="center"/>
            </w:pPr>
            <w:r w:rsidRPr="00D15340">
              <w:t>101.66</w:t>
            </w:r>
          </w:p>
        </w:tc>
        <w:tc>
          <w:tcPr>
            <w:tcW w:w="2268" w:type="dxa"/>
          </w:tcPr>
          <w:p w14:paraId="673DB951" w14:textId="370BB9FB" w:rsidR="00D15340" w:rsidRDefault="0001636F" w:rsidP="00D15340">
            <w:pPr>
              <w:jc w:val="center"/>
            </w:pPr>
            <w:r w:rsidRPr="0001636F">
              <w:t>12.34</w:t>
            </w:r>
          </w:p>
        </w:tc>
        <w:tc>
          <w:tcPr>
            <w:tcW w:w="1984" w:type="dxa"/>
          </w:tcPr>
          <w:p w14:paraId="285B60DD" w14:textId="32577052" w:rsidR="00D15340" w:rsidRPr="00AB016B" w:rsidRDefault="0001636F" w:rsidP="00D15340">
            <w:pPr>
              <w:jc w:val="center"/>
            </w:pPr>
            <w:r w:rsidRPr="0001636F">
              <w:t>96.09</w:t>
            </w:r>
          </w:p>
        </w:tc>
        <w:tc>
          <w:tcPr>
            <w:tcW w:w="2127" w:type="dxa"/>
          </w:tcPr>
          <w:p w14:paraId="68D5FEA9" w14:textId="6836998F" w:rsidR="00D15340" w:rsidRPr="00AB016B" w:rsidRDefault="0001636F" w:rsidP="00D15340">
            <w:pPr>
              <w:jc w:val="center"/>
            </w:pPr>
            <w:r w:rsidRPr="0001636F">
              <w:t>11.00</w:t>
            </w:r>
          </w:p>
        </w:tc>
      </w:tr>
      <w:tr w:rsidR="00D15340" w14:paraId="4F107F45" w14:textId="34CAD09E" w:rsidTr="00D15340">
        <w:trPr>
          <w:trHeight w:val="342"/>
          <w:jc w:val="center"/>
        </w:trPr>
        <w:tc>
          <w:tcPr>
            <w:tcW w:w="1550" w:type="dxa"/>
          </w:tcPr>
          <w:p w14:paraId="4DC4512E" w14:textId="4DBC798D" w:rsidR="00D15340" w:rsidRDefault="00D15340" w:rsidP="00D15340">
            <w:pPr>
              <w:jc w:val="center"/>
            </w:pPr>
            <w:r>
              <w:t>10</w:t>
            </w:r>
          </w:p>
        </w:tc>
        <w:tc>
          <w:tcPr>
            <w:tcW w:w="1995" w:type="dxa"/>
          </w:tcPr>
          <w:p w14:paraId="08078C57" w14:textId="0314AFB1" w:rsidR="00D15340" w:rsidRDefault="0001636F" w:rsidP="00D15340">
            <w:pPr>
              <w:jc w:val="center"/>
            </w:pPr>
            <w:r w:rsidRPr="0001636F">
              <w:t>101.00</w:t>
            </w:r>
          </w:p>
        </w:tc>
        <w:tc>
          <w:tcPr>
            <w:tcW w:w="2268" w:type="dxa"/>
          </w:tcPr>
          <w:p w14:paraId="7F6B3656" w14:textId="0E7DFEA3" w:rsidR="00D15340" w:rsidRDefault="0001636F" w:rsidP="00D15340">
            <w:pPr>
              <w:jc w:val="center"/>
            </w:pPr>
            <w:r w:rsidRPr="0001636F">
              <w:t>24.29</w:t>
            </w:r>
          </w:p>
        </w:tc>
        <w:tc>
          <w:tcPr>
            <w:tcW w:w="1984" w:type="dxa"/>
          </w:tcPr>
          <w:p w14:paraId="2A615E8F" w14:textId="55572D7F" w:rsidR="00D15340" w:rsidRPr="00AB016B" w:rsidRDefault="0001636F" w:rsidP="00D15340">
            <w:pPr>
              <w:jc w:val="center"/>
            </w:pPr>
            <w:r w:rsidRPr="0001636F">
              <w:t>93.96</w:t>
            </w:r>
          </w:p>
        </w:tc>
        <w:tc>
          <w:tcPr>
            <w:tcW w:w="2127" w:type="dxa"/>
          </w:tcPr>
          <w:p w14:paraId="63B1FDE9" w14:textId="1D0C3C36" w:rsidR="00D15340" w:rsidRPr="00AB016B" w:rsidRDefault="0001636F" w:rsidP="00D15340">
            <w:pPr>
              <w:jc w:val="center"/>
            </w:pPr>
            <w:r w:rsidRPr="0001636F">
              <w:t>22.67</w:t>
            </w:r>
          </w:p>
        </w:tc>
      </w:tr>
      <w:tr w:rsidR="00D15340" w14:paraId="6D6B5E49" w14:textId="13547342" w:rsidTr="00D15340">
        <w:trPr>
          <w:trHeight w:val="342"/>
          <w:jc w:val="center"/>
        </w:trPr>
        <w:tc>
          <w:tcPr>
            <w:tcW w:w="1550" w:type="dxa"/>
          </w:tcPr>
          <w:p w14:paraId="10F00AB8" w14:textId="0BEC6062" w:rsidR="00D15340" w:rsidRDefault="00D15340" w:rsidP="00D15340">
            <w:pPr>
              <w:jc w:val="center"/>
            </w:pPr>
            <w:r>
              <w:t>15</w:t>
            </w:r>
          </w:p>
        </w:tc>
        <w:tc>
          <w:tcPr>
            <w:tcW w:w="1995" w:type="dxa"/>
          </w:tcPr>
          <w:p w14:paraId="57EC0A0F" w14:textId="6F906686" w:rsidR="00D15340" w:rsidRPr="00AB016B" w:rsidRDefault="0001636F" w:rsidP="00D15340">
            <w:pPr>
              <w:tabs>
                <w:tab w:val="left" w:pos="1309"/>
              </w:tabs>
              <w:jc w:val="center"/>
            </w:pPr>
            <w:r w:rsidRPr="0001636F">
              <w:t>99.06</w:t>
            </w:r>
          </w:p>
        </w:tc>
        <w:tc>
          <w:tcPr>
            <w:tcW w:w="2268" w:type="dxa"/>
          </w:tcPr>
          <w:p w14:paraId="63D7EB51" w14:textId="42D1F7B5" w:rsidR="00D15340" w:rsidRPr="00AB016B" w:rsidRDefault="0001636F" w:rsidP="00D15340">
            <w:pPr>
              <w:tabs>
                <w:tab w:val="left" w:pos="1309"/>
              </w:tabs>
              <w:jc w:val="center"/>
            </w:pPr>
            <w:r w:rsidRPr="0001636F">
              <w:t>25.88</w:t>
            </w:r>
          </w:p>
        </w:tc>
        <w:tc>
          <w:tcPr>
            <w:tcW w:w="1984" w:type="dxa"/>
          </w:tcPr>
          <w:p w14:paraId="1DC83702" w14:textId="17D77CE8" w:rsidR="00D15340" w:rsidRPr="00AB016B" w:rsidRDefault="0001636F" w:rsidP="00D15340">
            <w:pPr>
              <w:tabs>
                <w:tab w:val="left" w:pos="1309"/>
              </w:tabs>
              <w:jc w:val="center"/>
            </w:pPr>
            <w:r w:rsidRPr="0001636F">
              <w:t>92.84</w:t>
            </w:r>
          </w:p>
        </w:tc>
        <w:tc>
          <w:tcPr>
            <w:tcW w:w="2127" w:type="dxa"/>
          </w:tcPr>
          <w:p w14:paraId="29D677C8" w14:textId="04E98386" w:rsidR="00D15340" w:rsidRPr="00AB016B" w:rsidRDefault="0001636F" w:rsidP="00D15340">
            <w:pPr>
              <w:tabs>
                <w:tab w:val="left" w:pos="1309"/>
              </w:tabs>
              <w:jc w:val="center"/>
            </w:pPr>
            <w:r w:rsidRPr="0001636F">
              <w:t>28.69</w:t>
            </w:r>
          </w:p>
        </w:tc>
      </w:tr>
      <w:tr w:rsidR="00D15340" w14:paraId="508C7DFD" w14:textId="45859867" w:rsidTr="00D15340">
        <w:trPr>
          <w:trHeight w:val="342"/>
          <w:jc w:val="center"/>
        </w:trPr>
        <w:tc>
          <w:tcPr>
            <w:tcW w:w="1550" w:type="dxa"/>
          </w:tcPr>
          <w:p w14:paraId="5A8C577F" w14:textId="4860231D" w:rsidR="00D15340" w:rsidRDefault="00D15340" w:rsidP="00D15340">
            <w:pPr>
              <w:jc w:val="center"/>
            </w:pPr>
            <w:r>
              <w:t>20</w:t>
            </w:r>
          </w:p>
        </w:tc>
        <w:tc>
          <w:tcPr>
            <w:tcW w:w="1995" w:type="dxa"/>
          </w:tcPr>
          <w:p w14:paraId="1B87A92C" w14:textId="4B861E22" w:rsidR="00D15340" w:rsidRPr="00136E7A" w:rsidRDefault="0001636F" w:rsidP="00D15340">
            <w:pPr>
              <w:tabs>
                <w:tab w:val="left" w:pos="1309"/>
              </w:tabs>
              <w:jc w:val="center"/>
            </w:pPr>
            <w:r w:rsidRPr="0001636F">
              <w:t>99.10</w:t>
            </w:r>
          </w:p>
        </w:tc>
        <w:tc>
          <w:tcPr>
            <w:tcW w:w="2268" w:type="dxa"/>
          </w:tcPr>
          <w:p w14:paraId="55058A03" w14:textId="2CDB90E7" w:rsidR="00D15340" w:rsidRPr="00136E7A" w:rsidRDefault="0001636F" w:rsidP="00D15340">
            <w:pPr>
              <w:tabs>
                <w:tab w:val="left" w:pos="1309"/>
              </w:tabs>
              <w:jc w:val="center"/>
            </w:pPr>
            <w:r w:rsidRPr="0001636F">
              <w:t>30.38</w:t>
            </w:r>
          </w:p>
        </w:tc>
        <w:tc>
          <w:tcPr>
            <w:tcW w:w="1984" w:type="dxa"/>
          </w:tcPr>
          <w:p w14:paraId="7A5E4151" w14:textId="0CD92351" w:rsidR="00D15340" w:rsidRPr="00136E7A" w:rsidRDefault="0001636F" w:rsidP="00D15340">
            <w:pPr>
              <w:tabs>
                <w:tab w:val="left" w:pos="1309"/>
              </w:tabs>
              <w:jc w:val="center"/>
            </w:pPr>
            <w:r w:rsidRPr="0001636F">
              <w:t>92.24</w:t>
            </w:r>
          </w:p>
        </w:tc>
        <w:tc>
          <w:tcPr>
            <w:tcW w:w="2127" w:type="dxa"/>
          </w:tcPr>
          <w:p w14:paraId="3134721F" w14:textId="4B4A63EA" w:rsidR="00D15340" w:rsidRPr="00136E7A" w:rsidRDefault="0001636F" w:rsidP="00D15340">
            <w:pPr>
              <w:tabs>
                <w:tab w:val="left" w:pos="1309"/>
              </w:tabs>
              <w:jc w:val="center"/>
            </w:pPr>
            <w:r w:rsidRPr="0001636F">
              <w:t>30.91</w:t>
            </w:r>
          </w:p>
        </w:tc>
      </w:tr>
    </w:tbl>
    <w:p w14:paraId="5B6EA87C" w14:textId="77777777" w:rsidR="00216FB7" w:rsidRDefault="00216FB7" w:rsidP="00D15340"/>
    <w:p w14:paraId="171387CE" w14:textId="015EFB65" w:rsidR="00D15340" w:rsidRDefault="00D15340" w:rsidP="00D15340">
      <w:pPr>
        <w:pStyle w:val="ListParagraph"/>
        <w:numPr>
          <w:ilvl w:val="0"/>
          <w:numId w:val="1"/>
        </w:numPr>
      </w:pPr>
      <w:r>
        <w:t>Low Mean RMSE: This indicates that the model, on average, has a low prediction error</w:t>
      </w:r>
      <w:r>
        <w:t xml:space="preserve">, </w:t>
      </w:r>
      <w:r>
        <w:t>directly relates to the model's predictive power.</w:t>
      </w:r>
    </w:p>
    <w:p w14:paraId="634D9D9C" w14:textId="59DE8D44" w:rsidR="00D15340" w:rsidRDefault="00D15340" w:rsidP="00D15340">
      <w:pPr>
        <w:pStyle w:val="ListParagraph"/>
        <w:numPr>
          <w:ilvl w:val="0"/>
          <w:numId w:val="1"/>
        </w:numPr>
      </w:pPr>
      <w:r>
        <w:t xml:space="preserve">Low Standard Deviation: This suggests that </w:t>
      </w:r>
      <w:r>
        <w:t xml:space="preserve">the </w:t>
      </w:r>
      <w:r>
        <w:t>model's performance is consistent across different subsets of the dataset</w:t>
      </w:r>
      <w:r>
        <w:t xml:space="preserve">, </w:t>
      </w:r>
      <w:r>
        <w:t>crucial for ensuring that the model is reliable and not just performing well on specific types of data.</w:t>
      </w:r>
    </w:p>
    <w:p w14:paraId="35A4FAE0" w14:textId="61760718" w:rsidR="00D15340" w:rsidRDefault="00D15340" w:rsidP="00D15340">
      <w:pPr>
        <w:pStyle w:val="ListParagraph"/>
        <w:numPr>
          <w:ilvl w:val="0"/>
          <w:numId w:val="1"/>
        </w:numPr>
      </w:pPr>
      <w:r>
        <w:t xml:space="preserve">Considering the </w:t>
      </w:r>
      <w:r w:rsidRPr="00D15340">
        <w:t>trade-offs between accuracy and consistency</w:t>
      </w:r>
      <w:r>
        <w:t>, a model with a balanced mean RMSE and standard deviation is chosen for the context of predicting PGTAs to hire.</w:t>
      </w:r>
      <w:r w:rsidR="0001636F">
        <w:t xml:space="preserve"> Hence, the optimal model is the ridge regression model with </w:t>
      </w:r>
      <w:r w:rsidR="0001636F" w:rsidRPr="0001636F">
        <w:t>5-</w:t>
      </w:r>
      <w:r w:rsidR="0001636F">
        <w:t>f</w:t>
      </w:r>
      <w:r w:rsidR="0001636F" w:rsidRPr="0001636F">
        <w:t xml:space="preserve">old </w:t>
      </w:r>
      <w:r w:rsidR="0001636F">
        <w:t>c</w:t>
      </w:r>
      <w:r w:rsidR="0001636F" w:rsidRPr="0001636F">
        <w:t>ross-</w:t>
      </w:r>
      <w:r w:rsidR="0001636F">
        <w:t>v</w:t>
      </w:r>
      <w:r w:rsidR="0001636F" w:rsidRPr="0001636F">
        <w:t>alidation</w:t>
      </w:r>
      <w:r w:rsidR="0001636F">
        <w:t xml:space="preserve"> </w:t>
      </w:r>
    </w:p>
    <w:sectPr w:rsidR="00D1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723"/>
    <w:multiLevelType w:val="hybridMultilevel"/>
    <w:tmpl w:val="228470D8"/>
    <w:lvl w:ilvl="0" w:tplc="1BD64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3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D4"/>
    <w:rsid w:val="000101F0"/>
    <w:rsid w:val="0001636F"/>
    <w:rsid w:val="00136E7A"/>
    <w:rsid w:val="001E4E86"/>
    <w:rsid w:val="00216FB7"/>
    <w:rsid w:val="00477ECA"/>
    <w:rsid w:val="005C6A48"/>
    <w:rsid w:val="00821647"/>
    <w:rsid w:val="008A6DC0"/>
    <w:rsid w:val="00A56D45"/>
    <w:rsid w:val="00AB016B"/>
    <w:rsid w:val="00AF1191"/>
    <w:rsid w:val="00CF45D4"/>
    <w:rsid w:val="00D15340"/>
    <w:rsid w:val="00E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89C7"/>
  <w15:chartTrackingRefBased/>
  <w15:docId w15:val="{291D2B32-0ED8-234A-B9EF-858014B0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D4"/>
    <w:pPr>
      <w:ind w:left="720"/>
      <w:contextualSpacing/>
    </w:pPr>
  </w:style>
  <w:style w:type="table" w:styleId="TableGrid">
    <w:name w:val="Table Grid"/>
    <w:basedOn w:val="TableNormal"/>
    <w:uiPriority w:val="39"/>
    <w:rsid w:val="0021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Andrew</dc:creator>
  <cp:keywords/>
  <dc:description/>
  <cp:lastModifiedBy>Lau, Andrew</cp:lastModifiedBy>
  <cp:revision>4</cp:revision>
  <dcterms:created xsi:type="dcterms:W3CDTF">2024-01-10T21:53:00Z</dcterms:created>
  <dcterms:modified xsi:type="dcterms:W3CDTF">2024-01-13T16:08:00Z</dcterms:modified>
</cp:coreProperties>
</file>