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175" w:rsidRDefault="00DC0E80" w:rsidP="00DC0E80">
      <w:pPr>
        <w:jc w:val="center"/>
      </w:pPr>
      <w:r>
        <w:t>ABC Media</w:t>
      </w:r>
    </w:p>
    <w:p w:rsidR="00DC0E80" w:rsidRDefault="00DC0E80" w:rsidP="00DC0E80">
      <w:pPr>
        <w:jc w:val="center"/>
      </w:pPr>
      <w:r>
        <w:t>Consolidated Balance Sheet</w:t>
      </w:r>
    </w:p>
    <w:p w:rsidR="00DC0E80" w:rsidRDefault="00DC0E80" w:rsidP="00DC0E80">
      <w:pPr>
        <w:jc w:val="center"/>
      </w:pPr>
      <w:r>
        <w:t>At June 30</w:t>
      </w:r>
    </w:p>
    <w:p w:rsidR="00DC0E80" w:rsidRDefault="00DC0E80" w:rsidP="00DC0E80"/>
    <w:p w:rsidR="00DC0E80" w:rsidRDefault="00DC0E80" w:rsidP="00DC0E80">
      <w:pPr>
        <w:tabs>
          <w:tab w:val="right" w:pos="5040"/>
          <w:tab w:val="right" w:pos="7920"/>
        </w:tabs>
      </w:pPr>
      <w:r>
        <w:tab/>
        <w:t>Current Year</w:t>
      </w:r>
      <w:r>
        <w:tab/>
        <w:t>Previous Year</w:t>
      </w:r>
    </w:p>
    <w:p w:rsidR="00DC0E80" w:rsidRDefault="00DC0E80" w:rsidP="00DC0E80">
      <w:pPr>
        <w:tabs>
          <w:tab w:val="right" w:pos="5040"/>
          <w:tab w:val="right" w:pos="7920"/>
        </w:tabs>
      </w:pPr>
      <w:r>
        <w:t>Assets</w:t>
      </w:r>
    </w:p>
    <w:p w:rsidR="00DC0E80" w:rsidRDefault="00DC0E80" w:rsidP="00DC0E80">
      <w:pPr>
        <w:tabs>
          <w:tab w:val="right" w:pos="5040"/>
          <w:tab w:val="right" w:pos="7920"/>
        </w:tabs>
      </w:pPr>
      <w:r>
        <w:t>Cash</w:t>
      </w:r>
      <w:r>
        <w:tab/>
        <w:t>$45,430</w:t>
      </w:r>
      <w:r>
        <w:tab/>
        <w:t>$44,536</w:t>
      </w:r>
    </w:p>
    <w:p w:rsidR="00DC0E80" w:rsidRDefault="00DC0E80" w:rsidP="00DC0E80">
      <w:pPr>
        <w:tabs>
          <w:tab w:val="right" w:pos="5040"/>
          <w:tab w:val="right" w:pos="7920"/>
        </w:tabs>
      </w:pPr>
      <w:r>
        <w:t>Customer Deposits</w:t>
      </w:r>
      <w:r>
        <w:tab/>
        <w:t>85,930</w:t>
      </w:r>
      <w:r>
        <w:tab/>
        <w:t>75,930</w:t>
      </w:r>
    </w:p>
    <w:p w:rsidR="00DC0E80" w:rsidRDefault="00DC0E80" w:rsidP="00DC0E80">
      <w:pPr>
        <w:tabs>
          <w:tab w:val="right" w:pos="5040"/>
          <w:tab w:val="right" w:pos="7920"/>
        </w:tabs>
      </w:pPr>
      <w:r>
        <w:t>Equipment, Net</w:t>
      </w:r>
      <w:r>
        <w:tab/>
        <w:t>234,824</w:t>
      </w:r>
      <w:r>
        <w:tab/>
        <w:t>235,924</w:t>
      </w:r>
    </w:p>
    <w:p w:rsidR="00DC0E80" w:rsidRDefault="00DC0E80" w:rsidP="00DC0E80">
      <w:pPr>
        <w:tabs>
          <w:tab w:val="right" w:pos="5040"/>
          <w:tab w:val="right" w:pos="7920"/>
        </w:tabs>
      </w:pPr>
      <w:r>
        <w:t>Buildings, Net</w:t>
      </w:r>
      <w:r>
        <w:tab/>
        <w:t>1,927,245</w:t>
      </w:r>
      <w:r>
        <w:tab/>
        <w:t>1,927,350</w:t>
      </w:r>
    </w:p>
    <w:p w:rsidR="00DC0E80" w:rsidRDefault="00DC0E80" w:rsidP="00DC0E80">
      <w:pPr>
        <w:tabs>
          <w:tab w:val="right" w:pos="5040"/>
          <w:tab w:val="right" w:pos="7920"/>
        </w:tabs>
      </w:pPr>
      <w:r>
        <w:t>Total Assets</w:t>
      </w:r>
      <w:r>
        <w:tab/>
        <w:t>$2,293,429</w:t>
      </w:r>
      <w:r>
        <w:tab/>
        <w:t>$2,283,740</w:t>
      </w:r>
    </w:p>
    <w:p w:rsidR="00DC0E80" w:rsidRDefault="00DC0E80" w:rsidP="00DC0E80">
      <w:pPr>
        <w:tabs>
          <w:tab w:val="right" w:pos="5040"/>
          <w:tab w:val="right" w:pos="7920"/>
        </w:tabs>
      </w:pPr>
    </w:p>
    <w:p w:rsidR="00B802DF" w:rsidRDefault="00B802DF" w:rsidP="00DC0E80">
      <w:pPr>
        <w:tabs>
          <w:tab w:val="right" w:pos="5040"/>
          <w:tab w:val="right" w:pos="7920"/>
        </w:tabs>
      </w:pPr>
      <w:r>
        <w:t>Liabilities</w:t>
      </w:r>
    </w:p>
    <w:p w:rsidR="00B802DF" w:rsidRDefault="00B802DF" w:rsidP="00DC0E80">
      <w:pPr>
        <w:tabs>
          <w:tab w:val="right" w:pos="5040"/>
          <w:tab w:val="right" w:pos="7920"/>
        </w:tabs>
      </w:pPr>
      <w:r>
        <w:t>Accounts Payable</w:t>
      </w:r>
      <w:r>
        <w:tab/>
        <w:t>$42,569</w:t>
      </w:r>
      <w:r>
        <w:tab/>
        <w:t>$36,096</w:t>
      </w:r>
    </w:p>
    <w:p w:rsidR="00B802DF" w:rsidRDefault="00B802DF" w:rsidP="00DC0E80">
      <w:pPr>
        <w:tabs>
          <w:tab w:val="right" w:pos="5040"/>
          <w:tab w:val="right" w:pos="7920"/>
        </w:tabs>
      </w:pPr>
      <w:r>
        <w:t>Mortgage Payable</w:t>
      </w:r>
      <w:r>
        <w:tab/>
      </w:r>
      <w:r w:rsidR="006F6DD7">
        <w:t>1,592,742</w:t>
      </w:r>
      <w:r w:rsidR="006F6DD7">
        <w:tab/>
        <w:t>1,592,850</w:t>
      </w:r>
    </w:p>
    <w:p w:rsidR="006F6DD7" w:rsidRDefault="006F6DD7" w:rsidP="00DC0E80">
      <w:pPr>
        <w:tabs>
          <w:tab w:val="right" w:pos="5040"/>
          <w:tab w:val="right" w:pos="7920"/>
        </w:tabs>
      </w:pPr>
      <w:r>
        <w:t>Total Liabilities</w:t>
      </w:r>
      <w:r>
        <w:tab/>
        <w:t>$1,635,311</w:t>
      </w:r>
      <w:r>
        <w:tab/>
        <w:t>$1,628,946</w:t>
      </w:r>
    </w:p>
    <w:p w:rsidR="006F6DD7" w:rsidRDefault="006F6DD7" w:rsidP="00DC0E80">
      <w:pPr>
        <w:tabs>
          <w:tab w:val="right" w:pos="5040"/>
          <w:tab w:val="right" w:pos="7920"/>
        </w:tabs>
      </w:pPr>
    </w:p>
    <w:p w:rsidR="006F6DD7" w:rsidRDefault="006F6DD7" w:rsidP="00DC0E80">
      <w:pPr>
        <w:tabs>
          <w:tab w:val="right" w:pos="5040"/>
          <w:tab w:val="right" w:pos="7920"/>
        </w:tabs>
      </w:pPr>
      <w:r>
        <w:t>Shareholders’ Equity</w:t>
      </w:r>
    </w:p>
    <w:p w:rsidR="006F6DD7" w:rsidRDefault="006F6DD7" w:rsidP="00DC0E80">
      <w:pPr>
        <w:tabs>
          <w:tab w:val="right" w:pos="5040"/>
          <w:tab w:val="right" w:pos="7920"/>
        </w:tabs>
      </w:pPr>
      <w:r>
        <w:t>Share Capital</w:t>
      </w:r>
      <w:r>
        <w:tab/>
        <w:t>$100,000</w:t>
      </w:r>
      <w:r>
        <w:tab/>
        <w:t>$100,000</w:t>
      </w:r>
    </w:p>
    <w:p w:rsidR="006F6DD7" w:rsidRDefault="006F6DD7" w:rsidP="00DC0E80">
      <w:pPr>
        <w:tabs>
          <w:tab w:val="right" w:pos="5040"/>
          <w:tab w:val="right" w:pos="7920"/>
        </w:tabs>
      </w:pPr>
      <w:r>
        <w:t>Retained Earnings</w:t>
      </w:r>
      <w:r>
        <w:tab/>
        <w:t>558,118</w:t>
      </w:r>
      <w:r>
        <w:tab/>
        <w:t>554,794</w:t>
      </w:r>
    </w:p>
    <w:p w:rsidR="006F6DD7" w:rsidRDefault="006F6DD7" w:rsidP="00DC0E80">
      <w:pPr>
        <w:tabs>
          <w:tab w:val="right" w:pos="5040"/>
          <w:tab w:val="right" w:pos="7920"/>
        </w:tabs>
      </w:pPr>
      <w:r>
        <w:t>Total Shareholders’ Equity</w:t>
      </w:r>
      <w:r>
        <w:tab/>
        <w:t>$658,118</w:t>
      </w:r>
      <w:r>
        <w:tab/>
        <w:t>$654,794</w:t>
      </w:r>
    </w:p>
    <w:p w:rsidR="006F6DD7" w:rsidRDefault="006F6DD7" w:rsidP="00DC0E80">
      <w:pPr>
        <w:tabs>
          <w:tab w:val="right" w:pos="5040"/>
          <w:tab w:val="right" w:pos="7920"/>
        </w:tabs>
      </w:pPr>
    </w:p>
    <w:p w:rsidR="006F6DD7" w:rsidRDefault="006F6DD7" w:rsidP="00DC0E80">
      <w:pPr>
        <w:tabs>
          <w:tab w:val="right" w:pos="5040"/>
          <w:tab w:val="right" w:pos="7920"/>
        </w:tabs>
      </w:pPr>
      <w:r>
        <w:t>Total Liabilities and Equity</w:t>
      </w:r>
      <w:r>
        <w:tab/>
        <w:t>$2,293,429</w:t>
      </w:r>
      <w:r>
        <w:tab/>
        <w:t>$2,283,740</w:t>
      </w:r>
      <w:bookmarkStart w:id="0" w:name="_GoBack"/>
      <w:bookmarkEnd w:id="0"/>
    </w:p>
    <w:sectPr w:rsidR="006F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80"/>
    <w:rsid w:val="005E7E1D"/>
    <w:rsid w:val="006F6DD7"/>
    <w:rsid w:val="00B34175"/>
    <w:rsid w:val="00B802DF"/>
    <w:rsid w:val="00DC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96950"/>
  <w15:chartTrackingRefBased/>
  <w15:docId w15:val="{2022A23F-6D06-4C27-8A52-4976B9C5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="Segoe UI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Kozakis</dc:creator>
  <cp:keywords/>
  <dc:description/>
  <cp:lastModifiedBy>Ken Kozakis</cp:lastModifiedBy>
  <cp:revision>2</cp:revision>
  <dcterms:created xsi:type="dcterms:W3CDTF">2019-05-10T19:54:00Z</dcterms:created>
  <dcterms:modified xsi:type="dcterms:W3CDTF">2019-05-10T19:54:00Z</dcterms:modified>
</cp:coreProperties>
</file>