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B29BC" w14:textId="77777777" w:rsidR="001548DA" w:rsidRPr="00D640E6" w:rsidRDefault="001548DA" w:rsidP="001945A9">
      <w:pPr>
        <w:pStyle w:val="Heading1"/>
        <w:spacing w:before="0" w:after="240"/>
      </w:pPr>
      <w:r w:rsidRPr="00D640E6">
        <w:t>Sales Figures</w:t>
      </w:r>
    </w:p>
    <w:p w14:paraId="4A0CF2A1" w14:textId="755221B7" w:rsidR="001548DA" w:rsidRDefault="001548DA">
      <w:r>
        <w:t xml:space="preserve">One of the areas we </w:t>
      </w:r>
      <w:r w:rsidR="00CA6B39">
        <w:t>need to look at</w:t>
      </w:r>
      <w:r>
        <w:t xml:space="preserve"> is how the number of tour options has been changing over the last few years. We want to ensure we can explain any increases or decreases in the popular tours, as seen in the following:</w:t>
      </w:r>
    </w:p>
    <w:p w14:paraId="7BB1DED9" w14:textId="77777777" w:rsidR="00863396" w:rsidRDefault="00863396" w:rsidP="00895CC7">
      <w:pPr>
        <w:tabs>
          <w:tab w:val="right" w:pos="3060"/>
          <w:tab w:val="right" w:pos="4860"/>
          <w:tab w:val="right" w:pos="6840"/>
          <w:tab w:val="right" w:pos="8640"/>
        </w:tabs>
        <w:autoSpaceDE w:val="0"/>
        <w:autoSpaceDN w:val="0"/>
        <w:adjustRightInd w:val="0"/>
        <w:spacing w:after="0" w:line="240" w:lineRule="auto"/>
        <w:rPr>
          <w:rFonts w:cs="Calibri"/>
          <w:b/>
          <w:bCs/>
          <w:color w:val="000000"/>
        </w:rPr>
      </w:pPr>
      <w:bookmarkStart w:id="0" w:name="OLE_LINK2"/>
      <w:r>
        <w:rPr>
          <w:rFonts w:cs="Calibri"/>
          <w:b/>
          <w:bCs/>
          <w:color w:val="000000"/>
        </w:rPr>
        <w:t xml:space="preserve">Popular </w:t>
      </w:r>
      <w:smartTag w:uri="urn:schemas-microsoft-com:office:smarttags" w:element="place">
        <w:smartTag w:uri="urn:schemas-microsoft-com:office:smarttags" w:element="City">
          <w:r>
            <w:rPr>
              <w:rFonts w:cs="Calibri"/>
              <w:b/>
              <w:bCs/>
              <w:color w:val="000000"/>
            </w:rPr>
            <w:t>Tours</w:t>
          </w:r>
        </w:smartTag>
      </w:smartTag>
      <w:r>
        <w:rPr>
          <w:rFonts w:cs="Calibri"/>
          <w:b/>
          <w:bCs/>
          <w:color w:val="000000"/>
        </w:rPr>
        <w:tab/>
      </w:r>
      <w:r>
        <w:rPr>
          <w:rFonts w:cs="Calibri"/>
          <w:b/>
          <w:bCs/>
          <w:color w:val="000000"/>
        </w:rPr>
        <w:tab/>
      </w:r>
      <w:r>
        <w:rPr>
          <w:rFonts w:cs="Calibri"/>
          <w:b/>
          <w:bCs/>
          <w:color w:val="000000"/>
        </w:rPr>
        <w:tab/>
      </w:r>
      <w:r>
        <w:rPr>
          <w:rFonts w:cs="Calibri"/>
          <w:b/>
          <w:bCs/>
          <w:color w:val="000000"/>
        </w:rPr>
        <w:tab/>
      </w:r>
    </w:p>
    <w:p w14:paraId="71BF2E7A" w14:textId="23BF1AF5" w:rsidR="00863396" w:rsidRDefault="00863396" w:rsidP="00895CC7">
      <w:pPr>
        <w:tabs>
          <w:tab w:val="right" w:pos="3060"/>
          <w:tab w:val="right" w:pos="4860"/>
          <w:tab w:val="right" w:pos="6840"/>
          <w:tab w:val="right" w:pos="8640"/>
        </w:tabs>
        <w:autoSpaceDE w:val="0"/>
        <w:autoSpaceDN w:val="0"/>
        <w:adjustRightInd w:val="0"/>
        <w:spacing w:after="0" w:line="240" w:lineRule="auto"/>
        <w:rPr>
          <w:rFonts w:cs="Calibri"/>
          <w:b/>
          <w:bCs/>
          <w:color w:val="000000"/>
        </w:rPr>
      </w:pPr>
      <w:r>
        <w:rPr>
          <w:rFonts w:cs="Calibri"/>
          <w:b/>
          <w:bCs/>
          <w:color w:val="000000"/>
        </w:rPr>
        <w:tab/>
        <w:t>201</w:t>
      </w:r>
      <w:r w:rsidR="001E453A">
        <w:rPr>
          <w:rFonts w:cs="Calibri"/>
          <w:b/>
          <w:bCs/>
          <w:color w:val="000000"/>
        </w:rPr>
        <w:t>9</w:t>
      </w:r>
      <w:r>
        <w:rPr>
          <w:rFonts w:cs="Calibri"/>
          <w:b/>
          <w:bCs/>
          <w:color w:val="000000"/>
        </w:rPr>
        <w:tab/>
        <w:t>201</w:t>
      </w:r>
      <w:r w:rsidR="001E453A">
        <w:rPr>
          <w:rFonts w:cs="Calibri"/>
          <w:b/>
          <w:bCs/>
          <w:color w:val="000000"/>
        </w:rPr>
        <w:t>8</w:t>
      </w:r>
      <w:r>
        <w:rPr>
          <w:rFonts w:cs="Calibri"/>
          <w:b/>
          <w:bCs/>
          <w:color w:val="000000"/>
        </w:rPr>
        <w:tab/>
        <w:t>20</w:t>
      </w:r>
      <w:r w:rsidR="00D873F9">
        <w:rPr>
          <w:rFonts w:cs="Calibri"/>
          <w:b/>
          <w:bCs/>
          <w:color w:val="000000"/>
        </w:rPr>
        <w:t>1</w:t>
      </w:r>
      <w:r w:rsidR="001E453A">
        <w:rPr>
          <w:rFonts w:cs="Calibri"/>
          <w:b/>
          <w:bCs/>
          <w:color w:val="000000"/>
        </w:rPr>
        <w:t>7</w:t>
      </w:r>
      <w:r>
        <w:rPr>
          <w:rFonts w:cs="Calibri"/>
          <w:b/>
          <w:bCs/>
          <w:color w:val="000000"/>
        </w:rPr>
        <w:tab/>
        <w:t>20</w:t>
      </w:r>
      <w:r w:rsidR="00124543">
        <w:rPr>
          <w:rFonts w:cs="Calibri"/>
          <w:b/>
          <w:bCs/>
          <w:color w:val="000000"/>
        </w:rPr>
        <w:t>1</w:t>
      </w:r>
      <w:r w:rsidR="001E453A">
        <w:rPr>
          <w:rFonts w:cs="Calibri"/>
          <w:b/>
          <w:bCs/>
          <w:color w:val="000000"/>
        </w:rPr>
        <w:t>6</w:t>
      </w:r>
    </w:p>
    <w:p w14:paraId="4E670411" w14:textId="77777777" w:rsidR="00863396" w:rsidRDefault="00863396" w:rsidP="00895CC7">
      <w:pPr>
        <w:tabs>
          <w:tab w:val="right" w:pos="3060"/>
          <w:tab w:val="right" w:pos="4860"/>
          <w:tab w:val="right" w:pos="6840"/>
          <w:tab w:val="right" w:pos="8640"/>
        </w:tabs>
        <w:autoSpaceDE w:val="0"/>
        <w:autoSpaceDN w:val="0"/>
        <w:adjustRightInd w:val="0"/>
        <w:spacing w:after="0" w:line="240" w:lineRule="auto"/>
        <w:rPr>
          <w:rFonts w:cs="Calibri"/>
          <w:color w:val="000000"/>
        </w:rPr>
      </w:pPr>
      <w:r>
        <w:rPr>
          <w:rFonts w:cs="Calibri"/>
          <w:color w:val="000000"/>
        </w:rPr>
        <w:t>Rock Climbing</w:t>
      </w:r>
      <w:r>
        <w:rPr>
          <w:rFonts w:cs="Calibri"/>
          <w:color w:val="000000"/>
        </w:rPr>
        <w:tab/>
        <w:t>250</w:t>
      </w:r>
      <w:r>
        <w:rPr>
          <w:rFonts w:cs="Calibri"/>
          <w:color w:val="000000"/>
        </w:rPr>
        <w:tab/>
        <w:t>200</w:t>
      </w:r>
      <w:r>
        <w:rPr>
          <w:rFonts w:cs="Calibri"/>
          <w:color w:val="000000"/>
        </w:rPr>
        <w:tab/>
        <w:t>150</w:t>
      </w:r>
      <w:r>
        <w:rPr>
          <w:rFonts w:cs="Calibri"/>
          <w:color w:val="000000"/>
        </w:rPr>
        <w:tab/>
        <w:t>225</w:t>
      </w:r>
    </w:p>
    <w:p w14:paraId="6113E2DB" w14:textId="77777777" w:rsidR="00863396" w:rsidRDefault="00863396" w:rsidP="00895CC7">
      <w:pPr>
        <w:tabs>
          <w:tab w:val="right" w:pos="3060"/>
          <w:tab w:val="right" w:pos="4860"/>
          <w:tab w:val="right" w:pos="6840"/>
          <w:tab w:val="right" w:pos="8640"/>
        </w:tabs>
        <w:autoSpaceDE w:val="0"/>
        <w:autoSpaceDN w:val="0"/>
        <w:adjustRightInd w:val="0"/>
        <w:spacing w:after="0" w:line="240" w:lineRule="auto"/>
        <w:rPr>
          <w:rFonts w:cs="Calibri"/>
          <w:color w:val="000000"/>
        </w:rPr>
      </w:pPr>
      <w:r>
        <w:rPr>
          <w:rFonts w:cs="Calibri"/>
          <w:color w:val="000000"/>
        </w:rPr>
        <w:t>Ice Climbing</w:t>
      </w:r>
      <w:r>
        <w:rPr>
          <w:rFonts w:cs="Calibri"/>
          <w:color w:val="000000"/>
        </w:rPr>
        <w:tab/>
        <w:t>175</w:t>
      </w:r>
      <w:r>
        <w:rPr>
          <w:rFonts w:cs="Calibri"/>
          <w:color w:val="000000"/>
        </w:rPr>
        <w:tab/>
        <w:t>150</w:t>
      </w:r>
      <w:r>
        <w:rPr>
          <w:rFonts w:cs="Calibri"/>
          <w:color w:val="000000"/>
        </w:rPr>
        <w:tab/>
        <w:t>100</w:t>
      </w:r>
      <w:r>
        <w:rPr>
          <w:rFonts w:cs="Calibri"/>
          <w:color w:val="000000"/>
        </w:rPr>
        <w:tab/>
        <w:t>125</w:t>
      </w:r>
    </w:p>
    <w:p w14:paraId="52F2CDDD" w14:textId="77777777" w:rsidR="00863396" w:rsidRDefault="00863396" w:rsidP="00895CC7">
      <w:pPr>
        <w:tabs>
          <w:tab w:val="right" w:pos="3060"/>
          <w:tab w:val="right" w:pos="4860"/>
          <w:tab w:val="right" w:pos="6840"/>
          <w:tab w:val="right" w:pos="8640"/>
        </w:tabs>
        <w:autoSpaceDE w:val="0"/>
        <w:autoSpaceDN w:val="0"/>
        <w:adjustRightInd w:val="0"/>
        <w:spacing w:after="0" w:line="240" w:lineRule="auto"/>
        <w:rPr>
          <w:rFonts w:cs="Calibri"/>
          <w:color w:val="000000"/>
        </w:rPr>
      </w:pPr>
      <w:r>
        <w:rPr>
          <w:rFonts w:cs="Calibri"/>
          <w:color w:val="000000"/>
        </w:rPr>
        <w:t>Whale Watching</w:t>
      </w:r>
      <w:r>
        <w:rPr>
          <w:rFonts w:cs="Calibri"/>
          <w:color w:val="000000"/>
        </w:rPr>
        <w:tab/>
        <w:t>350</w:t>
      </w:r>
      <w:r>
        <w:rPr>
          <w:rFonts w:cs="Calibri"/>
          <w:color w:val="000000"/>
        </w:rPr>
        <w:tab/>
        <w:t>250</w:t>
      </w:r>
      <w:r>
        <w:rPr>
          <w:rFonts w:cs="Calibri"/>
          <w:color w:val="000000"/>
        </w:rPr>
        <w:tab/>
        <w:t>100</w:t>
      </w:r>
      <w:r>
        <w:rPr>
          <w:rFonts w:cs="Calibri"/>
          <w:color w:val="000000"/>
        </w:rPr>
        <w:tab/>
        <w:t>260</w:t>
      </w:r>
    </w:p>
    <w:p w14:paraId="47D07D1D" w14:textId="77777777" w:rsidR="00863396" w:rsidRDefault="00863396" w:rsidP="00895CC7">
      <w:pPr>
        <w:tabs>
          <w:tab w:val="right" w:pos="3060"/>
          <w:tab w:val="right" w:pos="4860"/>
          <w:tab w:val="right" w:pos="6840"/>
          <w:tab w:val="right" w:pos="8640"/>
        </w:tabs>
        <w:autoSpaceDE w:val="0"/>
        <w:autoSpaceDN w:val="0"/>
        <w:adjustRightInd w:val="0"/>
        <w:spacing w:after="0" w:line="240" w:lineRule="auto"/>
        <w:rPr>
          <w:rFonts w:cs="Calibri"/>
          <w:color w:val="000000"/>
        </w:rPr>
      </w:pPr>
      <w:r>
        <w:rPr>
          <w:rFonts w:cs="Calibri"/>
          <w:color w:val="000000"/>
        </w:rPr>
        <w:t>Hot Air Ballooning</w:t>
      </w:r>
      <w:r>
        <w:rPr>
          <w:rFonts w:cs="Calibri"/>
          <w:color w:val="000000"/>
        </w:rPr>
        <w:tab/>
        <w:t>105</w:t>
      </w:r>
      <w:r>
        <w:rPr>
          <w:rFonts w:cs="Calibri"/>
          <w:color w:val="000000"/>
        </w:rPr>
        <w:tab/>
        <w:t>60</w:t>
      </w:r>
      <w:r>
        <w:rPr>
          <w:rFonts w:cs="Calibri"/>
          <w:color w:val="000000"/>
        </w:rPr>
        <w:tab/>
        <w:t>25</w:t>
      </w:r>
      <w:r>
        <w:rPr>
          <w:rFonts w:cs="Calibri"/>
          <w:color w:val="000000"/>
        </w:rPr>
        <w:tab/>
        <w:t>45</w:t>
      </w:r>
    </w:p>
    <w:p w14:paraId="245C959B" w14:textId="77777777" w:rsidR="00863396" w:rsidRDefault="00863396" w:rsidP="00895CC7">
      <w:pPr>
        <w:tabs>
          <w:tab w:val="right" w:pos="3060"/>
          <w:tab w:val="right" w:pos="4860"/>
          <w:tab w:val="right" w:pos="6840"/>
          <w:tab w:val="right" w:pos="8640"/>
        </w:tabs>
        <w:autoSpaceDE w:val="0"/>
        <w:autoSpaceDN w:val="0"/>
        <w:adjustRightInd w:val="0"/>
        <w:spacing w:after="0" w:line="240" w:lineRule="auto"/>
        <w:rPr>
          <w:rFonts w:cs="Calibri"/>
          <w:color w:val="000000"/>
        </w:rPr>
      </w:pPr>
      <w:r>
        <w:rPr>
          <w:rFonts w:cs="Calibri"/>
          <w:color w:val="000000"/>
        </w:rPr>
        <w:t>Heli Skiing</w:t>
      </w:r>
      <w:r>
        <w:rPr>
          <w:rFonts w:cs="Calibri"/>
          <w:color w:val="000000"/>
        </w:rPr>
        <w:tab/>
        <w:t>95</w:t>
      </w:r>
      <w:r>
        <w:rPr>
          <w:rFonts w:cs="Calibri"/>
          <w:color w:val="000000"/>
        </w:rPr>
        <w:tab/>
        <w:t>85</w:t>
      </w:r>
      <w:r>
        <w:rPr>
          <w:rFonts w:cs="Calibri"/>
          <w:color w:val="000000"/>
        </w:rPr>
        <w:tab/>
        <w:t>70</w:t>
      </w:r>
      <w:r>
        <w:rPr>
          <w:rFonts w:cs="Calibri"/>
          <w:color w:val="000000"/>
        </w:rPr>
        <w:tab/>
        <w:t>125</w:t>
      </w:r>
    </w:p>
    <w:p w14:paraId="0EE42D82" w14:textId="77777777" w:rsidR="00863396" w:rsidRDefault="00863396" w:rsidP="00895CC7">
      <w:pPr>
        <w:tabs>
          <w:tab w:val="right" w:pos="3060"/>
          <w:tab w:val="right" w:pos="4860"/>
          <w:tab w:val="right" w:pos="6840"/>
          <w:tab w:val="right" w:pos="8640"/>
        </w:tabs>
        <w:autoSpaceDE w:val="0"/>
        <w:autoSpaceDN w:val="0"/>
        <w:adjustRightInd w:val="0"/>
        <w:spacing w:after="0" w:line="240" w:lineRule="auto"/>
        <w:rPr>
          <w:rFonts w:cs="Calibri"/>
          <w:color w:val="000000"/>
        </w:rPr>
      </w:pPr>
      <w:r>
        <w:rPr>
          <w:rFonts w:cs="Calibri"/>
          <w:color w:val="000000"/>
        </w:rPr>
        <w:t>Cycling (Cities)</w:t>
      </w:r>
      <w:r>
        <w:rPr>
          <w:rFonts w:cs="Calibri"/>
          <w:color w:val="000000"/>
        </w:rPr>
        <w:tab/>
        <w:t>75</w:t>
      </w:r>
      <w:r>
        <w:rPr>
          <w:rFonts w:cs="Calibri"/>
          <w:color w:val="000000"/>
        </w:rPr>
        <w:tab/>
        <w:t>70</w:t>
      </w:r>
      <w:r>
        <w:rPr>
          <w:rFonts w:cs="Calibri"/>
          <w:color w:val="000000"/>
        </w:rPr>
        <w:tab/>
        <w:t>65</w:t>
      </w:r>
      <w:r>
        <w:rPr>
          <w:rFonts w:cs="Calibri"/>
          <w:color w:val="000000"/>
        </w:rPr>
        <w:tab/>
        <w:t>110</w:t>
      </w:r>
    </w:p>
    <w:bookmarkEnd w:id="0"/>
    <w:p w14:paraId="62B291AA" w14:textId="407224A8" w:rsidR="00863396" w:rsidRDefault="00CA6B39" w:rsidP="00CA6B39">
      <w:pPr>
        <w:tabs>
          <w:tab w:val="right" w:pos="3060"/>
          <w:tab w:val="right" w:pos="4860"/>
          <w:tab w:val="right" w:pos="6840"/>
          <w:tab w:val="right" w:pos="8640"/>
        </w:tabs>
        <w:autoSpaceDE w:val="0"/>
        <w:autoSpaceDN w:val="0"/>
        <w:adjustRightInd w:val="0"/>
        <w:spacing w:after="0" w:line="240" w:lineRule="auto"/>
      </w:pPr>
      <w:r>
        <w:t>Haunted Sites</w:t>
      </w:r>
      <w:r>
        <w:tab/>
        <w:t>85</w:t>
      </w:r>
      <w:r>
        <w:tab/>
      </w:r>
      <w:r w:rsidR="00DF4549">
        <w:t>0</w:t>
      </w:r>
      <w:r>
        <w:tab/>
      </w:r>
      <w:r w:rsidR="00DF4549">
        <w:t>0</w:t>
      </w:r>
      <w:r>
        <w:tab/>
      </w:r>
      <w:r w:rsidR="00DF4549">
        <w:t>0</w:t>
      </w:r>
    </w:p>
    <w:p w14:paraId="37F06432" w14:textId="77777777" w:rsidR="00124543" w:rsidRDefault="00124543" w:rsidP="00CA6B39">
      <w:pPr>
        <w:tabs>
          <w:tab w:val="right" w:pos="3060"/>
          <w:tab w:val="right" w:pos="4860"/>
          <w:tab w:val="right" w:pos="6840"/>
          <w:tab w:val="right" w:pos="8640"/>
        </w:tabs>
        <w:autoSpaceDE w:val="0"/>
        <w:autoSpaceDN w:val="0"/>
        <w:adjustRightInd w:val="0"/>
        <w:spacing w:after="0" w:line="240" w:lineRule="auto"/>
      </w:pPr>
    </w:p>
    <w:p w14:paraId="4CAA5CE3" w14:textId="5CF5640B" w:rsidR="00D27E95" w:rsidRDefault="00D27E95">
      <w:bookmarkStart w:id="1" w:name="_GoBack"/>
      <w:bookmarkEnd w:id="1"/>
      <w:r>
        <w:rPr>
          <w:noProof/>
        </w:rPr>
        <w:drawing>
          <wp:inline distT="0" distB="0" distL="0" distR="0" wp14:anchorId="4D0BEDB0" wp14:editId="56A98C94">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FF83839" w14:textId="44621643" w:rsidR="00F11493" w:rsidRDefault="00F11493"/>
    <w:sectPr w:rsidR="00F11493" w:rsidSect="003E3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807"/>
    <w:rsid w:val="000338FA"/>
    <w:rsid w:val="00043EDF"/>
    <w:rsid w:val="00110846"/>
    <w:rsid w:val="00124543"/>
    <w:rsid w:val="001548DA"/>
    <w:rsid w:val="001726AC"/>
    <w:rsid w:val="00182AC0"/>
    <w:rsid w:val="001945A9"/>
    <w:rsid w:val="001E267B"/>
    <w:rsid w:val="001E453A"/>
    <w:rsid w:val="002A7CBD"/>
    <w:rsid w:val="00332A82"/>
    <w:rsid w:val="00363C17"/>
    <w:rsid w:val="003E3B97"/>
    <w:rsid w:val="00445DDE"/>
    <w:rsid w:val="004759C9"/>
    <w:rsid w:val="00570807"/>
    <w:rsid w:val="005C13EF"/>
    <w:rsid w:val="006E626F"/>
    <w:rsid w:val="00740A92"/>
    <w:rsid w:val="00747AEE"/>
    <w:rsid w:val="00784749"/>
    <w:rsid w:val="007C5055"/>
    <w:rsid w:val="0082589A"/>
    <w:rsid w:val="00863396"/>
    <w:rsid w:val="008B7315"/>
    <w:rsid w:val="00930676"/>
    <w:rsid w:val="009841C0"/>
    <w:rsid w:val="00B3240C"/>
    <w:rsid w:val="00B7400A"/>
    <w:rsid w:val="00B85594"/>
    <w:rsid w:val="00BE3B36"/>
    <w:rsid w:val="00CA6B39"/>
    <w:rsid w:val="00D27E95"/>
    <w:rsid w:val="00D640E6"/>
    <w:rsid w:val="00D873F9"/>
    <w:rsid w:val="00DF0C3F"/>
    <w:rsid w:val="00DF4549"/>
    <w:rsid w:val="00E66B3E"/>
    <w:rsid w:val="00EA14FA"/>
    <w:rsid w:val="00F03140"/>
    <w:rsid w:val="00F11493"/>
    <w:rsid w:val="00FB1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1BC97FA3"/>
  <w15:docId w15:val="{B2611C67-8C22-4BBD-B2B9-CBE1A71D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locked="1"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3140"/>
  </w:style>
  <w:style w:type="paragraph" w:styleId="Heading1">
    <w:name w:val="heading 1"/>
    <w:basedOn w:val="Normal"/>
    <w:next w:val="Normal"/>
    <w:link w:val="Heading1Char"/>
    <w:uiPriority w:val="9"/>
    <w:qFormat/>
    <w:rsid w:val="001945A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2A7CBD"/>
    <w:rPr>
      <w:rFonts w:ascii="Tahoma" w:hAnsi="Tahoma" w:cs="Tahoma"/>
      <w:sz w:val="16"/>
      <w:szCs w:val="16"/>
    </w:rPr>
  </w:style>
  <w:style w:type="character" w:customStyle="1" w:styleId="BalloonTextChar">
    <w:name w:val="Balloon Text Char"/>
    <w:link w:val="BalloonText"/>
    <w:uiPriority w:val="99"/>
    <w:semiHidden/>
    <w:locked/>
    <w:rPr>
      <w:rFonts w:ascii="Times New Roman" w:hAnsi="Times New Roman" w:cs="Times New Roman"/>
      <w:sz w:val="2"/>
    </w:rPr>
  </w:style>
  <w:style w:type="character" w:customStyle="1" w:styleId="Heading1Char">
    <w:name w:val="Heading 1 Char"/>
    <w:basedOn w:val="DefaultParagraphFont"/>
    <w:link w:val="Heading1"/>
    <w:uiPriority w:val="9"/>
    <w:rsid w:val="001945A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hart" Target="charts/chart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Popular Tours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Sheet1!$A$2</c:f>
              <c:strCache>
                <c:ptCount val="1"/>
                <c:pt idx="0">
                  <c:v>Rock Climbing</c:v>
                </c:pt>
              </c:strCache>
            </c:strRef>
          </c:tx>
          <c:spPr>
            <a:solidFill>
              <a:schemeClr val="accent1"/>
            </a:solidFill>
            <a:ln>
              <a:noFill/>
            </a:ln>
            <a:effectLst/>
            <a:sp3d/>
          </c:spPr>
          <c:invertIfNegative val="0"/>
          <c:cat>
            <c:strRef>
              <c:f>Sheet1!$B$1:$E$1</c:f>
              <c:strCache>
                <c:ptCount val="4"/>
                <c:pt idx="0">
                  <c:v>2019</c:v>
                </c:pt>
                <c:pt idx="1">
                  <c:v>2018</c:v>
                </c:pt>
                <c:pt idx="2">
                  <c:v>2017</c:v>
                </c:pt>
                <c:pt idx="3">
                  <c:v>2016</c:v>
                </c:pt>
              </c:strCache>
            </c:strRef>
          </c:cat>
          <c:val>
            <c:numRef>
              <c:f>Sheet1!$B$2:$E$2</c:f>
              <c:numCache>
                <c:formatCode>General</c:formatCode>
                <c:ptCount val="4"/>
                <c:pt idx="0">
                  <c:v>250</c:v>
                </c:pt>
                <c:pt idx="1">
                  <c:v>200</c:v>
                </c:pt>
                <c:pt idx="2">
                  <c:v>150</c:v>
                </c:pt>
                <c:pt idx="3">
                  <c:v>225</c:v>
                </c:pt>
              </c:numCache>
            </c:numRef>
          </c:val>
          <c:extLst>
            <c:ext xmlns:c16="http://schemas.microsoft.com/office/drawing/2014/chart" uri="{C3380CC4-5D6E-409C-BE32-E72D297353CC}">
              <c16:uniqueId val="{00000000-FE1C-43B0-8DFB-AFBDB1ADD936}"/>
            </c:ext>
          </c:extLst>
        </c:ser>
        <c:ser>
          <c:idx val="1"/>
          <c:order val="1"/>
          <c:tx>
            <c:strRef>
              <c:f>Sheet1!$A$3</c:f>
              <c:strCache>
                <c:ptCount val="1"/>
                <c:pt idx="0">
                  <c:v>Ice Climbing</c:v>
                </c:pt>
              </c:strCache>
            </c:strRef>
          </c:tx>
          <c:spPr>
            <a:solidFill>
              <a:schemeClr val="accent2"/>
            </a:solidFill>
            <a:ln>
              <a:noFill/>
            </a:ln>
            <a:effectLst/>
            <a:sp3d/>
          </c:spPr>
          <c:invertIfNegative val="0"/>
          <c:cat>
            <c:strRef>
              <c:f>Sheet1!$B$1:$E$1</c:f>
              <c:strCache>
                <c:ptCount val="4"/>
                <c:pt idx="0">
                  <c:v>2019</c:v>
                </c:pt>
                <c:pt idx="1">
                  <c:v>2018</c:v>
                </c:pt>
                <c:pt idx="2">
                  <c:v>2017</c:v>
                </c:pt>
                <c:pt idx="3">
                  <c:v>2016</c:v>
                </c:pt>
              </c:strCache>
            </c:strRef>
          </c:cat>
          <c:val>
            <c:numRef>
              <c:f>Sheet1!$B$3:$E$3</c:f>
              <c:numCache>
                <c:formatCode>General</c:formatCode>
                <c:ptCount val="4"/>
                <c:pt idx="0">
                  <c:v>175</c:v>
                </c:pt>
                <c:pt idx="1">
                  <c:v>150</c:v>
                </c:pt>
                <c:pt idx="2">
                  <c:v>100</c:v>
                </c:pt>
                <c:pt idx="3">
                  <c:v>125</c:v>
                </c:pt>
              </c:numCache>
            </c:numRef>
          </c:val>
          <c:extLst>
            <c:ext xmlns:c16="http://schemas.microsoft.com/office/drawing/2014/chart" uri="{C3380CC4-5D6E-409C-BE32-E72D297353CC}">
              <c16:uniqueId val="{00000001-FE1C-43B0-8DFB-AFBDB1ADD936}"/>
            </c:ext>
          </c:extLst>
        </c:ser>
        <c:ser>
          <c:idx val="2"/>
          <c:order val="2"/>
          <c:tx>
            <c:strRef>
              <c:f>Sheet1!$A$4</c:f>
              <c:strCache>
                <c:ptCount val="1"/>
                <c:pt idx="0">
                  <c:v>Whale Watching</c:v>
                </c:pt>
              </c:strCache>
            </c:strRef>
          </c:tx>
          <c:spPr>
            <a:solidFill>
              <a:schemeClr val="accent3"/>
            </a:solidFill>
            <a:ln>
              <a:noFill/>
            </a:ln>
            <a:effectLst/>
            <a:sp3d/>
          </c:spPr>
          <c:invertIfNegative val="0"/>
          <c:cat>
            <c:strRef>
              <c:f>Sheet1!$B$1:$E$1</c:f>
              <c:strCache>
                <c:ptCount val="4"/>
                <c:pt idx="0">
                  <c:v>2019</c:v>
                </c:pt>
                <c:pt idx="1">
                  <c:v>2018</c:v>
                </c:pt>
                <c:pt idx="2">
                  <c:v>2017</c:v>
                </c:pt>
                <c:pt idx="3">
                  <c:v>2016</c:v>
                </c:pt>
              </c:strCache>
            </c:strRef>
          </c:cat>
          <c:val>
            <c:numRef>
              <c:f>Sheet1!$B$4:$E$4</c:f>
              <c:numCache>
                <c:formatCode>General</c:formatCode>
                <c:ptCount val="4"/>
                <c:pt idx="0">
                  <c:v>350</c:v>
                </c:pt>
                <c:pt idx="1">
                  <c:v>250</c:v>
                </c:pt>
                <c:pt idx="2">
                  <c:v>100</c:v>
                </c:pt>
                <c:pt idx="3">
                  <c:v>260</c:v>
                </c:pt>
              </c:numCache>
            </c:numRef>
          </c:val>
          <c:extLst>
            <c:ext xmlns:c16="http://schemas.microsoft.com/office/drawing/2014/chart" uri="{C3380CC4-5D6E-409C-BE32-E72D297353CC}">
              <c16:uniqueId val="{00000002-FE1C-43B0-8DFB-AFBDB1ADD936}"/>
            </c:ext>
          </c:extLst>
        </c:ser>
        <c:ser>
          <c:idx val="3"/>
          <c:order val="3"/>
          <c:tx>
            <c:strRef>
              <c:f>Sheet1!$A$5</c:f>
              <c:strCache>
                <c:ptCount val="1"/>
                <c:pt idx="0">
                  <c:v>Hot Air Ballooning</c:v>
                </c:pt>
              </c:strCache>
            </c:strRef>
          </c:tx>
          <c:spPr>
            <a:solidFill>
              <a:schemeClr val="accent4"/>
            </a:solidFill>
            <a:ln>
              <a:noFill/>
            </a:ln>
            <a:effectLst/>
            <a:sp3d/>
          </c:spPr>
          <c:invertIfNegative val="0"/>
          <c:cat>
            <c:strRef>
              <c:f>Sheet1!$B$1:$E$1</c:f>
              <c:strCache>
                <c:ptCount val="4"/>
                <c:pt idx="0">
                  <c:v>2019</c:v>
                </c:pt>
                <c:pt idx="1">
                  <c:v>2018</c:v>
                </c:pt>
                <c:pt idx="2">
                  <c:v>2017</c:v>
                </c:pt>
                <c:pt idx="3">
                  <c:v>2016</c:v>
                </c:pt>
              </c:strCache>
            </c:strRef>
          </c:cat>
          <c:val>
            <c:numRef>
              <c:f>Sheet1!$B$5:$E$5</c:f>
              <c:numCache>
                <c:formatCode>General</c:formatCode>
                <c:ptCount val="4"/>
                <c:pt idx="0">
                  <c:v>105</c:v>
                </c:pt>
                <c:pt idx="1">
                  <c:v>60</c:v>
                </c:pt>
                <c:pt idx="2">
                  <c:v>25</c:v>
                </c:pt>
                <c:pt idx="3">
                  <c:v>45</c:v>
                </c:pt>
              </c:numCache>
            </c:numRef>
          </c:val>
          <c:extLst>
            <c:ext xmlns:c16="http://schemas.microsoft.com/office/drawing/2014/chart" uri="{C3380CC4-5D6E-409C-BE32-E72D297353CC}">
              <c16:uniqueId val="{00000003-FE1C-43B0-8DFB-AFBDB1ADD936}"/>
            </c:ext>
          </c:extLst>
        </c:ser>
        <c:ser>
          <c:idx val="4"/>
          <c:order val="4"/>
          <c:tx>
            <c:strRef>
              <c:f>Sheet1!$A$6</c:f>
              <c:strCache>
                <c:ptCount val="1"/>
                <c:pt idx="0">
                  <c:v>Heli Skiing</c:v>
                </c:pt>
              </c:strCache>
            </c:strRef>
          </c:tx>
          <c:spPr>
            <a:solidFill>
              <a:schemeClr val="accent5"/>
            </a:solidFill>
            <a:ln>
              <a:noFill/>
            </a:ln>
            <a:effectLst/>
            <a:sp3d/>
          </c:spPr>
          <c:invertIfNegative val="0"/>
          <c:cat>
            <c:strRef>
              <c:f>Sheet1!$B$1:$E$1</c:f>
              <c:strCache>
                <c:ptCount val="4"/>
                <c:pt idx="0">
                  <c:v>2019</c:v>
                </c:pt>
                <c:pt idx="1">
                  <c:v>2018</c:v>
                </c:pt>
                <c:pt idx="2">
                  <c:v>2017</c:v>
                </c:pt>
                <c:pt idx="3">
                  <c:v>2016</c:v>
                </c:pt>
              </c:strCache>
            </c:strRef>
          </c:cat>
          <c:val>
            <c:numRef>
              <c:f>Sheet1!$B$6:$E$6</c:f>
              <c:numCache>
                <c:formatCode>General</c:formatCode>
                <c:ptCount val="4"/>
                <c:pt idx="0">
                  <c:v>95</c:v>
                </c:pt>
                <c:pt idx="1">
                  <c:v>85</c:v>
                </c:pt>
                <c:pt idx="2">
                  <c:v>70</c:v>
                </c:pt>
                <c:pt idx="3">
                  <c:v>125</c:v>
                </c:pt>
              </c:numCache>
            </c:numRef>
          </c:val>
          <c:extLst>
            <c:ext xmlns:c16="http://schemas.microsoft.com/office/drawing/2014/chart" uri="{C3380CC4-5D6E-409C-BE32-E72D297353CC}">
              <c16:uniqueId val="{00000004-FE1C-43B0-8DFB-AFBDB1ADD936}"/>
            </c:ext>
          </c:extLst>
        </c:ser>
        <c:ser>
          <c:idx val="5"/>
          <c:order val="5"/>
          <c:tx>
            <c:strRef>
              <c:f>Sheet1!$A$7</c:f>
              <c:strCache>
                <c:ptCount val="1"/>
                <c:pt idx="0">
                  <c:v>Cycling (Cities)</c:v>
                </c:pt>
              </c:strCache>
            </c:strRef>
          </c:tx>
          <c:spPr>
            <a:solidFill>
              <a:schemeClr val="accent6"/>
            </a:solidFill>
            <a:ln>
              <a:noFill/>
            </a:ln>
            <a:effectLst/>
            <a:sp3d/>
          </c:spPr>
          <c:invertIfNegative val="0"/>
          <c:cat>
            <c:strRef>
              <c:f>Sheet1!$B$1:$E$1</c:f>
              <c:strCache>
                <c:ptCount val="4"/>
                <c:pt idx="0">
                  <c:v>2019</c:v>
                </c:pt>
                <c:pt idx="1">
                  <c:v>2018</c:v>
                </c:pt>
                <c:pt idx="2">
                  <c:v>2017</c:v>
                </c:pt>
                <c:pt idx="3">
                  <c:v>2016</c:v>
                </c:pt>
              </c:strCache>
            </c:strRef>
          </c:cat>
          <c:val>
            <c:numRef>
              <c:f>Sheet1!$B$7:$E$7</c:f>
              <c:numCache>
                <c:formatCode>General</c:formatCode>
                <c:ptCount val="4"/>
                <c:pt idx="0">
                  <c:v>75</c:v>
                </c:pt>
                <c:pt idx="1">
                  <c:v>70</c:v>
                </c:pt>
                <c:pt idx="2">
                  <c:v>65</c:v>
                </c:pt>
                <c:pt idx="3">
                  <c:v>110</c:v>
                </c:pt>
              </c:numCache>
            </c:numRef>
          </c:val>
          <c:extLst>
            <c:ext xmlns:c16="http://schemas.microsoft.com/office/drawing/2014/chart" uri="{C3380CC4-5D6E-409C-BE32-E72D297353CC}">
              <c16:uniqueId val="{00000005-FE1C-43B0-8DFB-AFBDB1ADD936}"/>
            </c:ext>
          </c:extLst>
        </c:ser>
        <c:ser>
          <c:idx val="6"/>
          <c:order val="6"/>
          <c:tx>
            <c:strRef>
              <c:f>Sheet1!$A$8</c:f>
              <c:strCache>
                <c:ptCount val="1"/>
                <c:pt idx="0">
                  <c:v>Haunted Sites</c:v>
                </c:pt>
              </c:strCache>
            </c:strRef>
          </c:tx>
          <c:spPr>
            <a:solidFill>
              <a:schemeClr val="accent1">
                <a:lumMod val="60000"/>
              </a:schemeClr>
            </a:solidFill>
            <a:ln>
              <a:noFill/>
            </a:ln>
            <a:effectLst/>
            <a:sp3d/>
          </c:spPr>
          <c:invertIfNegative val="0"/>
          <c:cat>
            <c:strRef>
              <c:f>Sheet1!$B$1:$E$1</c:f>
              <c:strCache>
                <c:ptCount val="4"/>
                <c:pt idx="0">
                  <c:v>2019</c:v>
                </c:pt>
                <c:pt idx="1">
                  <c:v>2018</c:v>
                </c:pt>
                <c:pt idx="2">
                  <c:v>2017</c:v>
                </c:pt>
                <c:pt idx="3">
                  <c:v>2016</c:v>
                </c:pt>
              </c:strCache>
            </c:strRef>
          </c:cat>
          <c:val>
            <c:numRef>
              <c:f>Sheet1!$B$8:$E$8</c:f>
              <c:numCache>
                <c:formatCode>General</c:formatCode>
                <c:ptCount val="4"/>
                <c:pt idx="0">
                  <c:v>85</c:v>
                </c:pt>
                <c:pt idx="1">
                  <c:v>0</c:v>
                </c:pt>
                <c:pt idx="2">
                  <c:v>0</c:v>
                </c:pt>
                <c:pt idx="3">
                  <c:v>0</c:v>
                </c:pt>
              </c:numCache>
            </c:numRef>
          </c:val>
          <c:extLst>
            <c:ext xmlns:c16="http://schemas.microsoft.com/office/drawing/2014/chart" uri="{C3380CC4-5D6E-409C-BE32-E72D297353CC}">
              <c16:uniqueId val="{00000006-FE1C-43B0-8DFB-AFBDB1ADD936}"/>
            </c:ext>
          </c:extLst>
        </c:ser>
        <c:dLbls>
          <c:showLegendKey val="0"/>
          <c:showVal val="0"/>
          <c:showCatName val="0"/>
          <c:showSerName val="0"/>
          <c:showPercent val="0"/>
          <c:showBubbleSize val="0"/>
        </c:dLbls>
        <c:gapWidth val="150"/>
        <c:shape val="box"/>
        <c:axId val="467036360"/>
        <c:axId val="467039888"/>
        <c:axId val="0"/>
      </c:bar3DChart>
      <c:catAx>
        <c:axId val="467036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039888"/>
        <c:crosses val="autoZero"/>
        <c:auto val="1"/>
        <c:lblAlgn val="ctr"/>
        <c:lblOffset val="100"/>
        <c:noMultiLvlLbl val="0"/>
      </c:catAx>
      <c:valAx>
        <c:axId val="467039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036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E9FD2456B27C345928EB782C5C898B6" ma:contentTypeVersion="3" ma:contentTypeDescription="Create a new document." ma:contentTypeScope="" ma:versionID="89fb840b131d8051c736e71f0c5f4053">
  <xsd:schema xmlns:xsd="http://www.w3.org/2001/XMLSchema" xmlns:xs="http://www.w3.org/2001/XMLSchema" xmlns:p="http://schemas.microsoft.com/office/2006/metadata/properties" xmlns:ns2="db8e0d3d-fc78-4f5a-a235-e996bb287d43" xmlns:ns3="f4c667d0-d900-425d-aebf-995b3136c498" targetNamespace="http://schemas.microsoft.com/office/2006/metadata/properties" ma:root="true" ma:fieldsID="369fb3baf17222d8c1bd6bb81d9533cb" ns2:_="" ns3:_="">
    <xsd:import namespace="db8e0d3d-fc78-4f5a-a235-e996bb287d43"/>
    <xsd:import namespace="f4c667d0-d900-425d-aebf-995b3136c498"/>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8e0d3d-fc78-4f5a-a235-e996bb287d4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4c667d0-d900-425d-aebf-995b3136c498"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780AF6-A4B3-44C0-AF05-C72A47C4776F}">
  <ds:schemaRefs>
    <ds:schemaRef ds:uri="http://schemas.microsoft.com/sharepoint/v3/contenttype/forms"/>
  </ds:schemaRefs>
</ds:datastoreItem>
</file>

<file path=customXml/itemProps2.xml><?xml version="1.0" encoding="utf-8"?>
<ds:datastoreItem xmlns:ds="http://schemas.openxmlformats.org/officeDocument/2006/customXml" ds:itemID="{83B1C61B-F2E1-487F-8640-E046BCAC2F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8e0d3d-fc78-4f5a-a235-e996bb287d43"/>
    <ds:schemaRef ds:uri="f4c667d0-d900-425d-aebf-995b3136c4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C52E00-23FA-4770-B82F-4E376155BB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71</Words>
  <Characters>407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Sales Figures</vt:lpstr>
    </vt:vector>
  </TitlesOfParts>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Figures</dc:title>
  <dc:creator>CCI Learning Solutions Inc.</dc:creator>
  <cp:lastModifiedBy>Ken Kozakis</cp:lastModifiedBy>
  <cp:revision>11</cp:revision>
  <dcterms:created xsi:type="dcterms:W3CDTF">2016-05-04T20:25:00Z</dcterms:created>
  <dcterms:modified xsi:type="dcterms:W3CDTF">2019-08-15T20:24:00Z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0x0101001E9FD2456B27C345928EB782C5C898B6</vt:lpwstr>
  </property>
</Properties>
</file>