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Vertraulichkeitsabkommen</w:t>
      </w:r>
    </w:p>
    <w:p>
      <w:r>
        <w:t>Diese Liefer- und Vertraulichkeitsvereinbarung (die "Vereinbarung") wird am 12. März 2026 zwischen der Acme GmbH, Friedrichstraße 12, 10117 Berlin, Deutschland ("Lieferant") und Nordwind AB, Sveavägen 44, 111 34 Stockholm, Schweden ("Kaufer") geschlossen.</w:t>
      </w:r>
    </w:p>
    <w:p>
      <w:pPr>
        <w:pStyle w:val="Heading1"/>
      </w:pPr>
      <w:r>
        <w:t>1. Gegenstand</w:t>
      </w:r>
    </w:p>
    <w:p>
      <w:r>
        <w:t>Der Lieferant erklärt sich bereit, 1.200 Industriepumpen des Modells NP-7 an das Lager des Käufers in Göteborg zu liefern. Die Lieferung erfolgt in vier gleichen Raten zwischen dem 1. Mai 2026 und dem 31. August 2026.</w:t>
      </w:r>
    </w:p>
    <w:p>
      <w:pPr>
        <w:pStyle w:val="Heading1"/>
      </w:pPr>
      <w:r>
        <w:t>2. Preis und Zahlung</w:t>
      </w:r>
    </w:p>
    <w:p>
      <w:r>
        <w:t>Der Vertragspreis beläuft sich auf insgesamt 250.000 EUR ohne MwSt. Die Zahlung ist innerhalb von 30 Tagen nach Lieferung fällig.</w:t>
      </w:r>
      <w:r>
        <w:rPr>
          <w:b/>
        </w:rPr>
      </w:r>
    </w:p>
    <w:p>
      <w:r>
        <w:t>Verzugszahlungen werden mit 8 Prozent pro Jahr über dem Basiszinssatz der Europäischen Zentralbank verzinst.</w:t>
      </w:r>
    </w:p>
    <w:p>
      <w:pPr>
        <w:pStyle w:val="Heading1"/>
      </w:pPr>
      <w:r>
        <w:t>3. Das ist nicht der Fall. Vertraulichkeit</w:t>
      </w:r>
    </w:p>
    <w:p>
      <w:r>
        <w:t>Jede Vertragspartei hält die Bedingungen dieses Abkommens, die Preisgestaltung und alle technischen Unterlagen streng vertraulich. Keine Partei darf diese Informationen ohne vorherige schriftliche Zustimmung an Dritte weitergeben. Diese Verpflichtung übersteht die Kündigung für fünf Jahre.</w:t>
      </w:r>
    </w:p>
    <w:p>
      <w:pPr>
        <w:pStyle w:val="Heading1"/>
      </w:pPr>
      <w:r>
        <w:t>4. . . . . . . . . . . . . . . . . . . . . . . . . . . . . . . . . . . . . . . . . . . . . . . . . . . . . . . . . . . . . . . . . . . . . . . . . . . . . . . . . . . . . . . . . . . . . . . . . Fälligkeitsplan</w:t>
      </w:r>
    </w:p>
    <w:tbl>
      <w:tblPr>
        <w:tblStyle w:val="TableGrid"/>
        <w:tblW w:type="auto" w:w="0"/>
        <w:tblLook w:firstColumn="1" w:firstRow="1" w:lastColumn="0" w:lastRow="0" w:noHBand="0" w:noVBand="1" w:val="04A0"/>
      </w:tblPr>
      <w:tblGrid>
        <w:gridCol w:w="2880"/>
        <w:gridCol w:w="2880"/>
        <w:gridCol w:w="2880"/>
      </w:tblGrid>
      <w:tr>
        <w:tc>
          <w:tcPr>
            <w:tcW w:type="dxa" w:w="2880"/>
          </w:tcPr>
          <w:p>
            <w:r>
              <w:t>Einrichtung</w:t>
            </w:r>
          </w:p>
        </w:tc>
        <w:tc>
          <w:tcPr>
            <w:tcW w:type="dxa" w:w="2880"/>
          </w:tcPr>
          <w:p>
            <w:r>
              <w:t>Einheiten</w:t>
            </w:r>
          </w:p>
        </w:tc>
        <w:tc>
          <w:tcPr>
            <w:tcW w:type="dxa" w:w="2880"/>
          </w:tcPr>
          <w:p>
            <w:r>
              <w:t>Lieferdatum</w:t>
            </w:r>
          </w:p>
        </w:tc>
      </w:tr>
      <w:tr>
        <w:tc>
          <w:tcPr>
            <w:tcW w:type="dxa" w:w="2880"/>
          </w:tcPr>
          <w:p>
            <w:r>
              <w:t>Zuerst</w:t>
            </w:r>
          </w:p>
        </w:tc>
        <w:tc>
          <w:tcPr>
            <w:tcW w:type="dxa" w:w="2880"/>
          </w:tcPr>
          <w:p>
            <w:r>
              <w:t>300</w:t>
            </w:r>
          </w:p>
        </w:tc>
        <w:tc>
          <w:tcPr>
            <w:tcW w:type="dxa" w:w="2880"/>
          </w:tcPr>
          <w:p>
            <w:r>
              <w:t>1. Mai 2026</w:t>
            </w:r>
          </w:p>
        </w:tc>
      </w:tr>
      <w:tr>
        <w:tc>
          <w:tcPr>
            <w:tcW w:type="dxa" w:w="2880"/>
          </w:tcPr>
          <w:p>
            <w:r>
              <w:t>Zweiter</w:t>
            </w:r>
          </w:p>
        </w:tc>
        <w:tc>
          <w:tcPr>
            <w:tcW w:type="dxa" w:w="2880"/>
          </w:tcPr>
          <w:p>
            <w:r>
              <w:t>300</w:t>
            </w:r>
          </w:p>
        </w:tc>
        <w:tc>
          <w:tcPr>
            <w:tcW w:type="dxa" w:w="2880"/>
          </w:tcPr>
          <w:p>
            <w:r>
              <w:t>1. Juni 2026</w:t>
            </w:r>
          </w:p>
        </w:tc>
      </w:tr>
      <w:tr>
        <w:tc>
          <w:tcPr>
            <w:tcW w:type="dxa" w:w="2880"/>
          </w:tcPr>
          <w:p>
            <w:r>
              <w:t>Dritter</w:t>
            </w:r>
          </w:p>
        </w:tc>
        <w:tc>
          <w:tcPr>
            <w:tcW w:type="dxa" w:w="2880"/>
          </w:tcPr>
          <w:p>
            <w:r>
              <w:t>300</w:t>
            </w:r>
          </w:p>
        </w:tc>
        <w:tc>
          <w:tcPr>
            <w:tcW w:type="dxa" w:w="2880"/>
          </w:tcPr>
          <w:p>
            <w:r>
              <w:t>1. Juli 2026</w:t>
            </w:r>
          </w:p>
        </w:tc>
      </w:tr>
      <w:tr>
        <w:tc>
          <w:tcPr>
            <w:tcW w:type="dxa" w:w="2880"/>
          </w:tcPr>
          <w:p>
            <w:r>
              <w:t>Vierter</w:t>
            </w:r>
          </w:p>
        </w:tc>
        <w:tc>
          <w:tcPr>
            <w:tcW w:type="dxa" w:w="2880"/>
          </w:tcPr>
          <w:p>
            <w:r>
              <w:t>300</w:t>
            </w:r>
          </w:p>
        </w:tc>
        <w:tc>
          <w:tcPr>
            <w:tcW w:type="dxa" w:w="2880"/>
          </w:tcPr>
          <w:p>
            <w:r>
              <w:t>31. August 2026</w:t>
            </w:r>
          </w:p>
        </w:tc>
      </w:tr>
    </w:tbl>
    <w:p>
      <w:pPr>
        <w:pStyle w:val="Heading1"/>
      </w:pPr>
      <w:r>
        <w:t>5. Verordnung (EWG) Nr. 1408/71 des Rates vom 14. Juni 1971 zur Anwendung der Systeme der sozialen Sicherheit auf Arbeitnehmer und Selbständige (ABl. Gesetzliche Vorschriften</w:t>
      </w:r>
    </w:p>
    <w:p>
      <w:r>
        <w:t>Dieser Vertrag unterliegt dem Recht Deutschlands. Streitigkeiten werden von den Gerichten Berlins beigelegt.</w:t>
      </w:r>
    </w:p>
    <w:p>
      <w:r>
        <w:t>Unterzeichnet von Maria Lindqvist (Nordwind AB) und Dr. Jonas Weber (Acme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