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Supply and Confidentiality Agreement</w:t>
      </w:r>
    </w:p>
    <w:p>
      <w:r>
        <w:t>This Supply and Confidentiality Agreement (the "Agreement") is entered into on 12 March 2026 between Acme GmbH, Friedrichstraße 12, 10117 Berlin, Germany ("Supplier"), and Nordwind AB, Sveavägen 44, 111 34 Stockholm, Sweden ("Buyer").</w:t>
      </w:r>
    </w:p>
    <w:p>
      <w:pPr>
        <w:pStyle w:val="Heading1"/>
      </w:pPr>
      <w:r>
        <w:t>1. Subject</w:t>
      </w:r>
    </w:p>
    <w:p>
      <w:r>
        <w:t>The Supplier agrees to deliver 1,200 industrial pump units of model NP-7 to the Buyer's warehouse in Gothenburg. Delivery shall take place in four equal instalments between 1 May 2026 and 31 August 2026.</w:t>
      </w:r>
    </w:p>
    <w:p>
      <w:pPr>
        <w:pStyle w:val="Heading1"/>
      </w:pPr>
      <w:r>
        <w:t>2. Price and payment</w:t>
      </w:r>
    </w:p>
    <w:p>
      <w:r>
        <w:t xml:space="preserve">The total contract price is EUR 250,000 excluding VAT. </w:t>
      </w:r>
      <w:r>
        <w:rPr>
          <w:b/>
        </w:rPr>
        <w:t>Payment is due within 30 days of each delivery.</w:t>
      </w:r>
    </w:p>
    <w:p>
      <w:r>
        <w:t>Late payments accrue interest at 8 percent per annum above the base rate of the European Central Bank.</w:t>
      </w:r>
    </w:p>
    <w:p>
      <w:pPr>
        <w:pStyle w:val="Heading1"/>
      </w:pPr>
      <w:r>
        <w:t>3. Confidentiality</w:t>
      </w:r>
    </w:p>
    <w:p>
      <w:r>
        <w:t>Each party shall keep the terms of this Agreement, the pricing, and all technical documentation strictly confidential. Neither party may disclose such information to third parties without prior written consent. This obligation survives termination for five years.</w:t>
      </w:r>
    </w:p>
    <w:p>
      <w:pPr>
        <w:pStyle w:val="Heading1"/>
      </w:pPr>
      <w:r>
        <w:t>4. Schedule</w:t>
      </w:r>
    </w:p>
    <w:tbl>
      <w:tblPr>
        <w:tblStyle w:val="TableGrid"/>
        <w:tblW w:type="auto" w:w="0"/>
        <w:tblLook w:firstColumn="1" w:firstRow="1" w:lastColumn="0" w:lastRow="0" w:noHBand="0" w:noVBand="1" w:val="04A0"/>
      </w:tblPr>
      <w:tblGrid>
        <w:gridCol w:w="2880"/>
        <w:gridCol w:w="2880"/>
        <w:gridCol w:w="2880"/>
      </w:tblGrid>
      <w:tr>
        <w:tc>
          <w:tcPr>
            <w:tcW w:type="dxa" w:w="2880"/>
          </w:tcPr>
          <w:p>
            <w:r>
              <w:t>Instalment</w:t>
            </w:r>
          </w:p>
        </w:tc>
        <w:tc>
          <w:tcPr>
            <w:tcW w:type="dxa" w:w="2880"/>
          </w:tcPr>
          <w:p>
            <w:r>
              <w:t>Units</w:t>
            </w:r>
          </w:p>
        </w:tc>
        <w:tc>
          <w:tcPr>
            <w:tcW w:type="dxa" w:w="2880"/>
          </w:tcPr>
          <w:p>
            <w:r>
              <w:t>Delivery date</w:t>
            </w:r>
          </w:p>
        </w:tc>
      </w:tr>
      <w:tr>
        <w:tc>
          <w:tcPr>
            <w:tcW w:type="dxa" w:w="2880"/>
          </w:tcPr>
          <w:p>
            <w:r>
              <w:t>First</w:t>
            </w:r>
          </w:p>
        </w:tc>
        <w:tc>
          <w:tcPr>
            <w:tcW w:type="dxa" w:w="2880"/>
          </w:tcPr>
          <w:p>
            <w:r>
              <w:t>300</w:t>
            </w:r>
          </w:p>
        </w:tc>
        <w:tc>
          <w:tcPr>
            <w:tcW w:type="dxa" w:w="2880"/>
          </w:tcPr>
          <w:p>
            <w:r>
              <w:t>1 May 2026</w:t>
            </w:r>
          </w:p>
        </w:tc>
      </w:tr>
      <w:tr>
        <w:tc>
          <w:tcPr>
            <w:tcW w:type="dxa" w:w="2880"/>
          </w:tcPr>
          <w:p>
            <w:r>
              <w:t>Second</w:t>
            </w:r>
          </w:p>
        </w:tc>
        <w:tc>
          <w:tcPr>
            <w:tcW w:type="dxa" w:w="2880"/>
          </w:tcPr>
          <w:p>
            <w:r>
              <w:t>300</w:t>
            </w:r>
          </w:p>
        </w:tc>
        <w:tc>
          <w:tcPr>
            <w:tcW w:type="dxa" w:w="2880"/>
          </w:tcPr>
          <w:p>
            <w:r>
              <w:t>1 June 2026</w:t>
            </w:r>
          </w:p>
        </w:tc>
      </w:tr>
      <w:tr>
        <w:tc>
          <w:tcPr>
            <w:tcW w:type="dxa" w:w="2880"/>
          </w:tcPr>
          <w:p>
            <w:r>
              <w:t>Third</w:t>
            </w:r>
          </w:p>
        </w:tc>
        <w:tc>
          <w:tcPr>
            <w:tcW w:type="dxa" w:w="2880"/>
          </w:tcPr>
          <w:p>
            <w:r>
              <w:t>300</w:t>
            </w:r>
          </w:p>
        </w:tc>
        <w:tc>
          <w:tcPr>
            <w:tcW w:type="dxa" w:w="2880"/>
          </w:tcPr>
          <w:p>
            <w:r>
              <w:t>1 July 2026</w:t>
            </w:r>
          </w:p>
        </w:tc>
      </w:tr>
      <w:tr>
        <w:tc>
          <w:tcPr>
            <w:tcW w:type="dxa" w:w="2880"/>
          </w:tcPr>
          <w:p>
            <w:r>
              <w:t>Fourth</w:t>
            </w:r>
          </w:p>
        </w:tc>
        <w:tc>
          <w:tcPr>
            <w:tcW w:type="dxa" w:w="2880"/>
          </w:tcPr>
          <w:p>
            <w:r>
              <w:t>300</w:t>
            </w:r>
          </w:p>
        </w:tc>
        <w:tc>
          <w:tcPr>
            <w:tcW w:type="dxa" w:w="2880"/>
          </w:tcPr>
          <w:p>
            <w:r>
              <w:t>31 August 2026</w:t>
            </w:r>
          </w:p>
        </w:tc>
      </w:tr>
    </w:tbl>
    <w:p>
      <w:pPr>
        <w:pStyle w:val="Heading1"/>
      </w:pPr>
      <w:r>
        <w:t>5. Governing law</w:t>
      </w:r>
    </w:p>
    <w:p>
      <w:r>
        <w:t>This Agreement is governed by the laws of Germany. Disputes shall be settled by the courts of Berlin.</w:t>
      </w:r>
    </w:p>
    <w:p>
      <w:r>
        <w:t>Signed by Maria Lindqvist (Nordwind AB) and Dr. Jonas Weber (Acme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