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Соглашение о поставке и конфиденциальности</w:t>
      </w:r>
    </w:p>
    <w:p>
      <w:r>
        <w:t>Настоящее соглашение о поставке и конфиденциальности («Соглашение») заключается 12 марта 2026 года между Acme GmbH, Friedrichstraße 12, 10117 Берлин, Германия («Поставщик»), и Nordwind AB, Sveavägen 44, 111 34 Стокгольм, Швеция («Покупатель»).</w:t>
      </w:r>
    </w:p>
    <w:p>
      <w:pPr>
        <w:pStyle w:val="Heading1"/>
      </w:pPr>
      <w:r>
        <w:t>1. Тема</w:t>
      </w:r>
    </w:p>
    <w:p>
      <w:r>
        <w:t>Поставщик обязуется поставлять покупателю 1 200 единиц промышленных насосов модели NP-7 в склад покупателя в Готеборге. Доставка осуществляется в четыре равные партии с 1 мая 2026 года по 31 августа 2026 года.</w:t>
      </w:r>
    </w:p>
    <w:p>
      <w:pPr>
        <w:pStyle w:val="Heading1"/>
      </w:pPr>
      <w:r>
        <w:t>2. Цена и оплата</w:t>
      </w:r>
    </w:p>
    <w:p>
      <w:r>
        <w:t>Общая сумма контракта составляет 250 000 евро, исключая НДС. Оплата должна быть произведена в течение 30 дней с даты каждой поставки.</w:t>
      </w:r>
      <w:r>
        <w:rPr>
          <w:b/>
        </w:rPr>
      </w:r>
    </w:p>
    <w:p>
      <w:r>
        <w:t>Поздние платежи подлежат начислению процентов по ставке 8 процентов в год сверх базовой ставки Европейского центрального банка.</w:t>
      </w:r>
    </w:p>
    <w:p>
      <w:pPr>
        <w:pStyle w:val="Heading1"/>
      </w:pPr>
      <w:r>
        <w:t>3. Конфиденциальность</w:t>
      </w:r>
    </w:p>
    <w:p>
      <w:r>
        <w:t>Каждая сторона обязуется строго сохранять конфиденциальность условий настоящего Соглашения, цен и всей технической документации. Ни одна из сторон не может раскрывать такую информацию третьим лицам без предварительного письменного согласия. Эта обязанность сохраняется после расторжения соглашения в течение пяти лет. [[1]]</w:t>
      </w:r>
    </w:p>
    <w:p>
      <w:pPr>
        <w:pStyle w:val="Heading1"/>
      </w:pPr>
      <w:r>
        <w:t>4. Расписание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Разовый платеж</w:t>
            </w:r>
          </w:p>
        </w:tc>
        <w:tc>
          <w:tcPr>
            <w:tcW w:type="dxa" w:w="2880"/>
          </w:tcPr>
          <w:p>
            <w:r>
              <w:t>Единицы</w:t>
            </w:r>
          </w:p>
        </w:tc>
        <w:tc>
          <w:tcPr>
            <w:tcW w:type="dxa" w:w="2880"/>
          </w:tcPr>
          <w:p>
            <w:r>
              <w:t>Дата доставки</w:t>
            </w:r>
          </w:p>
        </w:tc>
      </w:tr>
      <w:tr>
        <w:tc>
          <w:tcPr>
            <w:tcW w:type="dxa" w:w="2880"/>
          </w:tcPr>
          <w:p>
            <w:r>
              <w:t>Первый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1 мая 2026 года</w:t>
            </w:r>
          </w:p>
        </w:tc>
      </w:tr>
      <w:tr>
        <w:tc>
          <w:tcPr>
            <w:tcW w:type="dxa" w:w="2880"/>
          </w:tcPr>
          <w:p>
            <w:r>
              <w:t>Второй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1 июня 2026 года</w:t>
            </w:r>
          </w:p>
        </w:tc>
      </w:tr>
      <w:tr>
        <w:tc>
          <w:tcPr>
            <w:tcW w:type="dxa" w:w="2880"/>
          </w:tcPr>
          <w:p>
            <w:r>
              <w:t>Третий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1 июля 2026 года</w:t>
            </w:r>
          </w:p>
        </w:tc>
      </w:tr>
      <w:tr>
        <w:tc>
          <w:tcPr>
            <w:tcW w:type="dxa" w:w="2880"/>
          </w:tcPr>
          <w:p>
            <w:r>
              <w:t>Четвертый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31 августа 2026 года</w:t>
            </w:r>
          </w:p>
        </w:tc>
      </w:tr>
    </w:tbl>
    <w:p>
      <w:pPr>
        <w:pStyle w:val="Heading1"/>
      </w:pPr>
      <w:r>
        <w:t>5. Закон, регулирующий данное соглашение</w:t>
      </w:r>
    </w:p>
    <w:p>
      <w:r>
        <w:t>Настоящее соглашение регулируется законодательством Германии. Споры будут разрешаться в судах Берлина.</w:t>
      </w:r>
    </w:p>
    <w:p>
      <w:r>
        <w:t>Подписано Мария Линдквист (Nordwind AB) и доктором Янасом Вебером (Acme GmbH).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