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БЕЛОРУССКИЙ ГОСУДАРСТВЕННЫЙ УНИВЕРСИТЕТ</w:t>
      </w:r>
    </w:p>
    <w:p>
      <w:pPr>
        <w:jc w:val="center"/>
      </w:pPr>
      <w:r>
        <w:rPr>
          <w:b/>
        </w:rPr>
        <w:t>Лабораторная работа №3</w:t>
      </w:r>
    </w:p>
    <w:p>
      <w:pPr>
        <w:jc w:val="center"/>
      </w:pPr>
      <w:r>
        <w:rPr>
          <w:b/>
          <w:sz w:val="36"/>
        </w:rPr>
        <w:t>Основы обработки цифровых изображений</w:t>
      </w:r>
    </w:p>
    <w:p>
      <w:pPr>
        <w:spacing w:after="120"/>
        <w:jc w:val="center"/>
      </w:pPr>
      <w:r>
        <w:rPr>
          <w:b/>
          <w:i w:val="0"/>
        </w:rPr>
        <w:t>Вариант 11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shd w:fill="EAF1F8"/>
            <w:vAlign w:val="center"/>
          </w:tcPr>
          <w:p>
            <w:r>
              <w:t>Студент</w:t>
            </w:r>
          </w:p>
        </w:tc>
        <w:tc>
          <w:tcPr>
            <w:tcW w:type="dxa" w:w="5014"/>
            <w:vAlign w:val="center"/>
          </w:tcPr>
          <w:p>
            <w:r>
              <w:t>Никончук Андрей Андреевич</w:t>
            </w:r>
          </w:p>
        </w:tc>
      </w:tr>
      <w:tr>
        <w:tc>
          <w:tcPr>
            <w:tcW w:type="dxa" w:w="5014"/>
            <w:shd w:fill="EAF1F8"/>
            <w:vAlign w:val="center"/>
          </w:tcPr>
          <w:p>
            <w:r>
              <w:t>Группа</w:t>
            </w:r>
          </w:p>
        </w:tc>
        <w:tc>
          <w:tcPr>
            <w:tcW w:type="dxa" w:w="5014"/>
            <w:vAlign w:val="center"/>
          </w:tcPr>
          <w:p>
            <w:r>
              <w:t>11Б</w:t>
            </w:r>
          </w:p>
        </w:tc>
      </w:tr>
      <w:tr>
        <w:tc>
          <w:tcPr>
            <w:tcW w:type="dxa" w:w="5014"/>
            <w:shd w:fill="EAF1F8"/>
            <w:vAlign w:val="center"/>
          </w:tcPr>
          <w:p>
            <w:r>
              <w:t>Дисциплина</w:t>
            </w:r>
          </w:p>
        </w:tc>
        <w:tc>
          <w:tcPr>
            <w:tcW w:type="dxa" w:w="5014"/>
            <w:vAlign w:val="center"/>
          </w:tcPr>
          <w:p>
            <w:r>
              <w:t>ПКГ</w:t>
            </w:r>
          </w:p>
        </w:tc>
      </w:tr>
      <w:tr>
        <w:tc>
          <w:tcPr>
            <w:tcW w:type="dxa" w:w="5014"/>
            <w:shd w:fill="EAF1F8"/>
            <w:vAlign w:val="center"/>
          </w:tcPr>
          <w:p>
            <w:r>
              <w:t>Формат</w:t>
            </w:r>
          </w:p>
        </w:tc>
        <w:tc>
          <w:tcPr>
            <w:tcW w:type="dxa" w:w="5014"/>
            <w:vAlign w:val="center"/>
          </w:tcPr>
          <w:p>
            <w:r>
              <w:t>веб-приложение, GitHub Pages</w:t>
            </w:r>
          </w:p>
        </w:tc>
      </w:tr>
    </w:tbl>
    <w:p/>
    <w:p/>
    <w:p/>
    <w:p/>
    <w:p/>
    <w:p/>
    <w:p>
      <w:pPr>
        <w:spacing w:after="120"/>
        <w:jc w:val="center"/>
      </w:pPr>
      <w:r>
        <w:rPr>
          <w:b w:val="0"/>
          <w:i w:val="0"/>
        </w:rPr>
        <w:t>Минск,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spacing w:after="120"/>
      </w:pPr>
      <w:r>
        <w:rPr>
          <w:b w:val="0"/>
          <w:i w:val="0"/>
        </w:rPr>
        <w:t>Закрепить теоретический материал и получить практический навык реализации алгоритмов обработки цифровых изображений в веб-приложении.</w:t>
      </w:r>
    </w:p>
    <w:p>
      <w:pPr>
        <w:pStyle w:val="Heading1"/>
      </w:pPr>
      <w:r>
        <w:t>2. Вариант задания</w:t>
      </w:r>
    </w:p>
    <w:p>
      <w:pPr>
        <w:spacing w:after="120"/>
      </w:pPr>
      <w:r>
        <w:rPr>
          <w:b w:val="0"/>
          <w:i w:val="0"/>
        </w:rPr>
        <w:t>Для варианта 11 реализован блок локальной пороговой обработки с двумя локальными методами и адаптивный метод, а также поэлементная обработка с линейным контрастированием.</w:t>
      </w:r>
    </w:p>
    <w:p>
      <w:pPr>
        <w:pStyle w:val="Heading1"/>
      </w:pPr>
      <w:r>
        <w:t>3. Реализованные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shd w:fill="DCE6F1"/>
          </w:tcPr>
          <w:p>
            <w:r>
              <w:t>Метод</w:t>
            </w:r>
          </w:p>
        </w:tc>
        <w:tc>
          <w:tcPr>
            <w:tcW w:type="dxa" w:w="5014"/>
            <w:shd w:fill="DCE6F1"/>
          </w:tcPr>
          <w:p>
            <w:r>
              <w:t>Описание</w:t>
            </w:r>
          </w:p>
        </w:tc>
      </w:tr>
      <w:tr>
        <w:tc>
          <w:tcPr>
            <w:tcW w:type="dxa" w:w="5014"/>
          </w:tcPr>
          <w:p>
            <w:r>
              <w:t>Локальный порог по среднему</w:t>
            </w:r>
          </w:p>
        </w:tc>
        <w:tc>
          <w:tcPr>
            <w:tcW w:type="dxa" w:w="5014"/>
          </w:tcPr>
          <w:p>
            <w:r>
              <w:t>T(x,y)=μ. Порог равен средней интенсивности в локальном окне.</w:t>
            </w:r>
          </w:p>
        </w:tc>
      </w:tr>
      <w:tr>
        <w:tc>
          <w:tcPr>
            <w:tcW w:type="dxa" w:w="5014"/>
          </w:tcPr>
          <w:p>
            <w:r>
              <w:t>Niblack</w:t>
            </w:r>
          </w:p>
        </w:tc>
        <w:tc>
          <w:tcPr>
            <w:tcW w:type="dxa" w:w="5014"/>
          </w:tcPr>
          <w:p>
            <w:r>
              <w:t>T=μ+kσ. Учитывается локальное стандартное отклонение; коэффициент k задаётся в интерфейсе.</w:t>
            </w:r>
          </w:p>
        </w:tc>
      </w:tr>
      <w:tr>
        <w:tc>
          <w:tcPr>
            <w:tcW w:type="dxa" w:w="5014"/>
          </w:tcPr>
          <w:p>
            <w:r>
              <w:t>Sauvola</w:t>
            </w:r>
          </w:p>
        </w:tc>
        <w:tc>
          <w:tcPr>
            <w:tcW w:type="dxa" w:w="5014"/>
          </w:tcPr>
          <w:p>
            <w:r>
              <w:t>T=μ(1+k(σ/R−1)). Адаптивный порог для неравномерного фона.</w:t>
            </w:r>
          </w:p>
        </w:tc>
      </w:tr>
      <w:tr>
        <w:tc>
          <w:tcPr>
            <w:tcW w:type="dxa" w:w="5014"/>
          </w:tcPr>
          <w:p>
            <w:r>
              <w:t>Линейное контрастирование</w:t>
            </w:r>
          </w:p>
        </w:tc>
        <w:tc>
          <w:tcPr>
            <w:tcW w:type="dxa" w:w="5014"/>
          </w:tcPr>
          <w:p>
            <w:r>
              <w:t>g=clamp(255(f−a)/(b−a)). Диапазон [a,b] выбирается по процентилям гистограммы.</w:t>
            </w:r>
          </w:p>
        </w:tc>
      </w:tr>
      <w:tr>
        <w:tc>
          <w:tcPr>
            <w:tcW w:type="dxa" w:w="5014"/>
          </w:tcPr>
          <w:p>
            <w:r>
              <w:t>Оцу — дополнительно</w:t>
            </w:r>
          </w:p>
        </w:tc>
        <w:tc>
          <w:tcPr>
            <w:tcW w:type="dxa" w:w="5014"/>
          </w:tcPr>
          <w:p>
            <w:r>
              <w:t>Автоматический глобальный порог по максимуму межклассовой дисперсии.</w:t>
            </w:r>
          </w:p>
        </w:tc>
      </w:tr>
      <w:tr>
        <w:tc>
          <w:tcPr>
            <w:tcW w:type="dxa" w:w="5014"/>
          </w:tcPr>
          <w:p>
            <w:r>
              <w:t>CLAHE — продвинутый режим</w:t>
            </w:r>
          </w:p>
        </w:tc>
        <w:tc>
          <w:tcPr>
            <w:tcW w:type="dxa" w:w="5014"/>
          </w:tcPr>
          <w:p>
            <w:r>
              <w:t>Локальная эквализация гистограммы с clipping и билинейной интерполяцией между плитками.</w:t>
            </w:r>
          </w:p>
        </w:tc>
      </w:tr>
    </w:tbl>
    <w:p>
      <w:pPr>
        <w:pStyle w:val="Heading1"/>
      </w:pPr>
      <w:r>
        <w:t>4. Пиксельный доступ и архитектура</w:t>
      </w:r>
    </w:p>
    <w:p>
      <w:pPr>
        <w:spacing w:after="120"/>
      </w:pPr>
      <w:r>
        <w:rPr>
          <w:b w:val="0"/>
          <w:i w:val="0"/>
        </w:rPr>
        <w:t>После декодирования изображения браузером данные представляются как RGBA-массив. Из него рассчитывается одномерный массив яркости Y=0.299R+0.587G+0.114B. Далее алгоритмы обработки работают непосредственно с Uint8ClampedArray и вложенными циклами.</w:t>
      </w:r>
    </w:p>
    <w:p>
      <w:pPr>
        <w:spacing w:after="120"/>
      </w:pPr>
      <w:r>
        <w:rPr>
          <w:b w:val="0"/>
          <w:i w:val="0"/>
        </w:rPr>
        <w:t>Canvas используется только как механизм декодирования и визуализации. Математическая обработка отделена от интерфейса и выполняется в Web Worker.</w:t>
      </w:r>
    </w:p>
    <w:p>
      <w:pPr>
        <w:pStyle w:val="Heading1"/>
      </w:pPr>
      <w:r>
        <w:t>5. Интегральное изображение и обработка краёв</w:t>
      </w:r>
    </w:p>
    <w:p>
      <w:pPr>
        <w:spacing w:after="120"/>
      </w:pPr>
      <w:r>
        <w:rPr>
          <w:b w:val="0"/>
          <w:i w:val="0"/>
        </w:rPr>
        <w:t>Для локальных алгоритмов строятся два интегральных массива: для суммы интенсивностей и для суммы квадратов. Это позволяет вычислять среднее и дисперсию окна за O(1) на пиксель после построения SAT.</w:t>
      </w:r>
    </w:p>
    <w:p>
      <w:pPr>
        <w:spacing w:after="120"/>
      </w:pPr>
      <w:r>
        <w:rPr>
          <w:b w:val="0"/>
          <w:i w:val="0"/>
        </w:rPr>
        <w:t>Для границ реализованы две стратегии: Reflect (зеркальное отражение) и Clamp (дублирование ближайшего граничного пикселя). Обрезание окна и заполнение края чёрным не используется.</w:t>
      </w:r>
    </w:p>
    <w:p>
      <w:pPr>
        <w:pStyle w:val="Heading1"/>
      </w:pPr>
      <w:r>
        <w:t>6. База тестовых изображений</w:t>
      </w:r>
    </w:p>
    <w:p>
      <w:pPr>
        <w:spacing w:after="120"/>
      </w:pPr>
      <w:r>
        <w:rPr>
          <w:b w:val="0"/>
          <w:i w:val="0"/>
        </w:rPr>
        <w:t>В папке samples находятся восемь специально подготовленных изображений: документ с тенью, неравномерное освещение, низкий контраст, импульсный шум, размытие текста, текстура, сильный градиент и тёмная сцена.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docu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1 - документ с тенью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1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even_ligh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2 - неравномерное освещение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1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contr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3 - низкий контраст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1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4 - импульсный шум</w:t>
      </w:r>
    </w:p>
    <w:p>
      <w:pPr>
        <w:pStyle w:val="Heading1"/>
      </w:pPr>
      <w:r>
        <w:t>7. Сравнение методов</w:t>
      </w:r>
    </w:p>
    <w:p>
      <w:pPr>
        <w:pStyle w:val="Heading2"/>
      </w:pPr>
      <w:r>
        <w:t>Локальное среднее</w:t>
      </w:r>
    </w:p>
    <w:p>
      <w:pPr>
        <w:spacing w:after="120"/>
      </w:pPr>
      <w:r>
        <w:rPr>
          <w:b w:val="0"/>
          <w:i w:val="0"/>
        </w:rPr>
        <w:t>Простой и быстрый локальный порог. Хорошо подходит для умеренно неравномерного фона, но может реагировать на крупные тени и текстуру.</w:t>
      </w:r>
    </w:p>
    <w:p>
      <w:pPr>
        <w:pStyle w:val="Heading2"/>
      </w:pPr>
      <w:r>
        <w:t>Niblack</w:t>
      </w:r>
    </w:p>
    <w:p>
      <w:pPr>
        <w:spacing w:after="120"/>
      </w:pPr>
      <w:r>
        <w:rPr>
          <w:b w:val="0"/>
          <w:i w:val="0"/>
        </w:rPr>
        <w:t>Учитывает локальный разброс яркости, поэтому лучше выделяет детали. При сильном шуме может появляться лишняя бинаризация.</w:t>
      </w:r>
    </w:p>
    <w:p>
      <w:pPr>
        <w:pStyle w:val="Heading2"/>
      </w:pPr>
      <w:r>
        <w:t>Sauvola</w:t>
      </w:r>
    </w:p>
    <w:p>
      <w:pPr>
        <w:spacing w:after="120"/>
      </w:pPr>
      <w:r>
        <w:rPr>
          <w:b w:val="0"/>
          <w:i w:val="0"/>
        </w:rPr>
        <w:t>Учитывает локальное среднее и относительный контраст. Особенно полезен для документов, теней и переменного освещения.</w:t>
      </w:r>
    </w:p>
    <w:p>
      <w:pPr>
        <w:pStyle w:val="Heading2"/>
      </w:pPr>
      <w:r>
        <w:t>Линейное контрастирование</w:t>
      </w:r>
    </w:p>
    <w:p>
      <w:pPr>
        <w:spacing w:after="120"/>
      </w:pPr>
      <w:r>
        <w:rPr>
          <w:b w:val="0"/>
          <w:i w:val="0"/>
        </w:rPr>
        <w:t>Расширяет диапазон исходных яркостей и полезно для малоконтрастных изображений.</w:t>
      </w:r>
    </w:p>
    <w:p>
      <w:pPr>
        <w:pStyle w:val="Heading2"/>
      </w:pPr>
      <w:r>
        <w:t>CLAHE</w:t>
      </w:r>
    </w:p>
    <w:p>
      <w:pPr>
        <w:spacing w:after="120"/>
      </w:pPr>
      <w:r>
        <w:rPr>
          <w:b w:val="0"/>
          <w:i w:val="0"/>
        </w:rPr>
        <w:t>Повышает локальный контраст на разных участках изображения и ограничивает чрезмерное усиление шума.</w:t>
      </w:r>
    </w:p>
    <w:p>
      <w:pPr>
        <w:pStyle w:val="Heading1"/>
      </w:pPr>
      <w:r>
        <w:t>8. Гистограммы «до/после»</w:t>
      </w:r>
    </w:p>
    <w:p>
      <w:pPr>
        <w:spacing w:after="120"/>
      </w:pPr>
      <w:r>
        <w:rPr>
          <w:b w:val="0"/>
          <w:i w:val="0"/>
        </w:rPr>
        <w:t>Интерфейс строит гистограммы яркости исходного и обработанного изображения. Для бинарных алгоритмов результат имеет основные уровни около 0 и 255. После линейного контрастирования диапазон яркостей расширяется. Для CLAHE распределение становится более равномерным локально.</w:t>
      </w:r>
    </w:p>
    <w:p>
      <w:pPr>
        <w:pStyle w:val="Heading1"/>
      </w:pPr>
      <w:r>
        <w:t>9. Производительность</w:t>
      </w:r>
    </w:p>
    <w:p>
      <w:pPr>
        <w:spacing w:after="120"/>
      </w:pPr>
      <w:r>
        <w:rPr>
          <w:b w:val="0"/>
          <w:i w:val="0"/>
        </w:rPr>
        <w:t>Основные вычисления вынесены в Web Worker. Для изображений от 1,2 млн пикселей локальные методы дополнительно распараллеливаются по горизонтальным полосам: каждая полоса получает гало радиуса окна, поэтому локальная статистика остаётся корректной и на стыках. Это сохраняет отзывчивость интерфейса во время обработки. Для локальных алгоритмов после построения SAT стоимость получения локальной статистики составляет O(1) на пиксель. В качестве практической проверки предусмотрены автоматические тесты.</w:t>
      </w:r>
    </w:p>
    <w:p>
      <w:pPr>
        <w:pStyle w:val="Heading1"/>
      </w:pPr>
      <w:r>
        <w:t>10. Проверка</w:t>
      </w:r>
    </w:p>
    <w:p>
      <w:pPr>
        <w:spacing w:after="120"/>
      </w:pPr>
      <w:r>
        <w:rPr>
          <w:b w:val="0"/>
          <w:i w:val="0"/>
        </w:rPr>
        <w:t>В папке tests/ находится браузерная страница автотестов, а также Node.js-версия тестов для быстрой проверки математических функций.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3343"/>
            <w:shd w:fill="DCE6F1"/>
          </w:tcPr>
          <w:p>
            <w:r>
              <w:t>Проверка</w:t>
            </w:r>
          </w:p>
        </w:tc>
        <w:tc>
          <w:tcPr>
            <w:tcW w:type="dxa" w:w="3343"/>
            <w:shd w:fill="DCE6F1"/>
          </w:tcPr>
          <w:p>
            <w:r>
              <w:t>Ожидаемый результат</w:t>
            </w:r>
          </w:p>
        </w:tc>
        <w:tc>
          <w:tcPr>
            <w:tcW w:type="dxa" w:w="3343"/>
            <w:shd w:fill="DCE6F1"/>
          </w:tcPr>
          <w:p>
            <w:r>
              <w:t>Статус</w:t>
            </w:r>
          </w:p>
        </w:tc>
      </w:tr>
      <w:tr>
        <w:tc>
          <w:tcPr>
            <w:tcW w:type="dxa" w:w="3343"/>
          </w:tcPr>
          <w:p>
            <w:r>
              <w:t>Граничные индексы</w:t>
            </w:r>
          </w:p>
        </w:tc>
        <w:tc>
          <w:tcPr>
            <w:tcW w:type="dxa" w:w="3343"/>
          </w:tcPr>
          <w:p>
            <w:r>
              <w:t>Reflect / Clamp работают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  <w:tr>
        <w:tc>
          <w:tcPr>
            <w:tcW w:type="dxa" w:w="3343"/>
          </w:tcPr>
          <w:p>
            <w:r>
              <w:t>Перевод RGB -&gt; яркость</w:t>
            </w:r>
          </w:p>
        </w:tc>
        <w:tc>
          <w:tcPr>
            <w:tcW w:type="dxa" w:w="3343"/>
          </w:tcPr>
          <w:p>
            <w:r>
              <w:t>Корректный массив интенсивностей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  <w:tr>
        <w:tc>
          <w:tcPr>
            <w:tcW w:type="dxa" w:w="3343"/>
          </w:tcPr>
          <w:p>
            <w:r>
              <w:t>SAT</w:t>
            </w:r>
          </w:p>
        </w:tc>
        <w:tc>
          <w:tcPr>
            <w:tcW w:type="dxa" w:w="3343"/>
          </w:tcPr>
          <w:p>
            <w:r>
              <w:t>Сумма тестового окна корректна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  <w:tr>
        <w:tc>
          <w:tcPr>
            <w:tcW w:type="dxa" w:w="3343"/>
          </w:tcPr>
          <w:p>
            <w:r>
              <w:t>Local mean / Niblack / Sauvola</w:t>
            </w:r>
          </w:p>
        </w:tc>
        <w:tc>
          <w:tcPr>
            <w:tcW w:type="dxa" w:w="3343"/>
          </w:tcPr>
          <w:p>
            <w:r>
              <w:t>Бинарный результат и параметры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  <w:tr>
        <w:tc>
          <w:tcPr>
            <w:tcW w:type="dxa" w:w="3343"/>
          </w:tcPr>
          <w:p>
            <w:r>
              <w:t>Otsu</w:t>
            </w:r>
          </w:p>
        </w:tc>
        <w:tc>
          <w:tcPr>
            <w:tcW w:type="dxa" w:w="3343"/>
          </w:tcPr>
          <w:p>
            <w:r>
              <w:t>Порог находится автоматически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  <w:tr>
        <w:tc>
          <w:tcPr>
            <w:tcW w:type="dxa" w:w="3343"/>
          </w:tcPr>
          <w:p>
            <w:r>
              <w:t>CLAHE</w:t>
            </w:r>
          </w:p>
        </w:tc>
        <w:tc>
          <w:tcPr>
            <w:tcW w:type="dxa" w:w="3343"/>
          </w:tcPr>
          <w:p>
            <w:r>
              <w:t>Размер и диапазон результата корректны</w:t>
            </w:r>
          </w:p>
        </w:tc>
        <w:tc>
          <w:tcPr>
            <w:tcW w:type="dxa" w:w="3343"/>
          </w:tcPr>
          <w:p>
            <w:r>
              <w:t>Выполнено</w:t>
            </w:r>
          </w:p>
        </w:tc>
      </w:tr>
    </w:tbl>
    <w:p>
      <w:pPr>
        <w:pStyle w:val="Heading1"/>
      </w:pPr>
      <w:r>
        <w:t>11. Структура проекта</w:t>
      </w:r>
    </w:p>
    <w:p>
      <w:pPr>
        <w:pStyle w:val="ListBullet"/>
      </w:pPr>
      <w:r>
        <w:t>index.html - интерфейс</w:t>
      </w:r>
    </w:p>
    <w:p>
      <w:pPr>
        <w:pStyle w:val="ListBullet"/>
      </w:pPr>
      <w:r>
        <w:t>styles.css - оформление</w:t>
      </w:r>
    </w:p>
    <w:p>
      <w:pPr>
        <w:pStyle w:val="ListBullet"/>
      </w:pPr>
      <w:r>
        <w:t>app.js - управление UI и загрузкой</w:t>
      </w:r>
    </w:p>
    <w:p>
      <w:pPr>
        <w:pStyle w:val="ListBullet"/>
      </w:pPr>
      <w:r>
        <w:t>worker.js - выполнение обработки в отдельном потоке</w:t>
      </w:r>
    </w:p>
    <w:p>
      <w:pPr>
        <w:pStyle w:val="ListBullet"/>
      </w:pPr>
      <w:r>
        <w:t>src/processing/algorithms.js - математические алгоритмы</w:t>
      </w:r>
    </w:p>
    <w:p>
      <w:pPr>
        <w:pStyle w:val="ListBullet"/>
      </w:pPr>
      <w:r>
        <w:t>samples/ - база тестовых изображений</w:t>
      </w:r>
    </w:p>
    <w:p>
      <w:pPr>
        <w:pStyle w:val="ListBullet"/>
      </w:pPr>
      <w:r>
        <w:t>tests/ - автотесты</w:t>
      </w:r>
    </w:p>
    <w:p>
      <w:pPr>
        <w:pStyle w:val="ListBullet"/>
      </w:pPr>
      <w:r>
        <w:t>docs/ - отчёт и текст защиты</w:t>
      </w:r>
    </w:p>
    <w:p>
      <w:pPr>
        <w:pStyle w:val="Heading1"/>
      </w:pPr>
      <w:r>
        <w:t>12. Вывод</w:t>
      </w:r>
    </w:p>
    <w:p>
      <w:pPr>
        <w:spacing w:after="120"/>
      </w:pPr>
      <w:r>
        <w:rPr>
          <w:b w:val="0"/>
          <w:i w:val="0"/>
        </w:rPr>
        <w:t>Создано статическое веб-приложение для обработки цифровых изображений. Реализованы два локальных метода пороговой обработки, адаптивный метод Sauvola, линейное контрастирование, две стратегии обработки краёв, интегральные изображения, гистограммы и продвинутый режим CLAHE. Проект подготовлен для публикации через GitHub Pages.</w:t>
      </w:r>
    </w:p>
    <w:sectPr w:rsidR="00FC693F" w:rsidRPr="0006063C" w:rsidSect="00034616">
      <w:pgSz w:w="12240" w:h="15840"/>
      <w:pgMar w:top="1134" w:right="96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