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№1</w:t>
      </w:r>
    </w:p>
    <w:p>
      <w:pPr>
        <w:jc w:val="center"/>
      </w:pPr>
      <w:r>
        <w:rPr>
          <w:b/>
          <w:sz w:val="24"/>
        </w:rPr>
        <w:t>«Цветовые модели». Вариант 4: RGB ↔ HSV ↔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087"/>
      </w:tblGrid>
      <w:tr>
        <w:tc>
          <w:tcPr>
            <w:tcW w:type="dxa" w:w="5156"/>
            <w:vAlign w:val="center"/>
          </w:tcPr>
          <w:p>
            <w:r>
              <w:t>Выполнил(а)</w:t>
            </w:r>
          </w:p>
        </w:tc>
        <w:tc>
          <w:tcPr>
            <w:tcW w:type="dxa" w:w="5156"/>
            <w:vAlign w:val="center"/>
          </w:tcPr>
          <w:p>
            <w:r>
              <w:t>______________________________</w:t>
            </w:r>
          </w:p>
        </w:tc>
      </w:tr>
      <w:tr>
        <w:tc>
          <w:tcPr>
            <w:tcW w:type="dxa" w:w="5156"/>
            <w:vAlign w:val="center"/>
          </w:tcPr>
          <w:p>
            <w:r>
              <w:t>Подгруппа</w:t>
            </w:r>
          </w:p>
        </w:tc>
        <w:tc>
          <w:tcPr>
            <w:tcW w:type="dxa" w:w="5156"/>
            <w:vAlign w:val="center"/>
          </w:tcPr>
          <w:p>
            <w:r>
              <w:t>10А</w:t>
            </w:r>
          </w:p>
        </w:tc>
      </w:tr>
    </w:tbl>
    <w:p>
      <w:pPr>
        <w:pStyle w:val="Heading1"/>
        <w:spacing w:before="100" w:after="40"/>
      </w:pPr>
      <w:r>
        <w:t>1. Цель и постановка задачи</w:t>
      </w:r>
    </w:p>
    <w:p>
      <w:pPr>
        <w:spacing w:after="40" w:line="252" w:lineRule="auto"/>
        <w:ind w:firstLine="397"/>
      </w:pPr>
      <w:r>
        <w:t>Цель работы — изучить взаимные преобразования цветовых моделей и разработать веб-приложение, в котором один цвет одновременно представлен в RGB, HSV и CIELAB. Для варианта 4 реализованы RGB ↔ HSV ↔ LAB. Пользователь может задавать компоненты точными числовыми значениями, ползунками и через палитру; после изменения любой координаты остальные представления автоматически пересчитываются.</w:t>
      </w:r>
    </w:p>
    <w:p>
      <w:pPr>
        <w:pStyle w:val="Heading1"/>
        <w:spacing w:before="100" w:after="40"/>
      </w:pPr>
      <w:r>
        <w:t>2. Средства разработки и архитектура</w:t>
      </w:r>
    </w:p>
    <w:p>
      <w:pPr>
        <w:spacing w:after="40" w:line="252" w:lineRule="auto"/>
        <w:ind w:firstLine="397"/>
      </w:pPr>
      <w:r>
        <w:t>Приложение выполнено на HTML5, CSS3 и чистом JavaScript (ES modules), без библиотек цветовой конвертации и без фреймворков. Архитектура разделена на Model–View–Controller: математический слой не работает с DOM, View отвечает за элементы страницы, Controller связывает пользовательские события с расчетами.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5156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5156"/>
            <w:vAlign w:val="center"/>
          </w:tcPr>
          <w:p>
            <w:r>
              <w:t>Model</w:t>
            </w:r>
          </w:p>
        </w:tc>
        <w:tc>
          <w:tcPr>
            <w:tcW w:type="dxa" w:w="5156"/>
            <w:vAlign w:val="center"/>
          </w:tcPr>
          <w:p>
            <w:r>
              <w:t>hsv.js, rgbXyz.js, lab.js, illuminants.js, matrix.js, converter.js — формулы, матрицы и gamut mapping.</w:t>
            </w:r>
          </w:p>
        </w:tc>
      </w:tr>
      <w:tr>
        <w:tc>
          <w:tcPr>
            <w:tcW w:type="dxa" w:w="5156"/>
            <w:vAlign w:val="center"/>
          </w:tcPr>
          <w:p>
            <w:r>
              <w:t>View</w:t>
            </w:r>
          </w:p>
        </w:tc>
        <w:tc>
          <w:tcPr>
            <w:tcW w:type="dxa" w:w="5156"/>
            <w:vAlign w:val="center"/>
          </w:tcPr>
          <w:p>
            <w:r>
              <w:t>appView.js, gradientSlider.js — поля, палитры, ползунки, вывод и динамические градиенты.</w:t>
            </w:r>
          </w:p>
        </w:tc>
      </w:tr>
      <w:tr>
        <w:tc>
          <w:tcPr>
            <w:tcW w:type="dxa" w:w="5156"/>
            <w:vAlign w:val="center"/>
          </w:tcPr>
          <w:p>
            <w:r>
              <w:t>Controller</w:t>
            </w:r>
          </w:p>
        </w:tc>
        <w:tc>
          <w:tcPr>
            <w:tcW w:type="dxa" w:w="5156"/>
            <w:vAlign w:val="center"/>
          </w:tcPr>
          <w:p>
            <w:r>
              <w:t>colorController.js — выбор маршрута преобразования и синхронизация трех моделей.</w:t>
            </w:r>
          </w:p>
        </w:tc>
      </w:tr>
    </w:tbl>
    <w:p>
      <w:pPr>
        <w:pStyle w:val="Heading1"/>
        <w:spacing w:before="100" w:after="40"/>
      </w:pPr>
      <w:r>
        <w:t>3. Алгоритмы преобразования</w:t>
      </w:r>
    </w:p>
    <w:p>
      <w:pPr>
        <w:spacing w:after="40" w:line="252" w:lineRule="auto"/>
        <w:ind w:firstLine="397"/>
      </w:pPr>
      <w:r>
        <w:t>RGB ↔ HSV реализовано вручную через Cmax, Cmin и Δ. Для RGB ↔ LAB используется цепочка RGB ↔ XYZ ↔ LAB. Перед RGB→XYZ выполняется обратная gamma-коррекция sRGB; после XYZ→RGB — прямая gamma-коррекция. Преобразование XYZ↔LAB выполняется относительно текущей точки белого.</w:t>
      </w:r>
    </w:p>
    <w:p>
      <w:pPr>
        <w:spacing w:after="40" w:line="252" w:lineRule="auto"/>
        <w:ind w:firstLine="397"/>
      </w:pPr>
      <w:r>
        <w:t>Готовые RGB↔XYZ-матрицы в рабочем коде отсутствуют. Хранятся только xy-координаты первичных цветов sRGB и источников D65, D50, E. Из primaries строится P, из xy источника вычисляется W, затем S=P⁻¹W и M=P·diag(S). Обратная M⁻¹ вычисляется собственной функцией inverse3(). Поэтому при смене источника обе матрицы пересчитываются во время выполнения.</w:t>
      </w:r>
    </w:p>
    <w:p>
      <w:pPr>
        <w:spacing w:after="40" w:line="252" w:lineRule="auto"/>
        <w:ind w:firstLine="397"/>
      </w:pPr>
      <w:r>
        <w:t>При LAB→RGB возможен выход линейных каналов за [0;1]. Реализованы две стратегии: Clipping независимо ограничивает каждый канал, Scaling совместно масштабирует диапазон компонентов. При выходе за gamut интерфейс выводит предупреждение и исходные линейные RGB до коррекции.</w:t>
      </w:r>
    </w:p>
    <w:p>
      <w:r>
        <w:br/>
      </w:r>
    </w:p>
    <w:p>
      <w:pPr>
        <w:pStyle w:val="Heading1"/>
        <w:spacing w:before="100" w:after="40"/>
      </w:pPr>
      <w:r>
        <w:t>4. Интерфейс и дополнительные требования</w:t>
      </w:r>
    </w:p>
    <w:p>
      <w:pPr>
        <w:spacing w:after="40" w:line="252" w:lineRule="auto"/>
        <w:ind w:firstLine="397"/>
      </w:pPr>
      <w:r>
        <w:t>На странице одновременно отображаются RGB, HSV и LAB. Для всех девяти компонент есть точное поле и ползунок; в каждой панели доступна системная палитра. Фоны ползунков динамические: при изменении любого компонента вычисляются новые цвета с учетом текущих остальных координат. Для LAB образцы градиента проходят LAB→XYZ→RGB с выбранными D65/D50/E и Clipping/Scaling.</w:t>
      </w:r>
    </w:p>
    <w:p>
      <w:pPr>
        <w:spacing w:after="40" w:line="252" w:lineRule="auto"/>
        <w:ind w:firstLine="397"/>
      </w:pPr>
      <w:r>
        <w:t>В диагностическом блоке отображаются текущая точка белого, промежуточные XYZ и рассчитанная RGB→XYZ-матрица. Это позволяет на защите визуально показать, что при D65→D50→E матрица действительно меняется.</w:t>
      </w:r>
    </w:p>
    <w:p>
      <w:pPr>
        <w:pStyle w:val="Heading1"/>
        <w:spacing w:before="100" w:after="40"/>
      </w:pPr>
      <w:r>
        <w:t>5. Автоматическое тестирование</w:t>
      </w:r>
    </w:p>
    <w:p>
      <w:pPr>
        <w:spacing w:after="40" w:line="252" w:lineRule="auto"/>
        <w:ind w:firstLine="397"/>
      </w:pPr>
      <w:r>
        <w:t>Математический слой покрыт 28 микро-тестами. Они запускаются прямо в браузере по адресу /tests/ и импортируют те же модули src/model, что и основное приложение; Node.js и внешняя тестовая библиотека не требуются. Проверяются RGB↔HSV, RGB↔XYZ для D65/D50/E, XYZ↔LAB, матричная математика, динамическая перестройка матрицы, Clipping/Scaling, выход за gamut и ColorConverter. Контрольный пример RGB(255,0,0) дает HSV(0°,100%,100%) и LAB приблизительно (53,24; 80,09; 67,20) при D65.</w:t>
      </w:r>
    </w:p>
    <w:p>
      <w:pPr>
        <w:pStyle w:val="Heading1"/>
        <w:spacing w:before="100" w:after="40"/>
      </w:pPr>
      <w:r>
        <w:t>6. Запуск и публикация</w:t>
      </w:r>
    </w:p>
    <w:p>
      <w:pPr>
        <w:spacing w:after="40" w:line="252" w:lineRule="auto"/>
        <w:ind w:firstLine="397"/>
      </w:pPr>
      <w:r>
        <w:t>Локальный запуск выполняется командой «python -m http.server 8000» из корня проекта; Python используется только как статический HTTP-сервер, а все расчеты выполняются JavaScript в браузере. Приложение открывается по http://localhost:8000/, тесты — по http://localhost:8000/tests/.</w:t>
      </w:r>
    </w:p>
    <w:p>
      <w:pPr>
        <w:spacing w:after="40" w:line="252" w:lineRule="auto"/>
        <w:ind w:firstLine="397"/>
      </w:pPr>
      <w:r>
        <w:t>Для сдачи проект подготовлен к GitHub Pages: сборка не требуется, пути к ресурсам относительные, добавлен .nojekyll. После загрузки исходников в public-репозиторий необходимо включить Settings → Pages → Deploy from a branch → main → /(root). Преподаватель получает публичную ссылку на приложение и отдельную ссылку /tests/.</w:t>
      </w:r>
    </w:p>
    <w:p>
      <w:pPr>
        <w:pStyle w:val="Heading1"/>
        <w:spacing w:before="100" w:after="40"/>
      </w:pPr>
      <w:r>
        <w:t>7. Соответствие требованиям и вывод</w:t>
      </w:r>
    </w:p>
    <w:p>
      <w:pPr>
        <w:spacing w:after="40" w:line="252" w:lineRule="auto"/>
        <w:ind w:firstLine="397"/>
      </w:pPr>
      <w:r>
        <w:t>Выполнены базовые требования: три модели одновременно, три способа задания цвета, автоматический пересчет и предупреждение о некорректном RGB. Выполнены дополнительные требования подгруппы 10А: ручная математика, D65/D50/E с динамическими матрицами, Clipping/Scaling, динамические градиенты, раздельные Model/View/Controller и автоматические микро-тесты. UCR/GCR не применяются, поскольку они относятся к расчету CMYK, а в варианте 4 CMYK отсутствует.</w:t>
      </w:r>
    </w:p>
    <w:p>
      <w:pPr>
        <w:spacing w:after="40" w:line="252" w:lineRule="auto"/>
        <w:ind w:firstLine="397"/>
      </w:pPr>
      <w:r>
        <w:t>В результате разработано автономное статическое веб-приложение, пригодное для локального запуска и публикации на GitHub Pages без серверной части и сторонних JavaScript-зависимостей.</w:t>
      </w:r>
    </w:p>
    <w:p>
      <w:pPr>
        <w:spacing w:before="80"/>
      </w:pPr>
      <w:r>
        <w:rPr>
          <w:i/>
          <w:sz w:val="18"/>
        </w:rPr>
        <w:t>Исходные материалы: «Лабораторная работа 1»; «Формулы преобразования цветовых моделей».</w:t>
      </w:r>
    </w:p>
    <w:sectPr w:rsidR="00FC693F" w:rsidRPr="0006063C" w:rsidSect="00034616">
      <w:pgSz w:w="12240" w:h="15840"/>
      <w:pgMar w:top="822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E375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