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INVESTMENT MEMORANDUM</w:t>
      </w:r>
    </w:p>
    <w:p>
      <w:r>
        <w:t>Example Office Building</w:t>
      </w:r>
    </w:p>
    <w:p>
      <w:r>
        <w:rPr>
          <w:b/>
        </w:rPr>
        <w:t>RECOMMENDATION SUMMARY</w:t>
      </w:r>
    </w:p>
    <w:p>
      <w:r>
        <w:t>Proposed acquisition of Example Office Building at $20,000,000, a 6.00% going-in capitalization rate on Year 1 net operating income of $1,200,000. Base-case underwriting projects a 11.06% levered internal rate of return and a 1.63x equity multiple over a 5-year hold.</w:t>
      </w:r>
    </w:p>
    <w:p>
      <w:r>
        <w:rPr>
          <w:b/>
        </w:rPr>
        <w:t>UNDERWRITING ASSUMPTIONS</w:t>
      </w:r>
    </w:p>
    <w:p>
      <w:r>
        <w:t>Net operating income is grown at 3.00% annually. Disposition is underwritten at a 6.25% exit capitalization rate applied to forward NOI, net of 2.0% selling costs, producing a terminal value of $21,812,901. The capital structure assumes 60% loan-to-value at 5.50% interest on a 30-year amortization schedule, requiring $8,000,000 of equity against a $12,000,000 loan. Year 1 debt service coverage is 1.47x.</w:t>
      </w:r>
    </w:p>
    <w:p>
      <w:r>
        <w:rPr>
          <w:b/>
        </w:rPr>
        <w:t>KEY RISKS</w:t>
      </w:r>
    </w:p>
    <w:p>
      <w:r>
        <w:t>Returns are most sensitive to exit capitalization rate and achieved disposition pricing; refer to the attached sensitivity analysis for IRR outcomes across the pricing and exit-cap range. Principal risks include underperformance against the NOI growth assumption, cap rate expansion at exit, and interest rate exposure at refinancing.</w:t>
      </w:r>
    </w:p>
    <w:p>
      <w:r>
        <w:rPr>
          <w:b/>
        </w:rPr>
        <w:t>NEXT STEPS</w:t>
      </w:r>
    </w:p>
    <w:p>
      <w:r>
        <w:t>Quantitative base case is complete. Qualitative diligence — market comparables, tenant credit and rollover schedule, physical condition assessment, and submarket supply pipeline — remains outstanding prior to a final recommendation.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