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F9507" w14:textId="2B432528" w:rsidR="00AD391A" w:rsidRPr="00AD391A" w:rsidRDefault="00AD391A" w:rsidP="00AD391A">
      <w:pPr>
        <w:spacing w:before="240" w:after="240"/>
        <w:rPr>
          <w:rFonts w:ascii="Times New Roman" w:eastAsia="Times New Roman" w:hAnsi="Times New Roman" w:cs="Times New Roman"/>
        </w:rPr>
      </w:pPr>
      <w:bookmarkStart w:id="0" w:name="_GoBack"/>
      <w:bookmarkEnd w:id="0"/>
      <w:r w:rsidRPr="00AD391A">
        <w:rPr>
          <w:rFonts w:ascii="Arial" w:eastAsia="Times New Roman" w:hAnsi="Arial" w:cs="Arial"/>
          <w:color w:val="000000"/>
          <w:sz w:val="22"/>
          <w:szCs w:val="22"/>
        </w:rPr>
        <w:t>Biological systems are described and modeled through combining various data types</w:t>
      </w:r>
      <w:r w:rsidR="00FB16C7">
        <w:rPr>
          <w:rFonts w:ascii="Arial" w:eastAsia="Times New Roman" w:hAnsi="Arial" w:cs="Arial"/>
          <w:color w:val="000000"/>
          <w:sz w:val="22"/>
          <w:szCs w:val="22"/>
        </w:rPr>
        <w:fldChar w:fldCharType="begin" w:fldLock="1"/>
      </w:r>
      <w:r w:rsidR="00FB16C7">
        <w:rPr>
          <w:rFonts w:ascii="Arial" w:eastAsia="Times New Roman" w:hAnsi="Arial" w:cs="Arial"/>
          <w:color w:val="000000"/>
          <w:sz w:val="22"/>
          <w:szCs w:val="22"/>
        </w:rPr>
        <w:instrText>ADDIN CSL_CITATION {"citationItems":[{"id":"ITEM-1","itemData":{"DOI":"10.1146/annurev.publhealth.27.021405.102100","ISSN":"0163-7525","author":[{"dropping-particle":"","family":"Ideker","given":"Trey","non-dropping-particle":"","parse-names":false,"suffix":""},{"dropping-particle":"","family":"Galitski","given":"Timothy","non-dropping-particle":"","parse-names":false,"suffix":""},{"dropping-particle":"","family":"Hood","given":"Leroy","non-dropping-particle":"","parse-names":false,"suffix":""}],"container-title":"Annual Review of Public Health","id":"ITEM-1","issue":"1","issued":{"date-parts":[["2006","4"]]},"page":"297-322","title":"A NEW APPROACH TO DECODING LIFE: Systems Biology","type":"article-journal","volume":"27"},"uris":["http://www.mendeley.com/documents/?uuid=350a9d5f-ae9e-45d3-8c96-8c82cfbac2b3"]}],"mendeley":{"formattedCitation":"&lt;sup&gt;1&lt;/sup&gt;","plainTextFormattedCitation":"1","previouslyFormattedCitation":"&lt;sup&gt;1&lt;/sup&gt;"},"properties":{"noteIndex":0},"schema":"https://github.com/citation-style-language/schema/raw/master/csl-citation.json"}</w:instrText>
      </w:r>
      <w:r w:rsidR="00FB16C7">
        <w:rPr>
          <w:rFonts w:ascii="Arial" w:eastAsia="Times New Roman" w:hAnsi="Arial" w:cs="Arial"/>
          <w:color w:val="000000"/>
          <w:sz w:val="22"/>
          <w:szCs w:val="22"/>
        </w:rPr>
        <w:fldChar w:fldCharType="separate"/>
      </w:r>
      <w:r w:rsidR="00FB16C7" w:rsidRPr="00FB16C7">
        <w:rPr>
          <w:rFonts w:ascii="Arial" w:eastAsia="Times New Roman" w:hAnsi="Arial" w:cs="Arial"/>
          <w:noProof/>
          <w:color w:val="000000"/>
          <w:sz w:val="22"/>
          <w:szCs w:val="22"/>
          <w:vertAlign w:val="superscript"/>
        </w:rPr>
        <w:t>1</w:t>
      </w:r>
      <w:r w:rsidR="00FB16C7">
        <w:rPr>
          <w:rFonts w:ascii="Arial" w:eastAsia="Times New Roman" w:hAnsi="Arial" w:cs="Arial"/>
          <w:color w:val="000000"/>
          <w:sz w:val="22"/>
          <w:szCs w:val="22"/>
        </w:rPr>
        <w:fldChar w:fldCharType="end"/>
      </w:r>
      <w:r w:rsidR="00FB16C7">
        <w:rPr>
          <w:rFonts w:ascii="Arial" w:eastAsia="Times New Roman" w:hAnsi="Arial" w:cs="Arial"/>
          <w:color w:val="000000"/>
          <w:sz w:val="22"/>
          <w:szCs w:val="22"/>
        </w:rPr>
        <w:t xml:space="preserve">. </w:t>
      </w:r>
      <w:r w:rsidRPr="00AD391A">
        <w:rPr>
          <w:rFonts w:ascii="Arial" w:eastAsia="Times New Roman" w:hAnsi="Arial" w:cs="Arial"/>
          <w:color w:val="000000"/>
          <w:sz w:val="22"/>
          <w:szCs w:val="22"/>
        </w:rPr>
        <w:t xml:space="preserve">The availability of ‘omics datasets, such as in </w:t>
      </w:r>
      <w:proofErr w:type="spellStart"/>
      <w:r w:rsidRPr="00AD391A">
        <w:rPr>
          <w:rFonts w:ascii="Arial" w:eastAsia="Times New Roman" w:hAnsi="Arial" w:cs="Arial"/>
          <w:color w:val="000000"/>
          <w:sz w:val="22"/>
          <w:szCs w:val="22"/>
        </w:rPr>
        <w:t>Ensembl</w:t>
      </w:r>
      <w:proofErr w:type="spellEnd"/>
      <w:r w:rsidRPr="00AD391A">
        <w:rPr>
          <w:rFonts w:ascii="Arial" w:eastAsia="Times New Roman" w:hAnsi="Arial" w:cs="Arial"/>
          <w:color w:val="000000"/>
          <w:sz w:val="22"/>
          <w:szCs w:val="22"/>
        </w:rPr>
        <w:t xml:space="preserve">, NCBI’s GEO repository, as well as molecular profiling of patients in the clinic, provide opportunities to </w:t>
      </w:r>
      <w:r w:rsidR="00A93A53">
        <w:rPr>
          <w:rFonts w:ascii="Arial" w:eastAsia="Times New Roman" w:hAnsi="Arial" w:cs="Arial"/>
          <w:color w:val="000000"/>
          <w:sz w:val="22"/>
          <w:szCs w:val="22"/>
        </w:rPr>
        <w:t>elucidate regulatory networks</w:t>
      </w:r>
      <w:r w:rsidR="00A93A53">
        <w:rPr>
          <w:rFonts w:ascii="Arial" w:eastAsia="Times New Roman" w:hAnsi="Arial" w:cs="Arial"/>
          <w:color w:val="000000"/>
          <w:sz w:val="22"/>
          <w:szCs w:val="22"/>
        </w:rPr>
        <w:fldChar w:fldCharType="begin" w:fldLock="1"/>
      </w:r>
      <w:r w:rsidR="00A93A53">
        <w:rPr>
          <w:rFonts w:ascii="Arial" w:eastAsia="Times New Roman" w:hAnsi="Arial" w:cs="Arial"/>
          <w:color w:val="000000"/>
          <w:sz w:val="22"/>
          <w:szCs w:val="22"/>
        </w:rPr>
        <w:instrText>ADDIN CSL_CITATION {"citationItems":[{"id":"ITEM-1","itemData":{"DOI":"10.4137/cin.s14058","ISSN":"1176-9351","abstract":"Many human diseases including cancer are the result of perturbations to transcriptional regulatory networks that control context-specific expression of genes. A comparative approach across multiple cancer types is a powerful approach to illuminate the common and specific network features of this family of diseases. Recent efforts from The Cancer Genome Atlas (TCGA) have generated large collections of functional genomic data sets for multiple types of cancers. An emerging challenge is to devise computational approaches that systematically compare these genomic data sets across different cancer types that identify common and cancer-specific network components. We present a module- and network-based characterization of transcriptional patterns in six different cancers being studied in TCGA: breast, colon, rectal, kidney, ovarian, and endometrial. Our approach uses a recently developed regulatory network reconstruction algorithm, modular regulatory network learning with per gene information (MERLIN), within a stability selection framework to predict regulators for individual genes and gene modules. Our module-based analysis identifies a common theme of immune system processes in each cancer study, with modules statistically enriched for immune response processes as well as targets of key immune response regulators from the interferon regulatory factor (IRF) and signal transducer and activator of transcription (STAT) families. Comparison of the inferred regulatory networks from each cancer type identified a core regulatory network that included genes involved in chromatin remodeling, cell cycle, and immune response. Regulatory network hubs included genes with known roles in specific cancer types as well as genes with potentially novel roles in different cancer types. Overall, our integrated module and network analysis recapitulated known themes in cancer biology and additionally revealed novel regulatory hubs that suggest a complex interplay of immune response, cell cycle, and chromatin remodeling across multiple cancers.","author":[{"dropping-particle":"","family":"Knaack","given":"Sara A.","non-dropping-particle":"","parse-names":false,"suffix":""},{"dropping-particle":"","family":"Siahpirani","given":"Alireza Fotuhi","non-dropping-particle":"","parse-names":false,"suffix":""},{"dropping-particle":"","family":"Roy","given":"Sushmita","non-dropping-particle":"","parse-names":false,"suffix":""}],"container-title":"Cancer Informatics","id":"ITEM-1","issued":{"date-parts":[["2014"]]},"page":"CIN.S14058","title":"A Pan-Cancer Modular Regulatory Network Analysis to Identify Common and Cancer-Specific Network Components","type":"article-journal","volume":"13s5"},"uris":["http://www.mendeley.com/documents/?uuid=ad1e41bd-57b4-4033-98eb-75a5aaaeda0a"]}],"mendeley":{"formattedCitation":"&lt;sup&gt;2&lt;/sup&gt;","plainTextFormattedCitation":"2","previouslyFormattedCitation":"&lt;sup&gt;2&lt;/sup&gt;"},"properties":{"noteIndex":0},"schema":"https://github.com/citation-style-language/schema/raw/master/csl-citation.json"}</w:instrText>
      </w:r>
      <w:r w:rsidR="00A93A53">
        <w:rPr>
          <w:rFonts w:ascii="Arial" w:eastAsia="Times New Roman" w:hAnsi="Arial" w:cs="Arial"/>
          <w:color w:val="000000"/>
          <w:sz w:val="22"/>
          <w:szCs w:val="22"/>
        </w:rPr>
        <w:fldChar w:fldCharType="separate"/>
      </w:r>
      <w:r w:rsidR="00A93A53" w:rsidRPr="00A93A53">
        <w:rPr>
          <w:rFonts w:ascii="Arial" w:eastAsia="Times New Roman" w:hAnsi="Arial" w:cs="Arial"/>
          <w:noProof/>
          <w:color w:val="000000"/>
          <w:sz w:val="22"/>
          <w:szCs w:val="22"/>
          <w:vertAlign w:val="superscript"/>
        </w:rPr>
        <w:t>2</w:t>
      </w:r>
      <w:r w:rsidR="00A93A53">
        <w:rPr>
          <w:rFonts w:ascii="Arial" w:eastAsia="Times New Roman" w:hAnsi="Arial" w:cs="Arial"/>
          <w:color w:val="000000"/>
          <w:sz w:val="22"/>
          <w:szCs w:val="22"/>
        </w:rPr>
        <w:fldChar w:fldCharType="end"/>
      </w:r>
      <w:r w:rsidR="00A93A53">
        <w:rPr>
          <w:rFonts w:ascii="Arial" w:eastAsia="Times New Roman" w:hAnsi="Arial" w:cs="Arial"/>
          <w:color w:val="000000"/>
          <w:sz w:val="22"/>
          <w:szCs w:val="22"/>
        </w:rPr>
        <w:t xml:space="preserve"> and drug mechanisms</w:t>
      </w:r>
      <w:r w:rsidR="00A93A53">
        <w:rPr>
          <w:rFonts w:ascii="Arial" w:eastAsia="Times New Roman" w:hAnsi="Arial" w:cs="Arial"/>
          <w:color w:val="000000"/>
          <w:sz w:val="22"/>
          <w:szCs w:val="22"/>
        </w:rPr>
        <w:fldChar w:fldCharType="begin" w:fldLock="1"/>
      </w:r>
      <w:r w:rsidR="00A93A53">
        <w:rPr>
          <w:rFonts w:ascii="Arial" w:eastAsia="Times New Roman" w:hAnsi="Arial" w:cs="Arial"/>
          <w:color w:val="000000"/>
          <w:sz w:val="22"/>
          <w:szCs w:val="22"/>
        </w:rPr>
        <w:instrText>ADDIN CSL_CITATION {"citationItems":[{"id":"ITEM-1","itemData":{"DOI":"10.1016/j.cell.2015.05.056","ISBN":"doi:10.1016/j.cell.2015.05.056","ISSN":"10974172","PMID":"26186195","abstract":"Summary Genome-wide identification of the mechanism of action (MoA) of small-molecule compounds characterizing their targets, effectors, and activity modulators represents a highly relevant yet elusive goal, with critical implications for assessment of compound efficacy and toxicity. Current approaches are labor intensive and mostly limited to elucidating high-affinity binding target proteins. We introduce a regulatory network-based approach that elucidates genome-wide MoA proteins based on the assessment of the global dysregulation of their molecular interactions following compound perturbation. Analysis of cellular perturbation profiles identified established MoA proteins for 70% of the tested compounds and elucidated novel proteins that were experimentally validated. Finally, unknown-MoA compound analysis revealed altretamine, an anticancer drug, as an inhibitor of glutathione peroxidase 4 lipid repair activity, which was experimentally confirmed, thus revealing unexpected similarity to the activity of sulfasalazine. This suggests that regulatory network analysis can provide valuable mechanistic insight into the elucidation of small-molecule MoA and compound similarity.","author":[{"dropping-particle":"","family":"Woo","given":"Jung Hoon","non-dropping-particle":"","parse-names":false,"suffix":""},{"dropping-particle":"","family":"Shimoni","given":"Yishai","non-dropping-particle":"","parse-names":false,"suffix":""},{"dropping-particle":"","family":"Yang","given":"Wan Seok","non-dropping-particle":"","parse-names":false,"suffix":""},{"dropping-particle":"","family":"Subramaniam","given":"Prem","non-dropping-particle":"","parse-names":false,"suffix":""},{"dropping-particle":"","family":"Iyer","given":"Archana","non-dropping-particle":"","parse-names":false,"suffix":""},{"dropping-particle":"","family":"Nicoletti","given":"Paola","non-dropping-particle":"","parse-names":false,"suffix":""},{"dropping-particle":"","family":"Rodríguez Martínez","given":"María","non-dropping-particle":"","parse-names":false,"suffix":""},{"dropping-particle":"","family":"López","given":"Gonzalo","non-dropping-particle":"","parse-names":false,"suffix":""},{"dropping-particle":"","family":"Mattioli","given":"Michela","non-dropping-particle":"","parse-names":false,"suffix":""},{"dropping-particle":"","family":"Realubit","given":"Ronald","non-dropping-particle":"","parse-names":false,"suffix":""},{"dropping-particle":"","family":"Karan","given":"Charles","non-dropping-particle":"","parse-names":false,"suffix":""},{"dropping-particle":"","family":"Stockwell","given":"Brent R.","non-dropping-particle":"","parse-names":false,"suffix":""},{"dropping-particle":"","family":"Bansal","given":"Mukesh","non-dropping-particle":"","parse-names":false,"suffix":""},{"dropping-particle":"","family":"Califano","given":"Andrea","non-dropping-particle":"","parse-names":false,"suffix":""}],"container-title":"Cell","id":"ITEM-1","issue":"2","issued":{"date-parts":[["2015"]]},"page":"441-451","title":"Elucidating Compound Mechanism of Action by Network Perturbation Analysis","type":"article-journal","volume":"162"},"uris":["http://www.mendeley.com/documents/?uuid=8ca02e10-b810-4ec2-abe8-f19be7426f16"]}],"mendeley":{"formattedCitation":"&lt;sup&gt;3&lt;/sup&gt;","plainTextFormattedCitation":"3","previouslyFormattedCitation":"&lt;sup&gt;3&lt;/sup&gt;"},"properties":{"noteIndex":0},"schema":"https://github.com/citation-style-language/schema/raw/master/csl-citation.json"}</w:instrText>
      </w:r>
      <w:r w:rsidR="00A93A53">
        <w:rPr>
          <w:rFonts w:ascii="Arial" w:eastAsia="Times New Roman" w:hAnsi="Arial" w:cs="Arial"/>
          <w:color w:val="000000"/>
          <w:sz w:val="22"/>
          <w:szCs w:val="22"/>
        </w:rPr>
        <w:fldChar w:fldCharType="separate"/>
      </w:r>
      <w:r w:rsidR="00A93A53" w:rsidRPr="00A93A53">
        <w:rPr>
          <w:rFonts w:ascii="Arial" w:eastAsia="Times New Roman" w:hAnsi="Arial" w:cs="Arial"/>
          <w:noProof/>
          <w:color w:val="000000"/>
          <w:sz w:val="22"/>
          <w:szCs w:val="22"/>
          <w:vertAlign w:val="superscript"/>
        </w:rPr>
        <w:t>3</w:t>
      </w:r>
      <w:r w:rsidR="00A93A53">
        <w:rPr>
          <w:rFonts w:ascii="Arial" w:eastAsia="Times New Roman" w:hAnsi="Arial" w:cs="Arial"/>
          <w:color w:val="000000"/>
          <w:sz w:val="22"/>
          <w:szCs w:val="22"/>
        </w:rPr>
        <w:fldChar w:fldCharType="end"/>
      </w:r>
      <w:r w:rsidR="00A93A53">
        <w:rPr>
          <w:rFonts w:ascii="Arial" w:eastAsia="Times New Roman" w:hAnsi="Arial" w:cs="Arial"/>
          <w:color w:val="000000"/>
          <w:sz w:val="22"/>
          <w:szCs w:val="22"/>
        </w:rPr>
        <w:t xml:space="preserve"> </w:t>
      </w:r>
      <w:r w:rsidRPr="00AD391A">
        <w:rPr>
          <w:rFonts w:ascii="Arial" w:eastAsia="Times New Roman" w:hAnsi="Arial" w:cs="Arial"/>
          <w:color w:val="000000"/>
          <w:sz w:val="22"/>
          <w:szCs w:val="22"/>
        </w:rPr>
        <w:t>promoting personalized medicine</w:t>
      </w:r>
      <w:r w:rsidR="00FB16C7">
        <w:rPr>
          <w:rFonts w:ascii="Arial" w:eastAsia="Times New Roman" w:hAnsi="Arial" w:cs="Arial"/>
          <w:color w:val="000000"/>
          <w:sz w:val="22"/>
          <w:szCs w:val="22"/>
        </w:rPr>
        <w:fldChar w:fldCharType="begin" w:fldLock="1"/>
      </w:r>
      <w:r w:rsidR="00A93A53">
        <w:rPr>
          <w:rFonts w:ascii="Arial" w:eastAsia="Times New Roman" w:hAnsi="Arial" w:cs="Arial"/>
          <w:color w:val="000000"/>
          <w:sz w:val="22"/>
          <w:szCs w:val="22"/>
        </w:rPr>
        <w:instrText>ADDIN CSL_CITATION {"citationItems":[{"id":"ITEM-1","itemData":{"DOI":"10.1038/ng.3796","ISSN":"1061-4036","PMID":"28232728","abstract":"The ultimate goal of precision medicine is to use population-based molecular, clinical and other data to make individually tailored clinical decisions for patients, although the path to achieving this goal is not entirely clear. A new study shows how knowledge banks of patient data can be used to make individual treatment decisions in acute myeloid leukemia.","author":[{"dropping-particle":"V.","family":"Biankin","given":"Andrew","non-dropping-particle":"","parse-names":false,"suffix":""}],"container-title":"Nature Genetics","id":"ITEM-1","issue":"3","issued":{"date-parts":[["2017","3","24"]]},"page":"320-321","publisher":"Nature Publishing Group","title":"The road to precision oncology","type":"article-journal","volume":"49"},"uris":["http://www.mendeley.com/documents/?uuid=1a9a110a-cc23-47da-a800-6daaa8476fdc"]},{"id":"ITEM-2","itemData":{"DOI":"10.1093/bib/bbx144","ISSN":"1477-4054","abstract":"Success in precision medicine depends on accessing high-quality genetic and molecular data from large, well-annotated patient cohorts that couple biological samples to comprehensive clinical data, which in conjunction can lead to effective therapies. From such a scenario emerges the need for a new professional profile, an expert bioinformatician with training in clinical areas who can make sense of multi-omics data to improve therapeutic interventions in patients, and the design of optimized basket trials. In this review, we first describe the main policies and international initiatives that focus on precision medicine. Secondly, we review the currently ongoing clinical trials in precision medicine, introducing the concept of 'precision bioinformatics', and we describe current pioneering bioinformatics efforts aimed at implementing tools and computational infrastructures for precision medicine in health institutions around the world. Thirdly, we discuss the challenges related to the clinical training of bioinformaticians, and the urgent need for computational specialists capable of assimilating medical terminologies and protocols to address real clinical questions. We also propose some skills required to carry out common tasks in clinical bioinformatics and some tips for emergent groups. Finally, we explore the future perspectives and the challenges faced by precision medicine bioinformatics.","author":[{"dropping-particle":"","family":"Gómez-López","given":"Gonzalo","non-dropping-particle":"","parse-names":false,"suffix":""},{"dropping-particle":"","family":"Dopazo","given":"Joaquín","non-dropping-particle":"","parse-names":false,"suffix":""},{"dropping-particle":"","family":"Cigudosa","given":"Juan C.","non-dropping-particle":"","parse-names":false,"suffix":""},{"dropping-particle":"","family":"Valencia","given":"Alfonso","non-dropping-particle":"","parse-names":false,"suffix":""},{"dropping-particle":"","family":"Al-Shahrour","given":"Fátima","non-dropping-particle":"","parse-names":false,"suffix":""}],"container-title":"Briefings in Bioinformatics","id":"ITEM-2","issue":"3","issued":{"date-parts":[["2019","5","21"]]},"page":"752-766","title":"Precision medicine needs pioneering clinical bioinformaticians","type":"article-journal","volume":"20"},"uris":["http://www.mendeley.com/documents/?uuid=863c6540-b363-478a-8f23-b28c49615ccd"]}],"mendeley":{"formattedCitation":"&lt;sup&gt;4,5&lt;/sup&gt;","plainTextFormattedCitation":"4,5","previouslyFormattedCitation":"&lt;sup&gt;4,5&lt;/sup&gt;"},"properties":{"noteIndex":0},"schema":"https://github.com/citation-style-language/schema/raw/master/csl-citation.json"}</w:instrText>
      </w:r>
      <w:r w:rsidR="00FB16C7">
        <w:rPr>
          <w:rFonts w:ascii="Arial" w:eastAsia="Times New Roman" w:hAnsi="Arial" w:cs="Arial"/>
          <w:color w:val="000000"/>
          <w:sz w:val="22"/>
          <w:szCs w:val="22"/>
        </w:rPr>
        <w:fldChar w:fldCharType="separate"/>
      </w:r>
      <w:r w:rsidR="00A93A53" w:rsidRPr="00A93A53">
        <w:rPr>
          <w:rFonts w:ascii="Arial" w:eastAsia="Times New Roman" w:hAnsi="Arial" w:cs="Arial"/>
          <w:noProof/>
          <w:color w:val="000000"/>
          <w:sz w:val="22"/>
          <w:szCs w:val="22"/>
          <w:vertAlign w:val="superscript"/>
        </w:rPr>
        <w:t>4,5</w:t>
      </w:r>
      <w:r w:rsidR="00FB16C7">
        <w:rPr>
          <w:rFonts w:ascii="Arial" w:eastAsia="Times New Roman" w:hAnsi="Arial" w:cs="Arial"/>
          <w:color w:val="000000"/>
          <w:sz w:val="22"/>
          <w:szCs w:val="22"/>
        </w:rPr>
        <w:fldChar w:fldCharType="end"/>
      </w:r>
      <w:r w:rsidRPr="00AD391A">
        <w:rPr>
          <w:rFonts w:ascii="Arial" w:eastAsia="Times New Roman" w:hAnsi="Arial" w:cs="Arial"/>
          <w:color w:val="000000"/>
          <w:sz w:val="22"/>
          <w:szCs w:val="22"/>
        </w:rPr>
        <w:t>. </w:t>
      </w:r>
      <w:r w:rsidR="00A93A53">
        <w:rPr>
          <w:rFonts w:ascii="Arial" w:eastAsia="Times New Roman" w:hAnsi="Arial" w:cs="Arial"/>
          <w:color w:val="000000"/>
          <w:sz w:val="22"/>
          <w:szCs w:val="22"/>
        </w:rPr>
        <w:t>Additionally, i</w:t>
      </w:r>
      <w:r w:rsidR="00A93A53" w:rsidRPr="00AD391A">
        <w:rPr>
          <w:rFonts w:ascii="Arial" w:eastAsia="Times New Roman" w:hAnsi="Arial" w:cs="Arial"/>
          <w:color w:val="000000"/>
          <w:sz w:val="22"/>
          <w:szCs w:val="22"/>
        </w:rPr>
        <w:t>ntegrati</w:t>
      </w:r>
      <w:r w:rsidR="00A93A53">
        <w:rPr>
          <w:rFonts w:ascii="Arial" w:eastAsia="Times New Roman" w:hAnsi="Arial" w:cs="Arial"/>
          <w:color w:val="000000"/>
          <w:sz w:val="22"/>
          <w:szCs w:val="22"/>
        </w:rPr>
        <w:t xml:space="preserve">ng </w:t>
      </w:r>
      <w:r w:rsidR="00A93A53" w:rsidRPr="00AD391A">
        <w:rPr>
          <w:rFonts w:ascii="Arial" w:eastAsia="Times New Roman" w:hAnsi="Arial" w:cs="Arial"/>
          <w:color w:val="000000"/>
          <w:sz w:val="22"/>
          <w:szCs w:val="22"/>
        </w:rPr>
        <w:t>patient clinical characteristics</w:t>
      </w:r>
      <w:r w:rsidR="00A93A53">
        <w:rPr>
          <w:rFonts w:ascii="Arial" w:eastAsia="Times New Roman" w:hAnsi="Arial" w:cs="Arial"/>
          <w:color w:val="000000"/>
          <w:sz w:val="22"/>
          <w:szCs w:val="22"/>
        </w:rPr>
        <w:t xml:space="preserve"> into these systems</w:t>
      </w:r>
      <w:r w:rsidR="00A93A53" w:rsidRPr="00AD391A">
        <w:rPr>
          <w:rFonts w:ascii="Arial" w:eastAsia="Times New Roman" w:hAnsi="Arial" w:cs="Arial"/>
          <w:color w:val="000000"/>
          <w:sz w:val="22"/>
          <w:szCs w:val="22"/>
        </w:rPr>
        <w:t xml:space="preserve"> </w:t>
      </w:r>
      <w:r w:rsidR="00A93A53">
        <w:rPr>
          <w:rFonts w:ascii="Arial" w:eastAsia="Times New Roman" w:hAnsi="Arial" w:cs="Arial"/>
          <w:color w:val="000000"/>
          <w:sz w:val="22"/>
          <w:szCs w:val="22"/>
        </w:rPr>
        <w:t xml:space="preserve">can </w:t>
      </w:r>
      <w:r w:rsidR="00A93A53" w:rsidRPr="00AD391A">
        <w:rPr>
          <w:rFonts w:ascii="Arial" w:eastAsia="Times New Roman" w:hAnsi="Arial" w:cs="Arial"/>
          <w:color w:val="000000"/>
          <w:sz w:val="22"/>
          <w:szCs w:val="22"/>
        </w:rPr>
        <w:t>improve our ability to treat disease, understand physiology, and enhance clinical trial methodologies</w:t>
      </w:r>
      <w:r w:rsidR="00A93A53">
        <w:rPr>
          <w:rFonts w:ascii="Arial" w:eastAsia="Times New Roman" w:hAnsi="Arial" w:cs="Arial"/>
          <w:color w:val="000000"/>
          <w:sz w:val="22"/>
          <w:szCs w:val="22"/>
        </w:rPr>
        <w:fldChar w:fldCharType="begin" w:fldLock="1"/>
      </w:r>
      <w:r w:rsidR="00A93A53">
        <w:rPr>
          <w:rFonts w:ascii="Arial" w:eastAsia="Times New Roman" w:hAnsi="Arial" w:cs="Arial"/>
          <w:color w:val="000000"/>
          <w:sz w:val="22"/>
          <w:szCs w:val="22"/>
        </w:rPr>
        <w:instrText>ADDIN CSL_CITATION {"citationItems":[{"id":"ITEM-1","itemData":{"DOI":"10.3389/fneur.2014.00102","ISSN":"1664-2295","abstract":"Systems biology comprises a series of concepts and approaches that have been used successfully both to delineate novel biological mechanisms and to drive translational advances. The goal of systems biology is to re-integrate putatively critical elements extracted from multi-modality datasets in order to understand how interactions among multiple components form functional networks at the organism/patient-level, and how dysfunction of these networks underlies a particular disease. Due to the genetic and environmental diversity of human subjects, identification of critical elements related to a particular disease process from cross-sectional studies requires prohibitively large cohorts. Alternatively, implementation of systems biology principles to interventional clinical trials represents a unique opportunity to gain predictive understanding of complex diseases in comparatively small cohorts of patients. This paper reviews systems biology principles applicable to translational research, focusing on lessons from systems approaches to inflammation applied to multiple sclerosis. We suggest that employing systems biology methods in the design and execution of biomarker-supported, proof-of-principle clinical trials provides a singular opportunity to merge therapeutic development with a basic understanding of disease processes. The ultimate goal is to develop predictive computational models of the disease, which will revolutionize diagnostic process and provide mechanistic understanding necessary for personalized therapeutic approaches. Added, biologically meaningful information can be derived from diagnostic tests, if they are interpreted in functional relationships, rather than as independent measurements. Such systems biology based diagnostics will transform disease taxonomies from phenotypical to molecular and will allow physicians to select optimal therapeutic regimens for individual patients. © 2014 Bielekova, Vodovotz, An and Hallenbeck.","author":[{"dropping-particle":"","family":"Bielekova","given":"Bibiana","non-dropping-particle":"","parse-names":false,"suffix":""},{"dropping-particle":"","family":"Vodovotz","given":"Yoram","non-dropping-particle":"","parse-names":false,"suffix":""},{"dropping-particle":"","family":"An","given":"Gary","non-dropping-particle":"","parse-names":false,"suffix":""},{"dropping-particle":"","family":"Hallenbeck","given":"John","non-dropping-particle":"","parse-names":false,"suffix":""}],"container-title":"Frontiers in Neurology","id":"ITEM-1","issue":"June","issued":{"date-parts":[["2014","6","27"]]},"page":"1-9","title":"How Implementation of Systems Biology into Clinical Trials Accelerates Understanding of Diseases","type":"article-journal","volume":"5"},"uris":["http://www.mendeley.com/documents/?uuid=fb342a35-3a3e-46de-b049-cc777ac9c295"]},{"id":"ITEM-2","itemData":{"DOI":"10.1586/14737159.6.6.891","ISSN":"1473-7159","abstract":"Cellular systems are networks of interacting components that change with time in response to external and internal events. Studying the dynamic behavior of these networks is the basis for an understanding of cellular functions and disease mechanisms. Quantitative time-series data leading to meaningful models can improve our knowledge of human physiology in health and disease, and aid the search for earlier diagnoses, better therapies and a healthier life. The advent of systems biology is about to take the leap into clinical research and medical applications. This review emphasizes the importance of a dynamic view and understanding of cell function. We discuss the potential for computer-aided mathematical modeling of biological systems in medical research with examples from some of the major therapeutic areas: cancer, cardiovascular, diabetic and neurodegenerative medicine. © 2006 Future Drugs Ltd.","author":[{"dropping-particle":"","family":"Assmus","given":"Heike E.","non-dropping-particle":"","parse-names":false,"suffix":""},{"dropping-particle":"","family":"Herwig","given":"Ralf","non-dropping-particle":"","parse-names":false,"suffix":""},{"dropping-particle":"","family":"Cho","given":"Kwang-Hyun","non-dropping-particle":"","parse-names":false,"suffix":""},{"dropping-particle":"","family":"Wolkenhauer","given":"Olaf","non-dropping-particle":"","parse-names":false,"suffix":""}],"container-title":"Expert Review of Molecular Diagnostics","id":"ITEM-2","issue":"6","issued":{"date-parts":[["2006","11","9"]]},"page":"891-902","title":"Dynamics of biological systems: role of systems biology in medical research","type":"article-journal","volume":"6"},"uris":["http://www.mendeley.com/documents/?uuid=d9336b70-a576-4047-93d9-2cfb5c0528df"]}],"mendeley":{"formattedCitation":"&lt;sup&gt;6,7&lt;/sup&gt;","plainTextFormattedCitation":"6,7","previouslyFormattedCitation":"&lt;sup&gt;6,7&lt;/sup&gt;"},"properties":{"noteIndex":0},"schema":"https://github.com/citation-style-language/schema/raw/master/csl-citation.json"}</w:instrText>
      </w:r>
      <w:r w:rsidR="00A93A53">
        <w:rPr>
          <w:rFonts w:ascii="Arial" w:eastAsia="Times New Roman" w:hAnsi="Arial" w:cs="Arial"/>
          <w:color w:val="000000"/>
          <w:sz w:val="22"/>
          <w:szCs w:val="22"/>
        </w:rPr>
        <w:fldChar w:fldCharType="separate"/>
      </w:r>
      <w:r w:rsidR="00A93A53" w:rsidRPr="00A93A53">
        <w:rPr>
          <w:rFonts w:ascii="Arial" w:eastAsia="Times New Roman" w:hAnsi="Arial" w:cs="Arial"/>
          <w:noProof/>
          <w:color w:val="000000"/>
          <w:sz w:val="22"/>
          <w:szCs w:val="22"/>
          <w:vertAlign w:val="superscript"/>
        </w:rPr>
        <w:t>6,7</w:t>
      </w:r>
      <w:r w:rsidR="00A93A53">
        <w:rPr>
          <w:rFonts w:ascii="Arial" w:eastAsia="Times New Roman" w:hAnsi="Arial" w:cs="Arial"/>
          <w:color w:val="000000"/>
          <w:sz w:val="22"/>
          <w:szCs w:val="22"/>
        </w:rPr>
        <w:fldChar w:fldCharType="end"/>
      </w:r>
      <w:r w:rsidR="00A93A53">
        <w:rPr>
          <w:rFonts w:ascii="Arial" w:eastAsia="Times New Roman" w:hAnsi="Arial" w:cs="Arial"/>
          <w:color w:val="000000"/>
          <w:sz w:val="22"/>
          <w:szCs w:val="22"/>
        </w:rPr>
        <w:t xml:space="preserve"> at both the individual and population level.</w:t>
      </w:r>
    </w:p>
    <w:p w14:paraId="63651DC9" w14:textId="77777777" w:rsidR="00AD391A" w:rsidRPr="00AD391A" w:rsidRDefault="00AD391A" w:rsidP="00AD391A">
      <w:pPr>
        <w:rPr>
          <w:rFonts w:ascii="Times New Roman" w:eastAsia="Times New Roman" w:hAnsi="Times New Roman" w:cs="Times New Roman"/>
        </w:rPr>
      </w:pPr>
    </w:p>
    <w:p w14:paraId="393485C1" w14:textId="24FB7BD8" w:rsidR="00AD391A" w:rsidRPr="00AD391A" w:rsidRDefault="00AD391A" w:rsidP="00AD391A">
      <w:pPr>
        <w:rPr>
          <w:rFonts w:ascii="Times New Roman" w:eastAsia="Times New Roman" w:hAnsi="Times New Roman" w:cs="Times New Roman"/>
        </w:rPr>
      </w:pPr>
      <w:r w:rsidRPr="00AD391A">
        <w:rPr>
          <w:rFonts w:ascii="Arial" w:eastAsia="Times New Roman" w:hAnsi="Arial" w:cs="Arial"/>
          <w:color w:val="000000"/>
          <w:sz w:val="22"/>
          <w:szCs w:val="22"/>
        </w:rPr>
        <w:t xml:space="preserve">There is limited data infrastructure for integrating patient clinical characteristics with associated molecular samples. The </w:t>
      </w:r>
      <w:r w:rsidRPr="00AD391A">
        <w:rPr>
          <w:rFonts w:ascii="Arial" w:eastAsia="Times New Roman" w:hAnsi="Arial" w:cs="Arial"/>
          <w:color w:val="000000"/>
          <w:sz w:val="22"/>
          <w:szCs w:val="22"/>
          <w:shd w:val="clear" w:color="auto" w:fill="FFFFFF"/>
        </w:rPr>
        <w:t>Health Information Technology for Economic and Clinical Health Act (HITECH Act), signed into law in 2009, was passed to motivate the implementation of electronic health records (EHR) and supporting technology in the United States</w:t>
      </w:r>
      <w:r w:rsidR="00FB16C7">
        <w:rPr>
          <w:rFonts w:ascii="Arial" w:eastAsia="Times New Roman" w:hAnsi="Arial" w:cs="Arial"/>
          <w:color w:val="000000"/>
          <w:sz w:val="22"/>
          <w:szCs w:val="22"/>
          <w:shd w:val="clear" w:color="auto" w:fill="FFFFFF"/>
        </w:rPr>
        <w:fldChar w:fldCharType="begin" w:fldLock="1"/>
      </w:r>
      <w:r w:rsidR="00A93A53">
        <w:rPr>
          <w:rFonts w:ascii="Arial" w:eastAsia="Times New Roman" w:hAnsi="Arial" w:cs="Arial"/>
          <w:color w:val="000000"/>
          <w:sz w:val="22"/>
          <w:szCs w:val="22"/>
          <w:shd w:val="clear" w:color="auto" w:fill="FFFFFF"/>
        </w:rPr>
        <w:instrText>ADDIN CSL_CITATION {"citationItems":[{"id":"ITEM-1","itemData":{"DOI":"10.1056/NEJMp1006114","ISSN":"0028-4793","PMID":"20647183","author":[{"dropping-particle":"","family":"Blumenthal","given":"David","non-dropping-particle":"","parse-names":false,"suffix":""},{"dropping-particle":"","family":"Tavenner","given":"Marilyn","non-dropping-particle":"","parse-names":false,"suffix":""}],"container-title":"New England Journal of Medicine","id":"ITEM-1","issue":"6","issued":{"date-parts":[["2010","8","5"]]},"page":"501-504","title":"The “Meaningful Use” Regulation for Electronic Health Records","type":"article-journal","volume":"363"},"uris":["http://www.mendeley.com/documents/?uuid=779760ed-8760-4246-932e-441cc0aa4c02"]}],"mendeley":{"formattedCitation":"&lt;sup&gt;8&lt;/sup&gt;","plainTextFormattedCitation":"8","previouslyFormattedCitation":"&lt;sup&gt;8&lt;/sup&gt;"},"properties":{"noteIndex":0},"schema":"https://github.com/citation-style-language/schema/raw/master/csl-citation.json"}</w:instrText>
      </w:r>
      <w:r w:rsidR="00FB16C7">
        <w:rPr>
          <w:rFonts w:ascii="Arial" w:eastAsia="Times New Roman" w:hAnsi="Arial" w:cs="Arial"/>
          <w:color w:val="000000"/>
          <w:sz w:val="22"/>
          <w:szCs w:val="22"/>
          <w:shd w:val="clear" w:color="auto" w:fill="FFFFFF"/>
        </w:rPr>
        <w:fldChar w:fldCharType="separate"/>
      </w:r>
      <w:r w:rsidR="00A93A53" w:rsidRPr="00A93A53">
        <w:rPr>
          <w:rFonts w:ascii="Arial" w:eastAsia="Times New Roman" w:hAnsi="Arial" w:cs="Arial"/>
          <w:noProof/>
          <w:color w:val="000000"/>
          <w:sz w:val="22"/>
          <w:szCs w:val="22"/>
          <w:shd w:val="clear" w:color="auto" w:fill="FFFFFF"/>
          <w:vertAlign w:val="superscript"/>
        </w:rPr>
        <w:t>8</w:t>
      </w:r>
      <w:r w:rsidR="00FB16C7">
        <w:rPr>
          <w:rFonts w:ascii="Arial" w:eastAsia="Times New Roman" w:hAnsi="Arial" w:cs="Arial"/>
          <w:color w:val="000000"/>
          <w:sz w:val="22"/>
          <w:szCs w:val="22"/>
          <w:shd w:val="clear" w:color="auto" w:fill="FFFFFF"/>
        </w:rPr>
        <w:fldChar w:fldCharType="end"/>
      </w:r>
      <w:r w:rsidR="00FB16C7">
        <w:rPr>
          <w:rFonts w:ascii="Arial" w:eastAsia="Times New Roman" w:hAnsi="Arial" w:cs="Arial"/>
          <w:color w:val="000000"/>
          <w:sz w:val="22"/>
          <w:szCs w:val="22"/>
          <w:shd w:val="clear" w:color="auto" w:fill="FFFFFF"/>
        </w:rPr>
        <w:t xml:space="preserve">. </w:t>
      </w:r>
      <w:r w:rsidRPr="00AD391A">
        <w:rPr>
          <w:rFonts w:ascii="Arial" w:eastAsia="Times New Roman" w:hAnsi="Arial" w:cs="Arial"/>
          <w:color w:val="000000"/>
          <w:sz w:val="22"/>
          <w:szCs w:val="22"/>
        </w:rPr>
        <w:t>However, clinical diagnostics assays and molecular profiling has only recently become efficient, cheap, and interpretable for clinical practice. The OHDSI Common Data Model (CDM) provides a standardized infrastructure that allows population and patient-level analyses to promote evidence-based medical practice</w:t>
      </w:r>
      <w:r w:rsidR="00FB16C7">
        <w:rPr>
          <w:rFonts w:ascii="Arial" w:eastAsia="Times New Roman" w:hAnsi="Arial" w:cs="Arial"/>
          <w:color w:val="000000"/>
          <w:sz w:val="22"/>
          <w:szCs w:val="22"/>
        </w:rPr>
        <w:fldChar w:fldCharType="begin" w:fldLock="1"/>
      </w:r>
      <w:r w:rsidR="00A93A53">
        <w:rPr>
          <w:rFonts w:ascii="Arial" w:eastAsia="Times New Roman" w:hAnsi="Arial" w:cs="Arial"/>
          <w:color w:val="000000"/>
          <w:sz w:val="22"/>
          <w:szCs w:val="22"/>
        </w:rPr>
        <w:instrText>ADDIN CSL_CITATION {"citationItems":[{"id":"ITEM-1","itemData":{"DOI":"10.4258/hir.2017.23.1.1","ISSN":"2093369X","author":[{"dropping-particle":"","family":"Park","given":"Rae Woong","non-dropping-particle":"","parse-names":false,"suffix":""}],"container-title":"Healthcare Informatics Research","id":"ITEM-1","issue":"1","issued":{"date-parts":[["2017"]]},"page":"1-3","title":"Sharing clinical big data while protecting confidentiality and security: Observational health data sciences and informatics","type":"article-journal","volume":"23"},"uris":["http://www.mendeley.com/documents/?uuid=7f798ac8-3b3b-4855-a56d-eac3bee5b83d"]}],"mendeley":{"formattedCitation":"&lt;sup&gt;9&lt;/sup&gt;","plainTextFormattedCitation":"9","previouslyFormattedCitation":"&lt;sup&gt;9&lt;/sup&gt;"},"properties":{"noteIndex":0},"schema":"https://github.com/citation-style-language/schema/raw/master/csl-citation.json"}</w:instrText>
      </w:r>
      <w:r w:rsidR="00FB16C7">
        <w:rPr>
          <w:rFonts w:ascii="Arial" w:eastAsia="Times New Roman" w:hAnsi="Arial" w:cs="Arial"/>
          <w:color w:val="000000"/>
          <w:sz w:val="22"/>
          <w:szCs w:val="22"/>
        </w:rPr>
        <w:fldChar w:fldCharType="separate"/>
      </w:r>
      <w:r w:rsidR="00A93A53" w:rsidRPr="00A93A53">
        <w:rPr>
          <w:rFonts w:ascii="Arial" w:eastAsia="Times New Roman" w:hAnsi="Arial" w:cs="Arial"/>
          <w:noProof/>
          <w:color w:val="000000"/>
          <w:sz w:val="22"/>
          <w:szCs w:val="22"/>
          <w:vertAlign w:val="superscript"/>
        </w:rPr>
        <w:t>9</w:t>
      </w:r>
      <w:r w:rsidR="00FB16C7">
        <w:rPr>
          <w:rFonts w:ascii="Arial" w:eastAsia="Times New Roman" w:hAnsi="Arial" w:cs="Arial"/>
          <w:color w:val="000000"/>
          <w:sz w:val="22"/>
          <w:szCs w:val="22"/>
        </w:rPr>
        <w:fldChar w:fldCharType="end"/>
      </w:r>
      <w:r w:rsidR="00FB16C7">
        <w:rPr>
          <w:rFonts w:ascii="Arial" w:eastAsia="Times New Roman" w:hAnsi="Arial" w:cs="Arial"/>
          <w:color w:val="000000"/>
          <w:sz w:val="22"/>
          <w:szCs w:val="22"/>
        </w:rPr>
        <w:t xml:space="preserve">. </w:t>
      </w:r>
      <w:r w:rsidRPr="00AD391A">
        <w:rPr>
          <w:rFonts w:ascii="Arial" w:eastAsia="Times New Roman" w:hAnsi="Arial" w:cs="Arial"/>
          <w:color w:val="000000"/>
          <w:sz w:val="22"/>
          <w:szCs w:val="22"/>
        </w:rPr>
        <w:t>Clinicians and researchers are able to make specific queries and run comprehensive, reproducible analyses over many sites following this CDM</w:t>
      </w:r>
      <w:r w:rsidR="009B1CA4">
        <w:rPr>
          <w:rFonts w:ascii="Arial" w:eastAsia="Times New Roman" w:hAnsi="Arial" w:cs="Arial"/>
          <w:color w:val="000000"/>
          <w:sz w:val="22"/>
          <w:szCs w:val="22"/>
        </w:rPr>
        <w:fldChar w:fldCharType="begin" w:fldLock="1"/>
      </w:r>
      <w:r w:rsidR="009B1CA4">
        <w:rPr>
          <w:rFonts w:ascii="Arial" w:eastAsia="Times New Roman" w:hAnsi="Arial" w:cs="Arial"/>
          <w:color w:val="000000"/>
          <w:sz w:val="22"/>
          <w:szCs w:val="22"/>
        </w:rPr>
        <w:instrText>ADDIN CSL_CITATION {"citationItems":[{"id":"ITEM-1","itemData":{"DOI":"10.1093/jamia/ocaa032","ISSN":"1527974X","PMID":"32374408","abstract":"Accurate electronic phenotyping is essential to support collaborative observational research. Supervised machine learning methods can be used to train phenotype classifiers in a high-throughput manner using imperfectly labeled data. We developed 10 phenotype classifiers using this approach and evaluated performance across multiple sites within the Observational Health Data Sciences and Informatics (OHDSI) network. Materials and Methods: We constructed classifiers using the Automated PHenotype Routine for Observational Definition, Identification, Training and Evaluation (APHRODITE) R-package, an open-source framework for learning phenotype classifiers using datasets in the Observational Medical Outcomes Partnership Common Data Model. We labeled training data based on the presence of multiple mentions of disease-specific codes. Performance was evaluated on cohorts derived using rule-based definitions and real-world disease prevalence. Classifiers were developed and evaluated across 3 medical centers, including 1 international site. Results: Compared to the multiple mentions labeling heuristic, classifiers showed a mean recall boost of 0.43 with a mean precision loss of 0.17. Performance decreased slightly when classifiers were shared across medical centers, with mean recall and precision decreasing by 0.08 and 0.01, respectively, at a site within the USA, and by 0.18 and 0.10, respectively, at an international site. Discussion and Conclusion: We demonstrate a high-throughput pipeline for constructing and sharing phenotype classifiers across sites within the OHDSI network using APHRODITE. Classifiers exhibit good portability between sites within the USA, however limited portability internationally, indicating that classifier generalizability may have geographic limitations, and, consequently, sharing the classifier-building recipe, rather than the pretrained classifiers, may be more useful for facilitating collaborative observational research.","author":[{"dropping-particle":"","family":"Kashyap","given":"Mehr","non-dropping-particle":"","parse-names":false,"suffix":""},{"dropping-particle":"","family":"Seneviratne","given":"Martin","non-dropping-particle":"","parse-names":false,"suffix":""},{"dropping-particle":"","family":"Banda","given":"Juan M.","non-dropping-particle":"","parse-names":false,"suffix":""},{"dropping-particle":"","family":"Falconer","given":"Thomas","non-dropping-particle":"","parse-names":false,"suffix":""},{"dropping-particle":"","family":"Ryu","given":"Borim","non-dropping-particle":"","parse-names":false,"suffix":""},{"dropping-particle":"","family":"Yoo","given":"Sooyoung","non-dropping-particle":"","parse-names":false,"suffix":""},{"dropping-particle":"","family":"Hripcsak","given":"George","non-dropping-particle":"","parse-names":false,"suffix":""},{"dropping-particle":"","family":"Shah","given":"Nigam H.","non-dropping-particle":"","parse-names":false,"suffix":""}],"container-title":"Journal of the American Medical Informatics Association","id":"ITEM-1","issue":"6","issued":{"date-parts":[["2020"]]},"page":"877-883","title":"Development and validation of phenotype classifiers across multiple sites in the observational health data sciences and informatics network","type":"article-journal","volume":"27"},"uris":["http://www.mendeley.com/documents/?uuid=8c4f6acc-7f02-4386-8649-0b0e6b7561b1"]}],"mendeley":{"formattedCitation":"&lt;sup&gt;10&lt;/sup&gt;","plainTextFormattedCitation":"10","previouslyFormattedCitation":"&lt;sup&gt;10&lt;/sup&gt;"},"properties":{"noteIndex":0},"schema":"https://github.com/citation-style-language/schema/raw/master/csl-citation.json"}</w:instrText>
      </w:r>
      <w:r w:rsidR="009B1CA4">
        <w:rPr>
          <w:rFonts w:ascii="Arial" w:eastAsia="Times New Roman" w:hAnsi="Arial" w:cs="Arial"/>
          <w:color w:val="000000"/>
          <w:sz w:val="22"/>
          <w:szCs w:val="22"/>
        </w:rPr>
        <w:fldChar w:fldCharType="separate"/>
      </w:r>
      <w:r w:rsidR="009B1CA4" w:rsidRPr="009B1CA4">
        <w:rPr>
          <w:rFonts w:ascii="Arial" w:eastAsia="Times New Roman" w:hAnsi="Arial" w:cs="Arial"/>
          <w:noProof/>
          <w:color w:val="000000"/>
          <w:sz w:val="22"/>
          <w:szCs w:val="22"/>
          <w:vertAlign w:val="superscript"/>
        </w:rPr>
        <w:t>10</w:t>
      </w:r>
      <w:r w:rsidR="009B1CA4">
        <w:rPr>
          <w:rFonts w:ascii="Arial" w:eastAsia="Times New Roman" w:hAnsi="Arial" w:cs="Arial"/>
          <w:color w:val="000000"/>
          <w:sz w:val="22"/>
          <w:szCs w:val="22"/>
        </w:rPr>
        <w:fldChar w:fldCharType="end"/>
      </w:r>
      <w:r w:rsidRPr="00AD391A">
        <w:rPr>
          <w:rFonts w:ascii="Arial" w:eastAsia="Times New Roman" w:hAnsi="Arial" w:cs="Arial"/>
          <w:color w:val="000000"/>
          <w:sz w:val="22"/>
          <w:szCs w:val="22"/>
        </w:rPr>
        <w:t>. Researchers have begun to develop extensions such as for integrating patient genomics data in the CDM</w:t>
      </w:r>
      <w:r w:rsidR="00FB16C7">
        <w:rPr>
          <w:rFonts w:ascii="Arial" w:eastAsia="Times New Roman" w:hAnsi="Arial" w:cs="Arial"/>
          <w:color w:val="000000"/>
          <w:sz w:val="22"/>
          <w:szCs w:val="22"/>
        </w:rPr>
        <w:fldChar w:fldCharType="begin" w:fldLock="1"/>
      </w:r>
      <w:r w:rsidR="00A93A53">
        <w:rPr>
          <w:rFonts w:ascii="Arial" w:eastAsia="Times New Roman" w:hAnsi="Arial" w:cs="Arial"/>
          <w:color w:val="000000"/>
          <w:sz w:val="22"/>
          <w:szCs w:val="22"/>
        </w:rPr>
        <w:instrText>ADDIN CSL_CITATION {"citationItems":[{"id":"ITEM-1","itemData":{"DOI":"10.1093/bib/bbx144","ISSN":"1477-4054","abstract":"Success in precision medicine depends on accessing high-quality genetic and molecular data from large, well-annotated patient cohorts that couple biological samples to comprehensive clinical data, which in conjunction can lead to effective therapies. From such a scenario emerges the need for a new professional profile, an expert bioinformatician with training in clinical areas who can make sense of multi-omics data to improve therapeutic interventions in patients, and the design of optimized basket trials. In this review, we first describe the main policies and international initiatives that focus on precision medicine. Secondly, we review the currently ongoing clinical trials in precision medicine, introducing the concept of 'precision bioinformatics', and we describe current pioneering bioinformatics efforts aimed at implementing tools and computational infrastructures for precision medicine in health institutions around the world. Thirdly, we discuss the challenges related to the clinical training of bioinformaticians, and the urgent need for computational specialists capable of assimilating medical terminologies and protocols to address real clinical questions. We also propose some skills required to carry out common tasks in clinical bioinformatics and some tips for emergent groups. Finally, we explore the future perspectives and the challenges faced by precision medicine bioinformatics.","author":[{"dropping-particle":"","family":"Gómez-López","given":"Gonzalo","non-dropping-particle":"","parse-names":false,"suffix":""},{"dropping-particle":"","family":"Dopazo","given":"Joaquín","non-dropping-particle":"","parse-names":false,"suffix":""},{"dropping-particle":"","family":"Cigudosa","given":"Juan C.","non-dropping-particle":"","parse-names":false,"suffix":""},{"dropping-particle":"","family":"Valencia","given":"Alfonso","non-dropping-particle":"","parse-names":false,"suffix":""},{"dropping-particle":"","family":"Al-Shahrour","given":"Fátima","non-dropping-particle":"","parse-names":false,"suffix":""}],"container-title":"Briefings in Bioinformatics","id":"ITEM-1","issue":"3","issued":{"date-parts":[["2019","5","21"]]},"page":"752-766","title":"Precision medicine needs pioneering clinical bioinformaticians","type":"article-journal","volume":"20"},"uris":["http://www.mendeley.com/documents/?uuid=863c6540-b363-478a-8f23-b28c49615ccd"]}],"mendeley":{"formattedCitation":"&lt;sup&gt;5&lt;/sup&gt;","plainTextFormattedCitation":"5","previouslyFormattedCitation":"&lt;sup&gt;5&lt;/sup&gt;"},"properties":{"noteIndex":0},"schema":"https://github.com/citation-style-language/schema/raw/master/csl-citation.json"}</w:instrText>
      </w:r>
      <w:r w:rsidR="00FB16C7">
        <w:rPr>
          <w:rFonts w:ascii="Arial" w:eastAsia="Times New Roman" w:hAnsi="Arial" w:cs="Arial"/>
          <w:color w:val="000000"/>
          <w:sz w:val="22"/>
          <w:szCs w:val="22"/>
        </w:rPr>
        <w:fldChar w:fldCharType="separate"/>
      </w:r>
      <w:r w:rsidR="00A93A53" w:rsidRPr="00A93A53">
        <w:rPr>
          <w:rFonts w:ascii="Arial" w:eastAsia="Times New Roman" w:hAnsi="Arial" w:cs="Arial"/>
          <w:noProof/>
          <w:color w:val="000000"/>
          <w:sz w:val="22"/>
          <w:szCs w:val="22"/>
          <w:vertAlign w:val="superscript"/>
        </w:rPr>
        <w:t>5</w:t>
      </w:r>
      <w:r w:rsidR="00FB16C7">
        <w:rPr>
          <w:rFonts w:ascii="Arial" w:eastAsia="Times New Roman" w:hAnsi="Arial" w:cs="Arial"/>
          <w:color w:val="000000"/>
          <w:sz w:val="22"/>
          <w:szCs w:val="22"/>
        </w:rPr>
        <w:fldChar w:fldCharType="end"/>
      </w:r>
      <w:r w:rsidRPr="00AD391A">
        <w:rPr>
          <w:rFonts w:ascii="Arial" w:eastAsia="Times New Roman" w:hAnsi="Arial" w:cs="Arial"/>
          <w:color w:val="000000"/>
          <w:sz w:val="22"/>
          <w:szCs w:val="22"/>
        </w:rPr>
        <w:t xml:space="preserve"> and further characterizing cancer subtypes</w:t>
      </w:r>
      <w:r w:rsidR="00FB16C7">
        <w:rPr>
          <w:rFonts w:ascii="Arial" w:eastAsia="Times New Roman" w:hAnsi="Arial" w:cs="Arial"/>
          <w:color w:val="000000"/>
          <w:sz w:val="22"/>
          <w:szCs w:val="22"/>
        </w:rPr>
        <w:fldChar w:fldCharType="begin" w:fldLock="1"/>
      </w:r>
      <w:r w:rsidR="009B1CA4">
        <w:rPr>
          <w:rFonts w:ascii="Arial" w:eastAsia="Times New Roman" w:hAnsi="Arial" w:cs="Arial"/>
          <w:color w:val="000000"/>
          <w:sz w:val="22"/>
          <w:szCs w:val="22"/>
        </w:rPr>
        <w:instrText>ADDIN CSL_CITATION {"citationItems":[{"id":"ITEM-1","itemData":{"DOI":"10.3233/SHTI190670","ISBN":"9781643680026","ISSN":"1879-8365","PMID":"31438365","abstract":"Observational research in cancer requires substantially more detail than most other therapeutic areas. Cancer conditions are defined through histology, affected anatomical structures, staging and grading, and biomarkers, and are treated with complex therapies. Here, we show a new cancer module as part of the OMOP CDM, allowing manual and automated abstraction and standardized analytics. We tested the model in EHR and registry data against a number of typical use cases.","author":[{"dropping-particle":"","family":"Belenkaya","given":"Rimma","non-dropping-particle":"","parse-names":false,"suffix":""},{"dropping-particle":"","family":"Gurley","given":"Michael","non-dropping-particle":"","parse-names":false,"suffix":""},{"dropping-particle":"","family":"Dymshyts","given":"Dmitry","non-dropping-particle":"","parse-names":false,"suffix":""},{"dropping-particle":"","family":"Araujo","given":"Sonia","non-dropping-particle":"","parse-names":false,"suffix":""},{"dropping-particle":"","family":"Williams","given":"Andrew","non-dropping-particle":"","parse-names":false,"suffix":""},{"dropping-particle":"","family":"Chen","given":"RuiJun","non-dropping-particle":"","parse-names":false,"suffix":""},{"dropping-particle":"","family":"Reich","given":"Christian","non-dropping-particle":"","parse-names":false,"suffix":""}],"container-title":"Studies in health technology and informatics","id":"ITEM-1","issued":{"date-parts":[["2019","8","21"]]},"page":"1831-1832","title":"Standardized Observational Cancer Research Using the OMOP CDM Oncology Module.","type":"article-journal","volume":"264"},"uris":["http://www.mendeley.com/documents/?uuid=68e1a2db-7bde-496c-a24d-d10a4429e46f"]}],"mendeley":{"formattedCitation":"&lt;sup&gt;11&lt;/sup&gt;","plainTextFormattedCitation":"11","previouslyFormattedCitation":"&lt;sup&gt;11&lt;/sup&gt;"},"properties":{"noteIndex":0},"schema":"https://github.com/citation-style-language/schema/raw/master/csl-citation.json"}</w:instrText>
      </w:r>
      <w:r w:rsidR="00FB16C7">
        <w:rPr>
          <w:rFonts w:ascii="Arial" w:eastAsia="Times New Roman" w:hAnsi="Arial" w:cs="Arial"/>
          <w:color w:val="000000"/>
          <w:sz w:val="22"/>
          <w:szCs w:val="22"/>
        </w:rPr>
        <w:fldChar w:fldCharType="separate"/>
      </w:r>
      <w:r w:rsidR="009B1CA4" w:rsidRPr="009B1CA4">
        <w:rPr>
          <w:rFonts w:ascii="Arial" w:eastAsia="Times New Roman" w:hAnsi="Arial" w:cs="Arial"/>
          <w:noProof/>
          <w:color w:val="000000"/>
          <w:sz w:val="22"/>
          <w:szCs w:val="22"/>
          <w:vertAlign w:val="superscript"/>
        </w:rPr>
        <w:t>11</w:t>
      </w:r>
      <w:r w:rsidR="00FB16C7">
        <w:rPr>
          <w:rFonts w:ascii="Arial" w:eastAsia="Times New Roman" w:hAnsi="Arial" w:cs="Arial"/>
          <w:color w:val="000000"/>
          <w:sz w:val="22"/>
          <w:szCs w:val="22"/>
        </w:rPr>
        <w:fldChar w:fldCharType="end"/>
      </w:r>
      <w:r w:rsidRPr="00AD391A">
        <w:rPr>
          <w:rFonts w:ascii="Arial" w:eastAsia="Times New Roman" w:hAnsi="Arial" w:cs="Arial"/>
          <w:color w:val="000000"/>
          <w:sz w:val="22"/>
          <w:szCs w:val="22"/>
        </w:rPr>
        <w:t xml:space="preserve">. Unfortunately, these infrastructures are specific for a disease domain and do not integrate patient data with data from molecular profiling. </w:t>
      </w:r>
      <w:r w:rsidR="009B1CA4">
        <w:rPr>
          <w:rFonts w:ascii="Arial" w:eastAsia="Times New Roman" w:hAnsi="Arial" w:cs="Arial"/>
          <w:color w:val="000000"/>
          <w:sz w:val="22"/>
          <w:szCs w:val="22"/>
        </w:rPr>
        <w:t>While tools to visualize and explore patient data have been developed</w:t>
      </w:r>
      <w:r w:rsidR="009B1CA4">
        <w:rPr>
          <w:rFonts w:ascii="Arial" w:eastAsia="Times New Roman" w:hAnsi="Arial" w:cs="Arial"/>
          <w:color w:val="000000"/>
          <w:sz w:val="22"/>
          <w:szCs w:val="22"/>
        </w:rPr>
        <w:fldChar w:fldCharType="begin" w:fldLock="1"/>
      </w:r>
      <w:r w:rsidR="009B1CA4">
        <w:rPr>
          <w:rFonts w:ascii="Arial" w:eastAsia="Times New Roman" w:hAnsi="Arial" w:cs="Arial"/>
          <w:color w:val="000000"/>
          <w:sz w:val="22"/>
          <w:szCs w:val="22"/>
        </w:rPr>
        <w:instrText>ADDIN CSL_CITATION {"citationItems":[{"id":"ITEM-1","itemData":{"DOI":"10.1093/jamiaopen/ooy059","ISSN":"2574-2531","abstract":"Objectives Electronic health record (EHR) data are increasingly used for biomedical discoveries. The nature of the data, however, requires expertise in both data science and EHR structure. The Observational Medical Out-comes Partnership (OMOP) common data model (CDM) standardizes the language and structure of EHR data to promote interoperability of EHR data for research. While the OMOP CDM is valuable and more attuned to research purposes, it still requires extensive domain knowledge to utilize effectively, potentially limiting more widespread adoption of EHR data for research and quality improvement. Materials and methods We have created ROMOP: an R package for direct interfacing with EHR data in the OMOP CDM format. Results ROMOP streamlines typical EHR-related data processes. Its functions include exploration of data types, extraction and summarization of patient clinical and demographic data, and patient searches using any CDM vocabulary concept. Conclusion ROMOP is freely available under the Massachusetts Institute of Technology (MIT) license and can be obtained from GitHub (http://github.com/BenGlicksberg/ROMOP). We detail instructions for setup and use in the Supplementary Materials. Additionally, we provide a public sandbox server containing synthesized clinical data for users to explore OMOP data and ROMOP (http://romop.ucsf.edu).","author":[{"dropping-particle":"","family":"Glicksberg","given":"Benjamin S","non-dropping-particle":"","parse-names":false,"suffix":""},{"dropping-particle":"","family":"Oskotsky","given":"Boris","non-dropping-particle":"","parse-names":false,"suffix":""},{"dropping-particle":"","family":"Giangreco","given":"Nicholas","non-dropping-particle":"","parse-names":false,"suffix":""},{"dropping-particle":"","family":"Thangaraj","given":"Phyllis M","non-dropping-particle":"","parse-names":false,"suffix":""},{"dropping-particle":"","family":"Rudrapatna","given":"Vivek","non-dropping-particle":"","parse-names":false,"suffix":""},{"dropping-particle":"","family":"Datta","given":"Debajyoti","non-dropping-particle":"","parse-names":false,"suffix":""},{"dropping-particle":"","family":"Frazier","given":"Remi","non-dropping-particle":"","parse-names":false,"suffix":""},{"dropping-particle":"","family":"Lee","given":"Nelson","non-dropping-particle":"","parse-names":false,"suffix":""},{"dropping-particle":"","family":"Larsen","given":"Rick","non-dropping-particle":"","parse-names":false,"suffix":""},{"dropping-particle":"","family":"Tatonetti","given":"Nicholas P","non-dropping-particle":"","parse-names":false,"suffix":""},{"dropping-particle":"","family":"Butte","given":"Atul J","non-dropping-particle":"","parse-names":false,"suffix":""}],"container-title":"JAMIA Open","id":"ITEM-1","issue":"1","issued":{"date-parts":[["2019"]]},"page":"10-14","title":"ROMOP: a light-weight R package for interfacing with OMOP-formatted electronic health record data","type":"article-journal","volume":"2"},"uris":["http://www.mendeley.com/documents/?uuid=97270994-8a0c-4f2c-b770-48155316f863"]},{"id":"ITEM-2","itemData":{"DOI":"10.1093/bioinformatics/btz409","ISSN":"14602059","PMID":"31214700","abstract":"Motivation: Electronic health records (EHRs) are quickly becoming omnipresent in healthcare, but interoperability issues and technical demands limit their use for biomedical and clinical research. Interactive and flexible software that interfaces directly with EHR data structured around a common data model (CDM) could accelerate more EHR-based research by making the data more accessible to researchers who lack computational expertise and/or domain knowledge. Results: We present PatientExploreR, an extensible application built on the R/Shiny framework that interfaces with a relational database of EHR data in the Observational Medical Outcomes Partnership CDM format. PatientExploreR produces patient-level interactive and dynamic reports and facilitates visualization of clinical data without any programming required. It allows researchers to easily construct and export patient cohorts from the EHR for analysis with other software. This application could enable easier exploration of patient-level data for physicians and researchers. PatientExploreR can incorporate EHR data from any institution that employs the CDM for users with approved access. The software code is free and open source under the MIT license, enabling institutions to install and users to expand and modify the application for their own purposes. Availability and implementation: PatientExploreR can be freely obtained from GitHub: https://github.com/BenGlicksberg/PatientExploreR. We provide instructions for how researchers with approved access to their institutional EHR can use this package. We also release an open sandbox server of synthesized patient data for users without EHR access to explore: http://patientexplorer.ucsf.edu. Supplementary information: Supplementary data are available at Bioinformatics online.","author":[{"dropping-particle":"","family":"Glicksberg","given":"Benjamin S.","non-dropping-particle":"","parse-names":false,"suffix":""},{"dropping-particle":"","family":"Oskotsky","given":"Boris","non-dropping-particle":"","parse-names":false,"suffix":""},{"dropping-particle":"","family":"Thangaraj","given":"Phyllis M.","non-dropping-particle":"","parse-names":false,"suffix":""},{"dropping-particle":"","family":"Giangreco","given":"Nicholas","non-dropping-particle":"","parse-names":false,"suffix":""},{"dropping-particle":"","family":"Badgeley","given":"Marcus A.","non-dropping-particle":"","parse-names":false,"suffix":""},{"dropping-particle":"","family":"Johnson","given":"Kipp W.","non-dropping-particle":"","parse-names":false,"suffix":""},{"dropping-particle":"","family":"Datta","given":"Debajyoti","non-dropping-particle":"","parse-names":false,"suffix":""},{"dropping-particle":"","family":"Rudrapatna","given":"Vivek A.","non-dropping-particle":"","parse-names":false,"suffix":""},{"dropping-particle":"","family":"Rappoport","given":"Nadav","non-dropping-particle":"","parse-names":false,"suffix":""},{"dropping-particle":"","family":"Shervey","given":"Mark M.","non-dropping-particle":"","parse-names":false,"suffix":""},{"dropping-particle":"","family":"Miotto","given":"Riccardo","non-dropping-particle":"","parse-names":false,"suffix":""},{"dropping-particle":"","family":"Goldstein","given":"Theodore C.","non-dropping-particle":"","parse-names":false,"suffix":""},{"dropping-particle":"","family":"Rutenberg","given":"Eugenia","non-dropping-particle":"","parse-names":false,"suffix":""},{"dropping-particle":"","family":"Frazier","given":"Remi","non-dropping-particle":"","parse-names":false,"suffix":""},{"dropping-particle":"","family":"Lee","given":"Nelson","non-dropping-particle":"","parse-names":false,"suffix":""},{"dropping-particle":"","family":"Israni","given":"Sharat","non-dropping-particle":"","parse-names":false,"suffix":""},{"dropping-particle":"","family":"Larsen","given":"Rick","non-dropping-particle":"","parse-names":false,"suffix":""},{"dropping-particle":"","family":"Percha","given":"Bethany","non-dropping-particle":"","parse-names":false,"suffix":""},{"dropping-particle":"","family":"Li","given":"Li","non-dropping-particle":"","parse-names":false,"suffix":""},{"dropping-particle":"","family":"Dudley","given":"Joel T.","non-dropping-particle":"","parse-names":false,"suffix":""},{"dropping-particle":"","family":"Tatonetti","given":"Nicholas P.","non-dropping-particle":"","parse-names":false,"suffix":""},{"dropping-particle":"","family":"Butte","given":"Atul J.","non-dropping-particle":"","parse-names":false,"suffix":""},{"dropping-particle":"","family":"Wren","given":"Jonathan","non-dropping-particle":"","parse-names":false,"suffix":""}],"container-title":"Bioinformatics","id":"ITEM-2","issue":"21","issued":{"date-parts":[["2019"]]},"page":"4515-4518","title":"PatientExploreR: An extensible application for dynamic visualization of patient clinical history from electronic health records in the OMOP common data model","type":"article-journal","volume":"35"},"uris":["http://www.mendeley.com/documents/?uuid=d9e534d9-fb2a-41fd-b398-2d5cfdd5ad2c"]}],"mendeley":{"formattedCitation":"&lt;sup&gt;12,13&lt;/sup&gt;","plainTextFormattedCitation":"12,13"},"properties":{"noteIndex":0},"schema":"https://github.com/citation-style-language/schema/raw/master/csl-citation.json"}</w:instrText>
      </w:r>
      <w:r w:rsidR="009B1CA4">
        <w:rPr>
          <w:rFonts w:ascii="Arial" w:eastAsia="Times New Roman" w:hAnsi="Arial" w:cs="Arial"/>
          <w:color w:val="000000"/>
          <w:sz w:val="22"/>
          <w:szCs w:val="22"/>
        </w:rPr>
        <w:fldChar w:fldCharType="separate"/>
      </w:r>
      <w:r w:rsidR="009B1CA4" w:rsidRPr="009B1CA4">
        <w:rPr>
          <w:rFonts w:ascii="Arial" w:eastAsia="Times New Roman" w:hAnsi="Arial" w:cs="Arial"/>
          <w:noProof/>
          <w:color w:val="000000"/>
          <w:sz w:val="22"/>
          <w:szCs w:val="22"/>
          <w:vertAlign w:val="superscript"/>
        </w:rPr>
        <w:t>12,13</w:t>
      </w:r>
      <w:r w:rsidR="009B1CA4">
        <w:rPr>
          <w:rFonts w:ascii="Arial" w:eastAsia="Times New Roman" w:hAnsi="Arial" w:cs="Arial"/>
          <w:color w:val="000000"/>
          <w:sz w:val="22"/>
          <w:szCs w:val="22"/>
        </w:rPr>
        <w:fldChar w:fldCharType="end"/>
      </w:r>
      <w:r w:rsidR="009B1CA4">
        <w:rPr>
          <w:rFonts w:ascii="Arial" w:eastAsia="Times New Roman" w:hAnsi="Arial" w:cs="Arial"/>
          <w:color w:val="000000"/>
          <w:sz w:val="22"/>
          <w:szCs w:val="22"/>
        </w:rPr>
        <w:t>, t</w:t>
      </w:r>
      <w:r w:rsidRPr="00AD391A">
        <w:rPr>
          <w:rFonts w:ascii="Arial" w:eastAsia="Times New Roman" w:hAnsi="Arial" w:cs="Arial"/>
          <w:color w:val="000000"/>
          <w:sz w:val="22"/>
          <w:szCs w:val="22"/>
        </w:rPr>
        <w:t>he</w:t>
      </w:r>
      <w:r w:rsidR="009B1CA4">
        <w:rPr>
          <w:rFonts w:ascii="Arial" w:eastAsia="Times New Roman" w:hAnsi="Arial" w:cs="Arial"/>
          <w:color w:val="000000"/>
          <w:sz w:val="22"/>
          <w:szCs w:val="22"/>
        </w:rPr>
        <w:t>re are no tools for utilizing the</w:t>
      </w:r>
      <w:r w:rsidRPr="00AD391A">
        <w:rPr>
          <w:rFonts w:ascii="Arial" w:eastAsia="Times New Roman" w:hAnsi="Arial" w:cs="Arial"/>
          <w:color w:val="000000"/>
          <w:sz w:val="22"/>
          <w:szCs w:val="22"/>
        </w:rPr>
        <w:t xml:space="preserve"> OMOP CDM </w:t>
      </w:r>
      <w:r w:rsidR="009B1CA4">
        <w:rPr>
          <w:rFonts w:ascii="Arial" w:eastAsia="Times New Roman" w:hAnsi="Arial" w:cs="Arial"/>
          <w:color w:val="000000"/>
          <w:sz w:val="22"/>
          <w:szCs w:val="22"/>
        </w:rPr>
        <w:t>to integrate</w:t>
      </w:r>
      <w:r w:rsidRPr="00AD391A">
        <w:rPr>
          <w:rFonts w:ascii="Arial" w:eastAsia="Times New Roman" w:hAnsi="Arial" w:cs="Arial"/>
          <w:color w:val="000000"/>
          <w:sz w:val="22"/>
          <w:szCs w:val="22"/>
        </w:rPr>
        <w:t xml:space="preserve"> molecular profiling of both patients in the clinic and individuals from population-based studies. </w:t>
      </w:r>
    </w:p>
    <w:p w14:paraId="2EFC1FDF" w14:textId="77777777" w:rsidR="00AD391A" w:rsidRPr="00AD391A" w:rsidRDefault="00AD391A" w:rsidP="00AD391A">
      <w:pPr>
        <w:rPr>
          <w:rFonts w:ascii="Times New Roman" w:eastAsia="Times New Roman" w:hAnsi="Times New Roman" w:cs="Times New Roman"/>
        </w:rPr>
      </w:pPr>
    </w:p>
    <w:p w14:paraId="195F70ED" w14:textId="77777777" w:rsidR="00AD391A" w:rsidRPr="00AD391A" w:rsidRDefault="00AD391A" w:rsidP="00AD391A">
      <w:pPr>
        <w:rPr>
          <w:rFonts w:ascii="Times New Roman" w:eastAsia="Times New Roman" w:hAnsi="Times New Roman" w:cs="Times New Roman"/>
        </w:rPr>
      </w:pPr>
      <w:r w:rsidRPr="00AD391A">
        <w:rPr>
          <w:rFonts w:ascii="Arial" w:eastAsia="Times New Roman" w:hAnsi="Arial" w:cs="Arial"/>
          <w:color w:val="000000"/>
          <w:sz w:val="22"/>
          <w:szCs w:val="22"/>
        </w:rPr>
        <w:t xml:space="preserve">We present </w:t>
      </w:r>
      <w:proofErr w:type="spellStart"/>
      <w:r w:rsidRPr="00AD391A">
        <w:rPr>
          <w:rFonts w:ascii="Arial" w:eastAsia="Times New Roman" w:hAnsi="Arial" w:cs="Arial"/>
          <w:color w:val="000000"/>
          <w:sz w:val="22"/>
          <w:szCs w:val="22"/>
        </w:rPr>
        <w:t>ROMOPOmics</w:t>
      </w:r>
      <w:proofErr w:type="spellEnd"/>
      <w:r w:rsidRPr="00AD391A">
        <w:rPr>
          <w:rFonts w:ascii="Arial" w:eastAsia="Times New Roman" w:hAnsi="Arial" w:cs="Arial"/>
          <w:color w:val="000000"/>
          <w:sz w:val="22"/>
          <w:szCs w:val="22"/>
        </w:rPr>
        <w:t xml:space="preserve">, an R package that extends the OMOP CDM for characterizing associated patient molecular data. We show how consortium datasets from TCGA and experimental datasets such as T-cell epigenomic data are integrated into the OMOP CDM extension by </w:t>
      </w:r>
      <w:proofErr w:type="spellStart"/>
      <w:r w:rsidRPr="00AD391A">
        <w:rPr>
          <w:rFonts w:ascii="Arial" w:eastAsia="Times New Roman" w:hAnsi="Arial" w:cs="Arial"/>
          <w:color w:val="000000"/>
          <w:sz w:val="22"/>
          <w:szCs w:val="22"/>
        </w:rPr>
        <w:t>ROMOPOmics</w:t>
      </w:r>
      <w:proofErr w:type="spellEnd"/>
      <w:r w:rsidRPr="00AD391A">
        <w:rPr>
          <w:rFonts w:ascii="Arial" w:eastAsia="Times New Roman" w:hAnsi="Arial" w:cs="Arial"/>
          <w:color w:val="000000"/>
          <w:sz w:val="22"/>
          <w:szCs w:val="22"/>
        </w:rPr>
        <w:t xml:space="preserve">. We then discuss the opportunities and research directions that become available using this data infrastructure. </w:t>
      </w:r>
      <w:proofErr w:type="spellStart"/>
      <w:r w:rsidRPr="00AD391A">
        <w:rPr>
          <w:rFonts w:ascii="Arial" w:eastAsia="Times New Roman" w:hAnsi="Arial" w:cs="Arial"/>
          <w:color w:val="000000"/>
          <w:sz w:val="22"/>
          <w:szCs w:val="22"/>
        </w:rPr>
        <w:t>ROMOPOmics</w:t>
      </w:r>
      <w:proofErr w:type="spellEnd"/>
      <w:r w:rsidRPr="00AD391A">
        <w:rPr>
          <w:rFonts w:ascii="Arial" w:eastAsia="Times New Roman" w:hAnsi="Arial" w:cs="Arial"/>
          <w:color w:val="000000"/>
          <w:sz w:val="22"/>
          <w:szCs w:val="22"/>
        </w:rPr>
        <w:t xml:space="preserve"> seeks to lay the groundwork for standardizing patient clinical and molecular profiling data using the established OMOP framework while remaining adaptable enough to incorporate new and changing sequencing techniques, ensuring that the clinical and research communities can remain as up-to-date with the changing data landscape as possible.</w:t>
      </w:r>
    </w:p>
    <w:p w14:paraId="7D7BEF70" w14:textId="77777777" w:rsidR="00AD391A" w:rsidRPr="00AD391A" w:rsidRDefault="00AD391A" w:rsidP="00AD391A">
      <w:pPr>
        <w:rPr>
          <w:rFonts w:ascii="Times New Roman" w:eastAsia="Times New Roman" w:hAnsi="Times New Roman" w:cs="Times New Roman"/>
        </w:rPr>
      </w:pPr>
    </w:p>
    <w:p w14:paraId="70B94279" w14:textId="3CF84E93" w:rsidR="009B1CA4" w:rsidRPr="009B1CA4" w:rsidRDefault="00FB16C7" w:rsidP="009B1CA4">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009B1CA4" w:rsidRPr="009B1CA4">
        <w:rPr>
          <w:rFonts w:ascii="Calibri" w:hAnsi="Calibri" w:cs="Calibri"/>
          <w:noProof/>
        </w:rPr>
        <w:t>1.</w:t>
      </w:r>
      <w:r w:rsidR="009B1CA4" w:rsidRPr="009B1CA4">
        <w:rPr>
          <w:rFonts w:ascii="Calibri" w:hAnsi="Calibri" w:cs="Calibri"/>
          <w:noProof/>
        </w:rPr>
        <w:tab/>
        <w:t xml:space="preserve">Ideker, T., Galitski, T. &amp; Hood, L. A NEW APPROACH TO DECODING LIFE: Systems Biology. </w:t>
      </w:r>
      <w:r w:rsidR="009B1CA4" w:rsidRPr="009B1CA4">
        <w:rPr>
          <w:rFonts w:ascii="Calibri" w:hAnsi="Calibri" w:cs="Calibri"/>
          <w:i/>
          <w:iCs/>
          <w:noProof/>
        </w:rPr>
        <w:t>Annu. Rev. Public Health</w:t>
      </w:r>
      <w:r w:rsidR="009B1CA4" w:rsidRPr="009B1CA4">
        <w:rPr>
          <w:rFonts w:ascii="Calibri" w:hAnsi="Calibri" w:cs="Calibri"/>
          <w:noProof/>
        </w:rPr>
        <w:t xml:space="preserve"> </w:t>
      </w:r>
      <w:r w:rsidR="009B1CA4" w:rsidRPr="009B1CA4">
        <w:rPr>
          <w:rFonts w:ascii="Calibri" w:hAnsi="Calibri" w:cs="Calibri"/>
          <w:b/>
          <w:bCs/>
          <w:noProof/>
        </w:rPr>
        <w:t>27</w:t>
      </w:r>
      <w:r w:rsidR="009B1CA4" w:rsidRPr="009B1CA4">
        <w:rPr>
          <w:rFonts w:ascii="Calibri" w:hAnsi="Calibri" w:cs="Calibri"/>
          <w:noProof/>
        </w:rPr>
        <w:t>, 297–322 (2006).</w:t>
      </w:r>
    </w:p>
    <w:p w14:paraId="0E38121F" w14:textId="77777777" w:rsidR="009B1CA4" w:rsidRPr="009B1CA4" w:rsidRDefault="009B1CA4" w:rsidP="009B1CA4">
      <w:pPr>
        <w:widowControl w:val="0"/>
        <w:autoSpaceDE w:val="0"/>
        <w:autoSpaceDN w:val="0"/>
        <w:adjustRightInd w:val="0"/>
        <w:ind w:left="640" w:hanging="640"/>
        <w:rPr>
          <w:rFonts w:ascii="Calibri" w:hAnsi="Calibri" w:cs="Calibri"/>
          <w:noProof/>
        </w:rPr>
      </w:pPr>
      <w:r w:rsidRPr="009B1CA4">
        <w:rPr>
          <w:rFonts w:ascii="Calibri" w:hAnsi="Calibri" w:cs="Calibri"/>
          <w:noProof/>
        </w:rPr>
        <w:t>2.</w:t>
      </w:r>
      <w:r w:rsidRPr="009B1CA4">
        <w:rPr>
          <w:rFonts w:ascii="Calibri" w:hAnsi="Calibri" w:cs="Calibri"/>
          <w:noProof/>
        </w:rPr>
        <w:tab/>
        <w:t xml:space="preserve">Knaack, S. A., Siahpirani, A. F. &amp; Roy, S. A Pan-Cancer Modular Regulatory Network Analysis to Identify Common and Cancer-Specific Network Components. </w:t>
      </w:r>
      <w:r w:rsidRPr="009B1CA4">
        <w:rPr>
          <w:rFonts w:ascii="Calibri" w:hAnsi="Calibri" w:cs="Calibri"/>
          <w:i/>
          <w:iCs/>
          <w:noProof/>
        </w:rPr>
        <w:t>Cancer Inform.</w:t>
      </w:r>
      <w:r w:rsidRPr="009B1CA4">
        <w:rPr>
          <w:rFonts w:ascii="Calibri" w:hAnsi="Calibri" w:cs="Calibri"/>
          <w:noProof/>
        </w:rPr>
        <w:t xml:space="preserve"> </w:t>
      </w:r>
      <w:r w:rsidRPr="009B1CA4">
        <w:rPr>
          <w:rFonts w:ascii="Calibri" w:hAnsi="Calibri" w:cs="Calibri"/>
          <w:b/>
          <w:bCs/>
          <w:noProof/>
        </w:rPr>
        <w:t>13s5</w:t>
      </w:r>
      <w:r w:rsidRPr="009B1CA4">
        <w:rPr>
          <w:rFonts w:ascii="Calibri" w:hAnsi="Calibri" w:cs="Calibri"/>
          <w:noProof/>
        </w:rPr>
        <w:t>, CIN.S14058 (2014).</w:t>
      </w:r>
    </w:p>
    <w:p w14:paraId="181BF3F9" w14:textId="77777777" w:rsidR="009B1CA4" w:rsidRPr="009B1CA4" w:rsidRDefault="009B1CA4" w:rsidP="009B1CA4">
      <w:pPr>
        <w:widowControl w:val="0"/>
        <w:autoSpaceDE w:val="0"/>
        <w:autoSpaceDN w:val="0"/>
        <w:adjustRightInd w:val="0"/>
        <w:ind w:left="640" w:hanging="640"/>
        <w:rPr>
          <w:rFonts w:ascii="Calibri" w:hAnsi="Calibri" w:cs="Calibri"/>
          <w:noProof/>
        </w:rPr>
      </w:pPr>
      <w:r w:rsidRPr="009B1CA4">
        <w:rPr>
          <w:rFonts w:ascii="Calibri" w:hAnsi="Calibri" w:cs="Calibri"/>
          <w:noProof/>
        </w:rPr>
        <w:t>3.</w:t>
      </w:r>
      <w:r w:rsidRPr="009B1CA4">
        <w:rPr>
          <w:rFonts w:ascii="Calibri" w:hAnsi="Calibri" w:cs="Calibri"/>
          <w:noProof/>
        </w:rPr>
        <w:tab/>
        <w:t xml:space="preserve">Woo, J. H. </w:t>
      </w:r>
      <w:r w:rsidRPr="009B1CA4">
        <w:rPr>
          <w:rFonts w:ascii="Calibri" w:hAnsi="Calibri" w:cs="Calibri"/>
          <w:i/>
          <w:iCs/>
          <w:noProof/>
        </w:rPr>
        <w:t>et al.</w:t>
      </w:r>
      <w:r w:rsidRPr="009B1CA4">
        <w:rPr>
          <w:rFonts w:ascii="Calibri" w:hAnsi="Calibri" w:cs="Calibri"/>
          <w:noProof/>
        </w:rPr>
        <w:t xml:space="preserve"> Elucidating Compound Mechanism of Action by Network Perturbation Analysis. </w:t>
      </w:r>
      <w:r w:rsidRPr="009B1CA4">
        <w:rPr>
          <w:rFonts w:ascii="Calibri" w:hAnsi="Calibri" w:cs="Calibri"/>
          <w:i/>
          <w:iCs/>
          <w:noProof/>
        </w:rPr>
        <w:t>Cell</w:t>
      </w:r>
      <w:r w:rsidRPr="009B1CA4">
        <w:rPr>
          <w:rFonts w:ascii="Calibri" w:hAnsi="Calibri" w:cs="Calibri"/>
          <w:noProof/>
        </w:rPr>
        <w:t xml:space="preserve"> </w:t>
      </w:r>
      <w:r w:rsidRPr="009B1CA4">
        <w:rPr>
          <w:rFonts w:ascii="Calibri" w:hAnsi="Calibri" w:cs="Calibri"/>
          <w:b/>
          <w:bCs/>
          <w:noProof/>
        </w:rPr>
        <w:t>162</w:t>
      </w:r>
      <w:r w:rsidRPr="009B1CA4">
        <w:rPr>
          <w:rFonts w:ascii="Calibri" w:hAnsi="Calibri" w:cs="Calibri"/>
          <w:noProof/>
        </w:rPr>
        <w:t>, 441–451 (2015).</w:t>
      </w:r>
    </w:p>
    <w:p w14:paraId="036B6097" w14:textId="77777777" w:rsidR="009B1CA4" w:rsidRPr="009B1CA4" w:rsidRDefault="009B1CA4" w:rsidP="009B1CA4">
      <w:pPr>
        <w:widowControl w:val="0"/>
        <w:autoSpaceDE w:val="0"/>
        <w:autoSpaceDN w:val="0"/>
        <w:adjustRightInd w:val="0"/>
        <w:ind w:left="640" w:hanging="640"/>
        <w:rPr>
          <w:rFonts w:ascii="Calibri" w:hAnsi="Calibri" w:cs="Calibri"/>
          <w:noProof/>
        </w:rPr>
      </w:pPr>
      <w:r w:rsidRPr="009B1CA4">
        <w:rPr>
          <w:rFonts w:ascii="Calibri" w:hAnsi="Calibri" w:cs="Calibri"/>
          <w:noProof/>
        </w:rPr>
        <w:t>4.</w:t>
      </w:r>
      <w:r w:rsidRPr="009B1CA4">
        <w:rPr>
          <w:rFonts w:ascii="Calibri" w:hAnsi="Calibri" w:cs="Calibri"/>
          <w:noProof/>
        </w:rPr>
        <w:tab/>
        <w:t xml:space="preserve">Biankin, A. V. The road to precision oncology. </w:t>
      </w:r>
      <w:r w:rsidRPr="009B1CA4">
        <w:rPr>
          <w:rFonts w:ascii="Calibri" w:hAnsi="Calibri" w:cs="Calibri"/>
          <w:i/>
          <w:iCs/>
          <w:noProof/>
        </w:rPr>
        <w:t>Nat. Genet.</w:t>
      </w:r>
      <w:r w:rsidRPr="009B1CA4">
        <w:rPr>
          <w:rFonts w:ascii="Calibri" w:hAnsi="Calibri" w:cs="Calibri"/>
          <w:noProof/>
        </w:rPr>
        <w:t xml:space="preserve"> </w:t>
      </w:r>
      <w:r w:rsidRPr="009B1CA4">
        <w:rPr>
          <w:rFonts w:ascii="Calibri" w:hAnsi="Calibri" w:cs="Calibri"/>
          <w:b/>
          <w:bCs/>
          <w:noProof/>
        </w:rPr>
        <w:t>49</w:t>
      </w:r>
      <w:r w:rsidRPr="009B1CA4">
        <w:rPr>
          <w:rFonts w:ascii="Calibri" w:hAnsi="Calibri" w:cs="Calibri"/>
          <w:noProof/>
        </w:rPr>
        <w:t>, 320–321 (2017).</w:t>
      </w:r>
    </w:p>
    <w:p w14:paraId="49653F1F" w14:textId="77777777" w:rsidR="009B1CA4" w:rsidRPr="009B1CA4" w:rsidRDefault="009B1CA4" w:rsidP="009B1CA4">
      <w:pPr>
        <w:widowControl w:val="0"/>
        <w:autoSpaceDE w:val="0"/>
        <w:autoSpaceDN w:val="0"/>
        <w:adjustRightInd w:val="0"/>
        <w:ind w:left="640" w:hanging="640"/>
        <w:rPr>
          <w:rFonts w:ascii="Calibri" w:hAnsi="Calibri" w:cs="Calibri"/>
          <w:noProof/>
        </w:rPr>
      </w:pPr>
      <w:r w:rsidRPr="009B1CA4">
        <w:rPr>
          <w:rFonts w:ascii="Calibri" w:hAnsi="Calibri" w:cs="Calibri"/>
          <w:noProof/>
        </w:rPr>
        <w:t>5.</w:t>
      </w:r>
      <w:r w:rsidRPr="009B1CA4">
        <w:rPr>
          <w:rFonts w:ascii="Calibri" w:hAnsi="Calibri" w:cs="Calibri"/>
          <w:noProof/>
        </w:rPr>
        <w:tab/>
        <w:t xml:space="preserve">Gómez-López, G., Dopazo, J., Cigudosa, J. C., Valencia, A. &amp; Al-Shahrour, F. Precision medicine needs pioneering clinical bioinformaticians. </w:t>
      </w:r>
      <w:r w:rsidRPr="009B1CA4">
        <w:rPr>
          <w:rFonts w:ascii="Calibri" w:hAnsi="Calibri" w:cs="Calibri"/>
          <w:i/>
          <w:iCs/>
          <w:noProof/>
        </w:rPr>
        <w:t>Brief. Bioinform.</w:t>
      </w:r>
      <w:r w:rsidRPr="009B1CA4">
        <w:rPr>
          <w:rFonts w:ascii="Calibri" w:hAnsi="Calibri" w:cs="Calibri"/>
          <w:noProof/>
        </w:rPr>
        <w:t xml:space="preserve"> </w:t>
      </w:r>
      <w:r w:rsidRPr="009B1CA4">
        <w:rPr>
          <w:rFonts w:ascii="Calibri" w:hAnsi="Calibri" w:cs="Calibri"/>
          <w:b/>
          <w:bCs/>
          <w:noProof/>
        </w:rPr>
        <w:t>20</w:t>
      </w:r>
      <w:r w:rsidRPr="009B1CA4">
        <w:rPr>
          <w:rFonts w:ascii="Calibri" w:hAnsi="Calibri" w:cs="Calibri"/>
          <w:noProof/>
        </w:rPr>
        <w:t>, 752–766 (2019).</w:t>
      </w:r>
    </w:p>
    <w:p w14:paraId="4C335FED" w14:textId="77777777" w:rsidR="009B1CA4" w:rsidRPr="009B1CA4" w:rsidRDefault="009B1CA4" w:rsidP="009B1CA4">
      <w:pPr>
        <w:widowControl w:val="0"/>
        <w:autoSpaceDE w:val="0"/>
        <w:autoSpaceDN w:val="0"/>
        <w:adjustRightInd w:val="0"/>
        <w:ind w:left="640" w:hanging="640"/>
        <w:rPr>
          <w:rFonts w:ascii="Calibri" w:hAnsi="Calibri" w:cs="Calibri"/>
          <w:noProof/>
        </w:rPr>
      </w:pPr>
      <w:r w:rsidRPr="009B1CA4">
        <w:rPr>
          <w:rFonts w:ascii="Calibri" w:hAnsi="Calibri" w:cs="Calibri"/>
          <w:noProof/>
        </w:rPr>
        <w:t>6.</w:t>
      </w:r>
      <w:r w:rsidRPr="009B1CA4">
        <w:rPr>
          <w:rFonts w:ascii="Calibri" w:hAnsi="Calibri" w:cs="Calibri"/>
          <w:noProof/>
        </w:rPr>
        <w:tab/>
        <w:t xml:space="preserve">Bielekova, B., Vodovotz, Y., An, G. &amp; Hallenbeck, J. How Implementation of Systems Biology into Clinical Trials Accelerates Understanding of Diseases. </w:t>
      </w:r>
      <w:r w:rsidRPr="009B1CA4">
        <w:rPr>
          <w:rFonts w:ascii="Calibri" w:hAnsi="Calibri" w:cs="Calibri"/>
          <w:i/>
          <w:iCs/>
          <w:noProof/>
        </w:rPr>
        <w:t>Front. Neurol.</w:t>
      </w:r>
      <w:r w:rsidRPr="009B1CA4">
        <w:rPr>
          <w:rFonts w:ascii="Calibri" w:hAnsi="Calibri" w:cs="Calibri"/>
          <w:noProof/>
        </w:rPr>
        <w:t xml:space="preserve"> </w:t>
      </w:r>
      <w:r w:rsidRPr="009B1CA4">
        <w:rPr>
          <w:rFonts w:ascii="Calibri" w:hAnsi="Calibri" w:cs="Calibri"/>
          <w:b/>
          <w:bCs/>
          <w:noProof/>
        </w:rPr>
        <w:t>5</w:t>
      </w:r>
      <w:r w:rsidRPr="009B1CA4">
        <w:rPr>
          <w:rFonts w:ascii="Calibri" w:hAnsi="Calibri" w:cs="Calibri"/>
          <w:noProof/>
        </w:rPr>
        <w:t xml:space="preserve">, 1–9 </w:t>
      </w:r>
      <w:r w:rsidRPr="009B1CA4">
        <w:rPr>
          <w:rFonts w:ascii="Calibri" w:hAnsi="Calibri" w:cs="Calibri"/>
          <w:noProof/>
        </w:rPr>
        <w:lastRenderedPageBreak/>
        <w:t>(2014).</w:t>
      </w:r>
    </w:p>
    <w:p w14:paraId="69F3F4DE" w14:textId="77777777" w:rsidR="009B1CA4" w:rsidRPr="009B1CA4" w:rsidRDefault="009B1CA4" w:rsidP="009B1CA4">
      <w:pPr>
        <w:widowControl w:val="0"/>
        <w:autoSpaceDE w:val="0"/>
        <w:autoSpaceDN w:val="0"/>
        <w:adjustRightInd w:val="0"/>
        <w:ind w:left="640" w:hanging="640"/>
        <w:rPr>
          <w:rFonts w:ascii="Calibri" w:hAnsi="Calibri" w:cs="Calibri"/>
          <w:noProof/>
        </w:rPr>
      </w:pPr>
      <w:r w:rsidRPr="009B1CA4">
        <w:rPr>
          <w:rFonts w:ascii="Calibri" w:hAnsi="Calibri" w:cs="Calibri"/>
          <w:noProof/>
        </w:rPr>
        <w:t>7.</w:t>
      </w:r>
      <w:r w:rsidRPr="009B1CA4">
        <w:rPr>
          <w:rFonts w:ascii="Calibri" w:hAnsi="Calibri" w:cs="Calibri"/>
          <w:noProof/>
        </w:rPr>
        <w:tab/>
        <w:t xml:space="preserve">Assmus, H. E., Herwig, R., Cho, K.-H. &amp; Wolkenhauer, O. Dynamics of biological systems: role of systems biology in medical research. </w:t>
      </w:r>
      <w:r w:rsidRPr="009B1CA4">
        <w:rPr>
          <w:rFonts w:ascii="Calibri" w:hAnsi="Calibri" w:cs="Calibri"/>
          <w:i/>
          <w:iCs/>
          <w:noProof/>
        </w:rPr>
        <w:t>Expert Rev. Mol. Diagn.</w:t>
      </w:r>
      <w:r w:rsidRPr="009B1CA4">
        <w:rPr>
          <w:rFonts w:ascii="Calibri" w:hAnsi="Calibri" w:cs="Calibri"/>
          <w:noProof/>
        </w:rPr>
        <w:t xml:space="preserve"> </w:t>
      </w:r>
      <w:r w:rsidRPr="009B1CA4">
        <w:rPr>
          <w:rFonts w:ascii="Calibri" w:hAnsi="Calibri" w:cs="Calibri"/>
          <w:b/>
          <w:bCs/>
          <w:noProof/>
        </w:rPr>
        <w:t>6</w:t>
      </w:r>
      <w:r w:rsidRPr="009B1CA4">
        <w:rPr>
          <w:rFonts w:ascii="Calibri" w:hAnsi="Calibri" w:cs="Calibri"/>
          <w:noProof/>
        </w:rPr>
        <w:t>, 891–902 (2006).</w:t>
      </w:r>
    </w:p>
    <w:p w14:paraId="4F05C675" w14:textId="77777777" w:rsidR="009B1CA4" w:rsidRPr="009B1CA4" w:rsidRDefault="009B1CA4" w:rsidP="009B1CA4">
      <w:pPr>
        <w:widowControl w:val="0"/>
        <w:autoSpaceDE w:val="0"/>
        <w:autoSpaceDN w:val="0"/>
        <w:adjustRightInd w:val="0"/>
        <w:ind w:left="640" w:hanging="640"/>
        <w:rPr>
          <w:rFonts w:ascii="Calibri" w:hAnsi="Calibri" w:cs="Calibri"/>
          <w:noProof/>
        </w:rPr>
      </w:pPr>
      <w:r w:rsidRPr="009B1CA4">
        <w:rPr>
          <w:rFonts w:ascii="Calibri" w:hAnsi="Calibri" w:cs="Calibri"/>
          <w:noProof/>
        </w:rPr>
        <w:t>8.</w:t>
      </w:r>
      <w:r w:rsidRPr="009B1CA4">
        <w:rPr>
          <w:rFonts w:ascii="Calibri" w:hAnsi="Calibri" w:cs="Calibri"/>
          <w:noProof/>
        </w:rPr>
        <w:tab/>
        <w:t xml:space="preserve">Blumenthal, D. &amp; Tavenner, M. The “Meaningful Use” Regulation for Electronic Health Records. </w:t>
      </w:r>
      <w:r w:rsidRPr="009B1CA4">
        <w:rPr>
          <w:rFonts w:ascii="Calibri" w:hAnsi="Calibri" w:cs="Calibri"/>
          <w:i/>
          <w:iCs/>
          <w:noProof/>
        </w:rPr>
        <w:t>N. Engl. J. Med.</w:t>
      </w:r>
      <w:r w:rsidRPr="009B1CA4">
        <w:rPr>
          <w:rFonts w:ascii="Calibri" w:hAnsi="Calibri" w:cs="Calibri"/>
          <w:noProof/>
        </w:rPr>
        <w:t xml:space="preserve"> </w:t>
      </w:r>
      <w:r w:rsidRPr="009B1CA4">
        <w:rPr>
          <w:rFonts w:ascii="Calibri" w:hAnsi="Calibri" w:cs="Calibri"/>
          <w:b/>
          <w:bCs/>
          <w:noProof/>
        </w:rPr>
        <w:t>363</w:t>
      </w:r>
      <w:r w:rsidRPr="009B1CA4">
        <w:rPr>
          <w:rFonts w:ascii="Calibri" w:hAnsi="Calibri" w:cs="Calibri"/>
          <w:noProof/>
        </w:rPr>
        <w:t>, 501–504 (2010).</w:t>
      </w:r>
    </w:p>
    <w:p w14:paraId="2B9B603B" w14:textId="77777777" w:rsidR="009B1CA4" w:rsidRPr="009B1CA4" w:rsidRDefault="009B1CA4" w:rsidP="009B1CA4">
      <w:pPr>
        <w:widowControl w:val="0"/>
        <w:autoSpaceDE w:val="0"/>
        <w:autoSpaceDN w:val="0"/>
        <w:adjustRightInd w:val="0"/>
        <w:ind w:left="640" w:hanging="640"/>
        <w:rPr>
          <w:rFonts w:ascii="Calibri" w:hAnsi="Calibri" w:cs="Calibri"/>
          <w:noProof/>
        </w:rPr>
      </w:pPr>
      <w:r w:rsidRPr="009B1CA4">
        <w:rPr>
          <w:rFonts w:ascii="Calibri" w:hAnsi="Calibri" w:cs="Calibri"/>
          <w:noProof/>
        </w:rPr>
        <w:t>9.</w:t>
      </w:r>
      <w:r w:rsidRPr="009B1CA4">
        <w:rPr>
          <w:rFonts w:ascii="Calibri" w:hAnsi="Calibri" w:cs="Calibri"/>
          <w:noProof/>
        </w:rPr>
        <w:tab/>
        <w:t xml:space="preserve">Park, R. W. Sharing clinical big data while protecting confidentiality and security: Observational health data sciences and informatics. </w:t>
      </w:r>
      <w:r w:rsidRPr="009B1CA4">
        <w:rPr>
          <w:rFonts w:ascii="Calibri" w:hAnsi="Calibri" w:cs="Calibri"/>
          <w:i/>
          <w:iCs/>
          <w:noProof/>
        </w:rPr>
        <w:t>Healthc. Inform. Res.</w:t>
      </w:r>
      <w:r w:rsidRPr="009B1CA4">
        <w:rPr>
          <w:rFonts w:ascii="Calibri" w:hAnsi="Calibri" w:cs="Calibri"/>
          <w:noProof/>
        </w:rPr>
        <w:t xml:space="preserve"> </w:t>
      </w:r>
      <w:r w:rsidRPr="009B1CA4">
        <w:rPr>
          <w:rFonts w:ascii="Calibri" w:hAnsi="Calibri" w:cs="Calibri"/>
          <w:b/>
          <w:bCs/>
          <w:noProof/>
        </w:rPr>
        <w:t>23</w:t>
      </w:r>
      <w:r w:rsidRPr="009B1CA4">
        <w:rPr>
          <w:rFonts w:ascii="Calibri" w:hAnsi="Calibri" w:cs="Calibri"/>
          <w:noProof/>
        </w:rPr>
        <w:t>, 1–3 (2017).</w:t>
      </w:r>
    </w:p>
    <w:p w14:paraId="02C7763A" w14:textId="77777777" w:rsidR="009B1CA4" w:rsidRPr="009B1CA4" w:rsidRDefault="009B1CA4" w:rsidP="009B1CA4">
      <w:pPr>
        <w:widowControl w:val="0"/>
        <w:autoSpaceDE w:val="0"/>
        <w:autoSpaceDN w:val="0"/>
        <w:adjustRightInd w:val="0"/>
        <w:ind w:left="640" w:hanging="640"/>
        <w:rPr>
          <w:rFonts w:ascii="Calibri" w:hAnsi="Calibri" w:cs="Calibri"/>
          <w:noProof/>
        </w:rPr>
      </w:pPr>
      <w:r w:rsidRPr="009B1CA4">
        <w:rPr>
          <w:rFonts w:ascii="Calibri" w:hAnsi="Calibri" w:cs="Calibri"/>
          <w:noProof/>
        </w:rPr>
        <w:t>10.</w:t>
      </w:r>
      <w:r w:rsidRPr="009B1CA4">
        <w:rPr>
          <w:rFonts w:ascii="Calibri" w:hAnsi="Calibri" w:cs="Calibri"/>
          <w:noProof/>
        </w:rPr>
        <w:tab/>
        <w:t xml:space="preserve">Kashyap, M. </w:t>
      </w:r>
      <w:r w:rsidRPr="009B1CA4">
        <w:rPr>
          <w:rFonts w:ascii="Calibri" w:hAnsi="Calibri" w:cs="Calibri"/>
          <w:i/>
          <w:iCs/>
          <w:noProof/>
        </w:rPr>
        <w:t>et al.</w:t>
      </w:r>
      <w:r w:rsidRPr="009B1CA4">
        <w:rPr>
          <w:rFonts w:ascii="Calibri" w:hAnsi="Calibri" w:cs="Calibri"/>
          <w:noProof/>
        </w:rPr>
        <w:t xml:space="preserve"> Development and validation of phenotype classifiers across multiple sites in the observational health data sciences and informatics network. </w:t>
      </w:r>
      <w:r w:rsidRPr="009B1CA4">
        <w:rPr>
          <w:rFonts w:ascii="Calibri" w:hAnsi="Calibri" w:cs="Calibri"/>
          <w:i/>
          <w:iCs/>
          <w:noProof/>
        </w:rPr>
        <w:t>J. Am. Med. Informatics Assoc.</w:t>
      </w:r>
      <w:r w:rsidRPr="009B1CA4">
        <w:rPr>
          <w:rFonts w:ascii="Calibri" w:hAnsi="Calibri" w:cs="Calibri"/>
          <w:noProof/>
        </w:rPr>
        <w:t xml:space="preserve"> </w:t>
      </w:r>
      <w:r w:rsidRPr="009B1CA4">
        <w:rPr>
          <w:rFonts w:ascii="Calibri" w:hAnsi="Calibri" w:cs="Calibri"/>
          <w:b/>
          <w:bCs/>
          <w:noProof/>
        </w:rPr>
        <w:t>27</w:t>
      </w:r>
      <w:r w:rsidRPr="009B1CA4">
        <w:rPr>
          <w:rFonts w:ascii="Calibri" w:hAnsi="Calibri" w:cs="Calibri"/>
          <w:noProof/>
        </w:rPr>
        <w:t>, 877–883 (2020).</w:t>
      </w:r>
    </w:p>
    <w:p w14:paraId="390F4ACA" w14:textId="77777777" w:rsidR="009B1CA4" w:rsidRPr="009B1CA4" w:rsidRDefault="009B1CA4" w:rsidP="009B1CA4">
      <w:pPr>
        <w:widowControl w:val="0"/>
        <w:autoSpaceDE w:val="0"/>
        <w:autoSpaceDN w:val="0"/>
        <w:adjustRightInd w:val="0"/>
        <w:ind w:left="640" w:hanging="640"/>
        <w:rPr>
          <w:rFonts w:ascii="Calibri" w:hAnsi="Calibri" w:cs="Calibri"/>
          <w:noProof/>
        </w:rPr>
      </w:pPr>
      <w:r w:rsidRPr="009B1CA4">
        <w:rPr>
          <w:rFonts w:ascii="Calibri" w:hAnsi="Calibri" w:cs="Calibri"/>
          <w:noProof/>
        </w:rPr>
        <w:t>11.</w:t>
      </w:r>
      <w:r w:rsidRPr="009B1CA4">
        <w:rPr>
          <w:rFonts w:ascii="Calibri" w:hAnsi="Calibri" w:cs="Calibri"/>
          <w:noProof/>
        </w:rPr>
        <w:tab/>
        <w:t xml:space="preserve">Belenkaya, R. </w:t>
      </w:r>
      <w:r w:rsidRPr="009B1CA4">
        <w:rPr>
          <w:rFonts w:ascii="Calibri" w:hAnsi="Calibri" w:cs="Calibri"/>
          <w:i/>
          <w:iCs/>
          <w:noProof/>
        </w:rPr>
        <w:t>et al.</w:t>
      </w:r>
      <w:r w:rsidRPr="009B1CA4">
        <w:rPr>
          <w:rFonts w:ascii="Calibri" w:hAnsi="Calibri" w:cs="Calibri"/>
          <w:noProof/>
        </w:rPr>
        <w:t xml:space="preserve"> Standardized Observational Cancer Research Using the OMOP CDM Oncology Module. </w:t>
      </w:r>
      <w:r w:rsidRPr="009B1CA4">
        <w:rPr>
          <w:rFonts w:ascii="Calibri" w:hAnsi="Calibri" w:cs="Calibri"/>
          <w:i/>
          <w:iCs/>
          <w:noProof/>
        </w:rPr>
        <w:t>Stud. Health Technol. Inform.</w:t>
      </w:r>
      <w:r w:rsidRPr="009B1CA4">
        <w:rPr>
          <w:rFonts w:ascii="Calibri" w:hAnsi="Calibri" w:cs="Calibri"/>
          <w:noProof/>
        </w:rPr>
        <w:t xml:space="preserve"> </w:t>
      </w:r>
      <w:r w:rsidRPr="009B1CA4">
        <w:rPr>
          <w:rFonts w:ascii="Calibri" w:hAnsi="Calibri" w:cs="Calibri"/>
          <w:b/>
          <w:bCs/>
          <w:noProof/>
        </w:rPr>
        <w:t>264</w:t>
      </w:r>
      <w:r w:rsidRPr="009B1CA4">
        <w:rPr>
          <w:rFonts w:ascii="Calibri" w:hAnsi="Calibri" w:cs="Calibri"/>
          <w:noProof/>
        </w:rPr>
        <w:t>, 1831–1832 (2019).</w:t>
      </w:r>
    </w:p>
    <w:p w14:paraId="1AB4F84F" w14:textId="77777777" w:rsidR="009B1CA4" w:rsidRPr="009B1CA4" w:rsidRDefault="009B1CA4" w:rsidP="009B1CA4">
      <w:pPr>
        <w:widowControl w:val="0"/>
        <w:autoSpaceDE w:val="0"/>
        <w:autoSpaceDN w:val="0"/>
        <w:adjustRightInd w:val="0"/>
        <w:ind w:left="640" w:hanging="640"/>
        <w:rPr>
          <w:rFonts w:ascii="Calibri" w:hAnsi="Calibri" w:cs="Calibri"/>
          <w:noProof/>
        </w:rPr>
      </w:pPr>
      <w:r w:rsidRPr="009B1CA4">
        <w:rPr>
          <w:rFonts w:ascii="Calibri" w:hAnsi="Calibri" w:cs="Calibri"/>
          <w:noProof/>
        </w:rPr>
        <w:t>12.</w:t>
      </w:r>
      <w:r w:rsidRPr="009B1CA4">
        <w:rPr>
          <w:rFonts w:ascii="Calibri" w:hAnsi="Calibri" w:cs="Calibri"/>
          <w:noProof/>
        </w:rPr>
        <w:tab/>
        <w:t xml:space="preserve">Glicksberg, B. S. </w:t>
      </w:r>
      <w:r w:rsidRPr="009B1CA4">
        <w:rPr>
          <w:rFonts w:ascii="Calibri" w:hAnsi="Calibri" w:cs="Calibri"/>
          <w:i/>
          <w:iCs/>
          <w:noProof/>
        </w:rPr>
        <w:t>et al.</w:t>
      </w:r>
      <w:r w:rsidRPr="009B1CA4">
        <w:rPr>
          <w:rFonts w:ascii="Calibri" w:hAnsi="Calibri" w:cs="Calibri"/>
          <w:noProof/>
        </w:rPr>
        <w:t xml:space="preserve"> ROMOP: a light-weight R package for interfacing with OMOP-formatted electronic health record data. </w:t>
      </w:r>
      <w:r w:rsidRPr="009B1CA4">
        <w:rPr>
          <w:rFonts w:ascii="Calibri" w:hAnsi="Calibri" w:cs="Calibri"/>
          <w:i/>
          <w:iCs/>
          <w:noProof/>
        </w:rPr>
        <w:t>JAMIA Open</w:t>
      </w:r>
      <w:r w:rsidRPr="009B1CA4">
        <w:rPr>
          <w:rFonts w:ascii="Calibri" w:hAnsi="Calibri" w:cs="Calibri"/>
          <w:noProof/>
        </w:rPr>
        <w:t xml:space="preserve"> </w:t>
      </w:r>
      <w:r w:rsidRPr="009B1CA4">
        <w:rPr>
          <w:rFonts w:ascii="Calibri" w:hAnsi="Calibri" w:cs="Calibri"/>
          <w:b/>
          <w:bCs/>
          <w:noProof/>
        </w:rPr>
        <w:t>2</w:t>
      </w:r>
      <w:r w:rsidRPr="009B1CA4">
        <w:rPr>
          <w:rFonts w:ascii="Calibri" w:hAnsi="Calibri" w:cs="Calibri"/>
          <w:noProof/>
        </w:rPr>
        <w:t>, 10–14 (2019).</w:t>
      </w:r>
    </w:p>
    <w:p w14:paraId="2BA6BFC6" w14:textId="77777777" w:rsidR="009B1CA4" w:rsidRPr="009B1CA4" w:rsidRDefault="009B1CA4" w:rsidP="009B1CA4">
      <w:pPr>
        <w:widowControl w:val="0"/>
        <w:autoSpaceDE w:val="0"/>
        <w:autoSpaceDN w:val="0"/>
        <w:adjustRightInd w:val="0"/>
        <w:ind w:left="640" w:hanging="640"/>
        <w:rPr>
          <w:rFonts w:ascii="Calibri" w:hAnsi="Calibri" w:cs="Calibri"/>
          <w:noProof/>
        </w:rPr>
      </w:pPr>
      <w:r w:rsidRPr="009B1CA4">
        <w:rPr>
          <w:rFonts w:ascii="Calibri" w:hAnsi="Calibri" w:cs="Calibri"/>
          <w:noProof/>
        </w:rPr>
        <w:t>13.</w:t>
      </w:r>
      <w:r w:rsidRPr="009B1CA4">
        <w:rPr>
          <w:rFonts w:ascii="Calibri" w:hAnsi="Calibri" w:cs="Calibri"/>
          <w:noProof/>
        </w:rPr>
        <w:tab/>
        <w:t xml:space="preserve">Glicksberg, B. S. </w:t>
      </w:r>
      <w:r w:rsidRPr="009B1CA4">
        <w:rPr>
          <w:rFonts w:ascii="Calibri" w:hAnsi="Calibri" w:cs="Calibri"/>
          <w:i/>
          <w:iCs/>
          <w:noProof/>
        </w:rPr>
        <w:t>et al.</w:t>
      </w:r>
      <w:r w:rsidRPr="009B1CA4">
        <w:rPr>
          <w:rFonts w:ascii="Calibri" w:hAnsi="Calibri" w:cs="Calibri"/>
          <w:noProof/>
        </w:rPr>
        <w:t xml:space="preserve"> PatientExploreR: An extensible application for dynamic visualization of patient clinical history from electronic health records in the OMOP common data model. </w:t>
      </w:r>
      <w:r w:rsidRPr="009B1CA4">
        <w:rPr>
          <w:rFonts w:ascii="Calibri" w:hAnsi="Calibri" w:cs="Calibri"/>
          <w:i/>
          <w:iCs/>
          <w:noProof/>
        </w:rPr>
        <w:t>Bioinformatics</w:t>
      </w:r>
      <w:r w:rsidRPr="009B1CA4">
        <w:rPr>
          <w:rFonts w:ascii="Calibri" w:hAnsi="Calibri" w:cs="Calibri"/>
          <w:noProof/>
        </w:rPr>
        <w:t xml:space="preserve"> </w:t>
      </w:r>
      <w:r w:rsidRPr="009B1CA4">
        <w:rPr>
          <w:rFonts w:ascii="Calibri" w:hAnsi="Calibri" w:cs="Calibri"/>
          <w:b/>
          <w:bCs/>
          <w:noProof/>
        </w:rPr>
        <w:t>35</w:t>
      </w:r>
      <w:r w:rsidRPr="009B1CA4">
        <w:rPr>
          <w:rFonts w:ascii="Calibri" w:hAnsi="Calibri" w:cs="Calibri"/>
          <w:noProof/>
        </w:rPr>
        <w:t>, 4515–4518 (2019).</w:t>
      </w:r>
    </w:p>
    <w:p w14:paraId="5B50DCDE" w14:textId="3717D6F0" w:rsidR="004A3ACF" w:rsidRDefault="00FB16C7" w:rsidP="009B1CA4">
      <w:pPr>
        <w:widowControl w:val="0"/>
        <w:autoSpaceDE w:val="0"/>
        <w:autoSpaceDN w:val="0"/>
        <w:adjustRightInd w:val="0"/>
        <w:ind w:left="640" w:hanging="640"/>
      </w:pPr>
      <w:r>
        <w:fldChar w:fldCharType="end"/>
      </w:r>
    </w:p>
    <w:sectPr w:rsidR="004A3ACF" w:rsidSect="00FF4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1A"/>
    <w:rsid w:val="00005C04"/>
    <w:rsid w:val="0001241F"/>
    <w:rsid w:val="00013004"/>
    <w:rsid w:val="00024F02"/>
    <w:rsid w:val="00026540"/>
    <w:rsid w:val="0003381F"/>
    <w:rsid w:val="000442CC"/>
    <w:rsid w:val="000536D9"/>
    <w:rsid w:val="00070BA8"/>
    <w:rsid w:val="000A7FF0"/>
    <w:rsid w:val="000B0A73"/>
    <w:rsid w:val="000D12F9"/>
    <w:rsid w:val="000E2334"/>
    <w:rsid w:val="000E38FA"/>
    <w:rsid w:val="000F1B3F"/>
    <w:rsid w:val="000F5D7C"/>
    <w:rsid w:val="000F72CA"/>
    <w:rsid w:val="00110FF9"/>
    <w:rsid w:val="00127D39"/>
    <w:rsid w:val="00131795"/>
    <w:rsid w:val="001346AA"/>
    <w:rsid w:val="001440FA"/>
    <w:rsid w:val="00163203"/>
    <w:rsid w:val="001719AF"/>
    <w:rsid w:val="00176EB8"/>
    <w:rsid w:val="00183096"/>
    <w:rsid w:val="001B0BDB"/>
    <w:rsid w:val="001C2B0A"/>
    <w:rsid w:val="001C711F"/>
    <w:rsid w:val="001F2262"/>
    <w:rsid w:val="00204CEE"/>
    <w:rsid w:val="00211E8B"/>
    <w:rsid w:val="002302DA"/>
    <w:rsid w:val="0023533A"/>
    <w:rsid w:val="002406AC"/>
    <w:rsid w:val="00250902"/>
    <w:rsid w:val="00254F9B"/>
    <w:rsid w:val="002640E7"/>
    <w:rsid w:val="00284B35"/>
    <w:rsid w:val="00290D27"/>
    <w:rsid w:val="00292F2A"/>
    <w:rsid w:val="00295C2F"/>
    <w:rsid w:val="002A4DB5"/>
    <w:rsid w:val="002B6F11"/>
    <w:rsid w:val="002C59C9"/>
    <w:rsid w:val="002D6006"/>
    <w:rsid w:val="002E3BAF"/>
    <w:rsid w:val="002F2AC9"/>
    <w:rsid w:val="002F7B0A"/>
    <w:rsid w:val="00323EBD"/>
    <w:rsid w:val="00332AE7"/>
    <w:rsid w:val="003416EE"/>
    <w:rsid w:val="00341A1D"/>
    <w:rsid w:val="00345603"/>
    <w:rsid w:val="003543C6"/>
    <w:rsid w:val="00364865"/>
    <w:rsid w:val="0037585E"/>
    <w:rsid w:val="00387E1F"/>
    <w:rsid w:val="003B5DE6"/>
    <w:rsid w:val="003C2312"/>
    <w:rsid w:val="003C4A90"/>
    <w:rsid w:val="003D4304"/>
    <w:rsid w:val="003D749C"/>
    <w:rsid w:val="00400558"/>
    <w:rsid w:val="00401CED"/>
    <w:rsid w:val="00414E18"/>
    <w:rsid w:val="004227BE"/>
    <w:rsid w:val="00457E35"/>
    <w:rsid w:val="0046742A"/>
    <w:rsid w:val="00477424"/>
    <w:rsid w:val="004A3ACF"/>
    <w:rsid w:val="004A3C93"/>
    <w:rsid w:val="004C1CAD"/>
    <w:rsid w:val="004C476B"/>
    <w:rsid w:val="004E5CBD"/>
    <w:rsid w:val="004F32AA"/>
    <w:rsid w:val="004F6456"/>
    <w:rsid w:val="00500A6D"/>
    <w:rsid w:val="00512A10"/>
    <w:rsid w:val="00514E9E"/>
    <w:rsid w:val="0052717D"/>
    <w:rsid w:val="00532344"/>
    <w:rsid w:val="005518AA"/>
    <w:rsid w:val="005522EA"/>
    <w:rsid w:val="0056154D"/>
    <w:rsid w:val="005834F6"/>
    <w:rsid w:val="00592D23"/>
    <w:rsid w:val="005A28FA"/>
    <w:rsid w:val="005C55D8"/>
    <w:rsid w:val="005E7E62"/>
    <w:rsid w:val="00605070"/>
    <w:rsid w:val="006079E3"/>
    <w:rsid w:val="00614FFA"/>
    <w:rsid w:val="00631750"/>
    <w:rsid w:val="00633886"/>
    <w:rsid w:val="00643117"/>
    <w:rsid w:val="006812FE"/>
    <w:rsid w:val="006A64C3"/>
    <w:rsid w:val="006A7A1F"/>
    <w:rsid w:val="006B0770"/>
    <w:rsid w:val="006C1C82"/>
    <w:rsid w:val="00710101"/>
    <w:rsid w:val="0071614A"/>
    <w:rsid w:val="007202F0"/>
    <w:rsid w:val="00743152"/>
    <w:rsid w:val="00751FD4"/>
    <w:rsid w:val="00752C20"/>
    <w:rsid w:val="00760A03"/>
    <w:rsid w:val="007D3C96"/>
    <w:rsid w:val="007F7339"/>
    <w:rsid w:val="00821EC9"/>
    <w:rsid w:val="00830944"/>
    <w:rsid w:val="00852DD9"/>
    <w:rsid w:val="00855604"/>
    <w:rsid w:val="00861CE0"/>
    <w:rsid w:val="0087029C"/>
    <w:rsid w:val="008730C2"/>
    <w:rsid w:val="008855DF"/>
    <w:rsid w:val="008949E3"/>
    <w:rsid w:val="00895356"/>
    <w:rsid w:val="0089661C"/>
    <w:rsid w:val="00896D9F"/>
    <w:rsid w:val="008A2BC0"/>
    <w:rsid w:val="008A300E"/>
    <w:rsid w:val="008A6871"/>
    <w:rsid w:val="008B36FE"/>
    <w:rsid w:val="008C6875"/>
    <w:rsid w:val="008F39E0"/>
    <w:rsid w:val="00911AE6"/>
    <w:rsid w:val="00914A7A"/>
    <w:rsid w:val="009327B5"/>
    <w:rsid w:val="00933B73"/>
    <w:rsid w:val="009350A0"/>
    <w:rsid w:val="00960C4A"/>
    <w:rsid w:val="009619DF"/>
    <w:rsid w:val="00994549"/>
    <w:rsid w:val="009A473C"/>
    <w:rsid w:val="009A6489"/>
    <w:rsid w:val="009B1CA4"/>
    <w:rsid w:val="009C3EAC"/>
    <w:rsid w:val="009D1E36"/>
    <w:rsid w:val="009D6F83"/>
    <w:rsid w:val="009D7752"/>
    <w:rsid w:val="009E2DF4"/>
    <w:rsid w:val="009E3EFF"/>
    <w:rsid w:val="00A04AE0"/>
    <w:rsid w:val="00A06EB1"/>
    <w:rsid w:val="00A13033"/>
    <w:rsid w:val="00A13CD7"/>
    <w:rsid w:val="00A6186E"/>
    <w:rsid w:val="00A678BC"/>
    <w:rsid w:val="00A93A53"/>
    <w:rsid w:val="00AB5678"/>
    <w:rsid w:val="00AD391A"/>
    <w:rsid w:val="00AD4C81"/>
    <w:rsid w:val="00AD4DEB"/>
    <w:rsid w:val="00AF4E76"/>
    <w:rsid w:val="00AF682C"/>
    <w:rsid w:val="00B04FC9"/>
    <w:rsid w:val="00B1358B"/>
    <w:rsid w:val="00B44E1E"/>
    <w:rsid w:val="00B45798"/>
    <w:rsid w:val="00B57354"/>
    <w:rsid w:val="00B7555F"/>
    <w:rsid w:val="00B84275"/>
    <w:rsid w:val="00BD6FBC"/>
    <w:rsid w:val="00C32C42"/>
    <w:rsid w:val="00C338A7"/>
    <w:rsid w:val="00C53A54"/>
    <w:rsid w:val="00C5507D"/>
    <w:rsid w:val="00C57765"/>
    <w:rsid w:val="00C656B5"/>
    <w:rsid w:val="00C660F0"/>
    <w:rsid w:val="00C7519C"/>
    <w:rsid w:val="00C76D2A"/>
    <w:rsid w:val="00C92937"/>
    <w:rsid w:val="00CA141F"/>
    <w:rsid w:val="00CC4467"/>
    <w:rsid w:val="00CD0D19"/>
    <w:rsid w:val="00CE232F"/>
    <w:rsid w:val="00CF1A24"/>
    <w:rsid w:val="00CF5481"/>
    <w:rsid w:val="00D12C6D"/>
    <w:rsid w:val="00D23EB9"/>
    <w:rsid w:val="00D26690"/>
    <w:rsid w:val="00D62D35"/>
    <w:rsid w:val="00D66186"/>
    <w:rsid w:val="00D91425"/>
    <w:rsid w:val="00DB2A91"/>
    <w:rsid w:val="00DD3EFD"/>
    <w:rsid w:val="00DD5CC0"/>
    <w:rsid w:val="00E02980"/>
    <w:rsid w:val="00E054C2"/>
    <w:rsid w:val="00E06447"/>
    <w:rsid w:val="00E14C26"/>
    <w:rsid w:val="00E571DF"/>
    <w:rsid w:val="00E65FB5"/>
    <w:rsid w:val="00E67863"/>
    <w:rsid w:val="00E77614"/>
    <w:rsid w:val="00E77DE3"/>
    <w:rsid w:val="00E8422F"/>
    <w:rsid w:val="00E9655A"/>
    <w:rsid w:val="00EA540D"/>
    <w:rsid w:val="00EB5ACE"/>
    <w:rsid w:val="00ED0A0F"/>
    <w:rsid w:val="00ED2BDD"/>
    <w:rsid w:val="00EE4A5A"/>
    <w:rsid w:val="00EF0FD3"/>
    <w:rsid w:val="00F0179E"/>
    <w:rsid w:val="00F028EF"/>
    <w:rsid w:val="00F52F31"/>
    <w:rsid w:val="00F540EA"/>
    <w:rsid w:val="00F80F72"/>
    <w:rsid w:val="00FB16C7"/>
    <w:rsid w:val="00FB73B9"/>
    <w:rsid w:val="00FC42F5"/>
    <w:rsid w:val="00FC5B20"/>
    <w:rsid w:val="00FC6AC0"/>
    <w:rsid w:val="00FF2BD5"/>
    <w:rsid w:val="00FF43FF"/>
    <w:rsid w:val="00FF47E9"/>
    <w:rsid w:val="00FF5E27"/>
    <w:rsid w:val="00FF6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8425"/>
  <w15:chartTrackingRefBased/>
  <w15:docId w15:val="{D58AA8B0-D3AD-FF44-8A5D-A839B7FA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91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D39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5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9B85A-F31E-C441-87D1-EBD8171C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6038</Words>
  <Characters>34421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Giangreco, Nicholas P.</dc:creator>
  <cp:keywords/>
  <dc:description/>
  <cp:lastModifiedBy>Giangreco, Nicholas P.</cp:lastModifiedBy>
  <cp:revision>2</cp:revision>
  <dcterms:created xsi:type="dcterms:W3CDTF">2020-07-26T18:35:00Z</dcterms:created>
  <dcterms:modified xsi:type="dcterms:W3CDTF">2020-07-26T19:05:00Z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http://www.zotero.org/styles/science-translational-medicine</vt:lpwstr>
  </property>
  <property fmtid="{D5CDD505-2E9C-101B-9397-08002B2CF9AE}" pid="21" name="Mendeley Recent Style Name 9_1">
    <vt:lpwstr>Science Translational Medicine</vt:lpwstr>
  </property>
  <property fmtid="{D5CDD505-2E9C-101B-9397-08002B2CF9AE}" pid="22" name="Mendeley Document_1">
    <vt:lpwstr>True</vt:lpwstr>
  </property>
  <property fmtid="{D5CDD505-2E9C-101B-9397-08002B2CF9AE}" pid="23" name="Mendeley Unique User Id_1">
    <vt:lpwstr>512682e0-ec89-35e5-bb46-77ef474ec800</vt:lpwstr>
  </property>
  <property fmtid="{D5CDD505-2E9C-101B-9397-08002B2CF9AE}" pid="24" name="Mendeley Citation Style_1">
    <vt:lpwstr>http://www.zotero.org/styles/nature</vt:lpwstr>
  </property>
</Properties>
</file>